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91" w:type="dxa"/>
        <w:tblLayout w:type="fixed"/>
        <w:tblLook w:val="0600" w:firstRow="0" w:lastRow="0" w:firstColumn="0" w:lastColumn="0" w:noHBand="1" w:noVBand="1"/>
      </w:tblPr>
      <w:tblGrid>
        <w:gridCol w:w="5670"/>
        <w:gridCol w:w="426"/>
        <w:gridCol w:w="4694"/>
        <w:gridCol w:w="701"/>
      </w:tblGrid>
      <w:tr w:rsidR="00766B83" w:rsidRPr="00387441" w14:paraId="71A50CCA" w14:textId="77777777" w:rsidTr="00510C90">
        <w:trPr>
          <w:gridAfter w:val="1"/>
          <w:wAfter w:w="701" w:type="dxa"/>
        </w:trPr>
        <w:tc>
          <w:tcPr>
            <w:tcW w:w="5670" w:type="dxa"/>
          </w:tcPr>
          <w:p w14:paraId="2A81EB85" w14:textId="77777777" w:rsidR="00766B83" w:rsidRPr="00BE0DBF" w:rsidRDefault="00766B83" w:rsidP="00510C90">
            <w:pPr>
              <w:pStyle w:val="GraphicAnchor"/>
              <w:spacing w:after="0"/>
              <w:ind w:firstLine="0"/>
              <w:jc w:val="left"/>
              <w:rPr>
                <w:lang w:val="lv-LV"/>
              </w:rPr>
            </w:pPr>
            <w:r w:rsidRPr="00BE0DBF">
              <w:rPr>
                <w:noProof/>
                <w:lang w:val="lv-LV" w:eastAsia="en-AU"/>
              </w:rPr>
              <mc:AlternateContent>
                <mc:Choice Requires="wpg">
                  <w:drawing>
                    <wp:anchor distT="0" distB="0" distL="114300" distR="114300" simplePos="0" relativeHeight="251658240" behindDoc="1" locked="1" layoutInCell="1" allowOverlap="1" wp14:anchorId="6D4AAD31" wp14:editId="64E32FCD">
                      <wp:simplePos x="0" y="0"/>
                      <wp:positionH relativeFrom="margin">
                        <wp:posOffset>-539115</wp:posOffset>
                      </wp:positionH>
                      <wp:positionV relativeFrom="paragraph">
                        <wp:posOffset>-729615</wp:posOffset>
                      </wp:positionV>
                      <wp:extent cx="7772400" cy="10317480"/>
                      <wp:effectExtent l="0" t="0" r="0" b="7620"/>
                      <wp:wrapNone/>
                      <wp:docPr id="2" name="Group 2">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317480"/>
                                <a:chOff x="-31526" y="0"/>
                                <a:chExt cx="7771132" cy="10053322"/>
                              </a:xfrm>
                            </wpg:grpSpPr>
                            <wps:wsp>
                              <wps:cNvPr id="3"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rgbClr val="00B0F0"/>
                                </a:solidFill>
                                <a:ln w="12700">
                                  <a:miter lim="400000"/>
                                </a:ln>
                              </wps:spPr>
                              <wps:bodyPr lIns="38100" tIns="38100" rIns="38100" bIns="38100" anchor="ctr"/>
                            </wps:wsp>
                            <wps:wsp>
                              <wps:cNvPr id="5" name="Shape"/>
                              <wps:cNvSpPr/>
                              <wps:spPr>
                                <a:xfrm>
                                  <a:off x="-31526"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2568602D">
                    <v:group id="Group 2" style="position:absolute;margin-left:-42.45pt;margin-top:-57.45pt;width:612pt;height:812.4pt;z-index:-251658240;mso-position-horizontal-relative:margin;mso-width-relative:margin;mso-height-relative:margin" alt="&quot;&quot;" coordsize="77711,100533" coordorigin="-315" o:spid="_x0000_s1026" w14:anchorId="054F7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">
                      <v:shape id="Shape" style="position:absolute;top:25527;width:58458;height:75006;visibility:visible;mso-wrap-style:square;v-text-anchor:middle" coordsize="21600,21600" o:spid="_x0000_s1027" fillcolor="#d8d8d8 [2732]" stroked="f" strokeweight="1pt" path="m,10687l,21600r1769,l21600,6148,13712,,,106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">
                        <v:stroke miterlimit="4" joinstyle="miter"/>
                        <v:path arrowok="t" o:connecttype="custom" o:connectlocs="2922906,3750311;2922906,3750311;2922906,3750311;2922906,3750311" o:connectangles="0,90,180,270" o:extrusionok="f"/>
                      </v:shape>
                      <v:shape id="Triangle" style="position:absolute;top:20447;width:39077;height:78168;visibility:visible;mso-wrap-style:square;v-text-anchor:middle" coordsize="21600,21600" o:spid="_x0000_s1028" fillcolor="#00b0f0" stroked="f" strokeweight="1pt" path="m,21600l21600,10802,,,,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">
                        <v:stroke miterlimit="4" joinstyle="miter"/>
                        <v:path arrowok="t" o:connecttype="custom" o:connectlocs="1953896,3908426;1953896,3908426;1953896,3908426;1953896,3908426" o:connectangles="0,90,180,270" o:extrusionok="f"/>
                      </v:shape>
                      <v:shape id="Shape" style="position:absolute;left:-315;width:77711;height:90398;visibility:visible;mso-wrap-style:square;v-text-anchor:middle" coordsize="21600,21600" o:spid="_x0000_s1029" fillcolor="#156082 [3204]" stroked="f" strokeweight="1pt" path="m,14678r,6922l21600,3032,21600,,17075,,,146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">
                        <v:stroke miterlimit="4" joinstyle="miter"/>
                        <v:path arrowok="t" o:connecttype="custom" o:connectlocs="3885566,4519931;3885566,4519931;3885566,4519931;3885566,4519931" o:connectangles="0,90,180,270" o:extrusionok="f"/>
                      </v:shape>
                      <w10:wrap anchorx="margin"/>
                      <w10:anchorlock/>
                    </v:group>
                  </w:pict>
                </mc:Fallback>
              </mc:AlternateContent>
            </w:r>
          </w:p>
        </w:tc>
        <w:tc>
          <w:tcPr>
            <w:tcW w:w="5120" w:type="dxa"/>
            <w:gridSpan w:val="2"/>
          </w:tcPr>
          <w:p w14:paraId="55351CF7" w14:textId="77777777" w:rsidR="00766B83" w:rsidRPr="00BE0DBF" w:rsidRDefault="00766B83" w:rsidP="00510C90">
            <w:pPr>
              <w:pStyle w:val="GraphicAnchor"/>
              <w:spacing w:after="0"/>
              <w:rPr>
                <w:lang w:val="lv-LV"/>
              </w:rPr>
            </w:pPr>
          </w:p>
        </w:tc>
      </w:tr>
      <w:tr w:rsidR="00766B83" w:rsidRPr="00387441" w14:paraId="057573A8" w14:textId="77777777" w:rsidTr="00510C90">
        <w:trPr>
          <w:trHeight w:val="2719"/>
        </w:trPr>
        <w:tc>
          <w:tcPr>
            <w:tcW w:w="6096" w:type="dxa"/>
            <w:gridSpan w:val="2"/>
          </w:tcPr>
          <w:p w14:paraId="63E89226" w14:textId="77777777" w:rsidR="00766B83" w:rsidRPr="00BE0DBF" w:rsidRDefault="00766B83" w:rsidP="00510C90">
            <w:pPr>
              <w:widowControl w:val="0"/>
              <w:autoSpaceDE w:val="0"/>
              <w:autoSpaceDN w:val="0"/>
              <w:adjustRightInd w:val="0"/>
              <w:spacing w:after="0"/>
              <w:ind w:firstLine="0"/>
              <w:jc w:val="left"/>
              <w:rPr>
                <w:rFonts w:ascii="Verdana" w:hAnsi="Verdana" w:cstheme="majorHAnsi"/>
                <w:b/>
                <w:color w:val="002060"/>
                <w:sz w:val="36"/>
                <w:szCs w:val="40"/>
                <w:lang w:val="lv-LV"/>
              </w:rPr>
            </w:pPr>
            <w:r w:rsidRPr="00BE0DBF">
              <w:rPr>
                <w:rFonts w:ascii="Verdana" w:hAnsi="Verdana" w:cstheme="majorHAnsi"/>
                <w:b/>
                <w:color w:val="002060"/>
                <w:sz w:val="36"/>
                <w:szCs w:val="40"/>
                <w:lang w:val="lv-LV"/>
              </w:rPr>
              <w:t>Finanšu ministrijas</w:t>
            </w:r>
          </w:p>
          <w:p w14:paraId="6C3BA3E1" w14:textId="480A5553" w:rsidR="00766B83" w:rsidRPr="00BE0DBF" w:rsidRDefault="00766B83" w:rsidP="00510C90">
            <w:pPr>
              <w:widowControl w:val="0"/>
              <w:autoSpaceDE w:val="0"/>
              <w:autoSpaceDN w:val="0"/>
              <w:adjustRightInd w:val="0"/>
              <w:spacing w:after="0"/>
              <w:ind w:firstLine="0"/>
              <w:jc w:val="left"/>
              <w:rPr>
                <w:rFonts w:asciiTheme="majorHAnsi" w:hAnsiTheme="majorHAnsi" w:cstheme="majorHAnsi"/>
                <w:b/>
                <w:sz w:val="36"/>
                <w:szCs w:val="40"/>
                <w:lang w:val="lv-LV"/>
              </w:rPr>
            </w:pPr>
            <w:r w:rsidRPr="00BE0DBF">
              <w:rPr>
                <w:rFonts w:ascii="Verdana" w:hAnsi="Verdana" w:cstheme="majorHAnsi"/>
                <w:b/>
                <w:color w:val="002060"/>
                <w:sz w:val="36"/>
                <w:szCs w:val="40"/>
                <w:lang w:val="lv-LV"/>
              </w:rPr>
              <w:t xml:space="preserve">Eiropas Savienības finanšu interešu aizsardzības koordinācijas </w:t>
            </w:r>
            <w:r w:rsidR="009A7867">
              <w:rPr>
                <w:rFonts w:ascii="Verdana" w:hAnsi="Verdana" w:cstheme="majorHAnsi"/>
                <w:b/>
                <w:color w:val="002060"/>
                <w:sz w:val="36"/>
                <w:szCs w:val="40"/>
                <w:lang w:val="lv-LV"/>
              </w:rPr>
              <w:t xml:space="preserve">dienesta </w:t>
            </w:r>
            <w:r w:rsidRPr="00BE0DBF">
              <w:rPr>
                <w:rFonts w:ascii="Verdana" w:hAnsi="Verdana" w:cstheme="majorHAnsi"/>
                <w:b/>
                <w:color w:val="002060"/>
                <w:sz w:val="36"/>
                <w:szCs w:val="40"/>
                <w:lang w:val="lv-LV"/>
              </w:rPr>
              <w:t>(AFCOS)</w:t>
            </w:r>
            <w:r w:rsidRPr="00BE0DBF">
              <w:rPr>
                <w:rFonts w:asciiTheme="majorHAnsi" w:hAnsiTheme="majorHAnsi" w:cstheme="majorHAnsi"/>
                <w:b/>
                <w:color w:val="002060"/>
                <w:sz w:val="36"/>
                <w:szCs w:val="40"/>
                <w:lang w:val="lv-LV"/>
              </w:rPr>
              <w:t xml:space="preserve">  </w:t>
            </w:r>
          </w:p>
        </w:tc>
        <w:tc>
          <w:tcPr>
            <w:tcW w:w="5395" w:type="dxa"/>
            <w:gridSpan w:val="2"/>
          </w:tcPr>
          <w:p w14:paraId="470AD40B" w14:textId="77777777" w:rsidR="00766B83" w:rsidRPr="00BE0DBF" w:rsidRDefault="00766B83" w:rsidP="00510C90">
            <w:pPr>
              <w:spacing w:after="0"/>
              <w:rPr>
                <w:lang w:val="lv-LV"/>
              </w:rPr>
            </w:pPr>
          </w:p>
        </w:tc>
      </w:tr>
      <w:tr w:rsidR="00766B83" w:rsidRPr="00387441" w14:paraId="60AEB583" w14:textId="77777777" w:rsidTr="00510C90">
        <w:trPr>
          <w:gridAfter w:val="1"/>
          <w:wAfter w:w="701" w:type="dxa"/>
          <w:trHeight w:val="5311"/>
        </w:trPr>
        <w:tc>
          <w:tcPr>
            <w:tcW w:w="10790" w:type="dxa"/>
            <w:gridSpan w:val="3"/>
            <w:vAlign w:val="center"/>
          </w:tcPr>
          <w:p w14:paraId="05E2965A" w14:textId="77777777" w:rsidR="00766B83" w:rsidRPr="00BE0DBF" w:rsidRDefault="00766B83" w:rsidP="00510C90">
            <w:pPr>
              <w:widowControl w:val="0"/>
              <w:autoSpaceDE w:val="0"/>
              <w:autoSpaceDN w:val="0"/>
              <w:adjustRightInd w:val="0"/>
              <w:spacing w:after="0"/>
              <w:ind w:firstLine="0"/>
              <w:jc w:val="center"/>
              <w:rPr>
                <w:color w:val="002060"/>
                <w:sz w:val="72"/>
                <w:szCs w:val="52"/>
                <w:lang w:val="lv-LV"/>
              </w:rPr>
            </w:pPr>
            <w:r w:rsidRPr="00BE0DBF">
              <w:rPr>
                <w:noProof/>
                <w:color w:val="0F4761" w:themeColor="accent1" w:themeShade="BF"/>
                <w:lang w:val="lv-LV" w:eastAsia="en-AU"/>
                <w14:shadow w14:blurRad="50800" w14:dist="38100" w14:dir="0" w14:sx="100000" w14:sy="100000" w14:kx="0" w14:ky="0" w14:algn="l">
                  <w14:srgbClr w14:val="000000">
                    <w14:alpha w14:val="30000"/>
                  </w14:srgbClr>
                </w14:shadow>
              </w:rPr>
              <mc:AlternateContent>
                <mc:Choice Requires="wps">
                  <w:drawing>
                    <wp:anchor distT="0" distB="0" distL="114300" distR="114300" simplePos="0" relativeHeight="251658241" behindDoc="1" locked="0" layoutInCell="1" allowOverlap="1" wp14:anchorId="7AADC72D" wp14:editId="77BF0547">
                      <wp:simplePos x="0" y="0"/>
                      <wp:positionH relativeFrom="column">
                        <wp:posOffset>-525780</wp:posOffset>
                      </wp:positionH>
                      <wp:positionV relativeFrom="paragraph">
                        <wp:posOffset>-74930</wp:posOffset>
                      </wp:positionV>
                      <wp:extent cx="7860665" cy="1678305"/>
                      <wp:effectExtent l="0" t="0" r="6985" b="0"/>
                      <wp:wrapNone/>
                      <wp:docPr id="6" name="Rectangle 6"/>
                      <wp:cNvGraphicFramePr/>
                      <a:graphic xmlns:a="http://schemas.openxmlformats.org/drawingml/2006/main">
                        <a:graphicData uri="http://schemas.microsoft.com/office/word/2010/wordprocessingShape">
                          <wps:wsp>
                            <wps:cNvSpPr/>
                            <wps:spPr>
                              <a:xfrm>
                                <a:off x="0" y="0"/>
                                <a:ext cx="7860665" cy="1678305"/>
                              </a:xfrm>
                              <a:prstGeom prst="rect">
                                <a:avLst/>
                              </a:prstGeom>
                              <a:solidFill>
                                <a:srgbClr val="F2F2F2">
                                  <a:alpha val="72000"/>
                                </a:srgbClr>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2540D9E2">
                    <v:rect id="Rectangle 6" style="position:absolute;margin-left:-41.4pt;margin-top:-5.9pt;width:618.95pt;height:132.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stroked="f" strokeweight="2pt" w14:anchorId="7105F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">
                      <v:fill opacity="47288f"/>
                      <v:stroke miterlimit="4"/>
                      <v:textbox style="mso-fit-shape-to-text:t" inset="3pt,3pt,3pt,3pt"/>
                    </v:rect>
                  </w:pict>
                </mc:Fallback>
              </mc:AlternateContent>
            </w:r>
            <w:r w:rsidRPr="00BE0DBF">
              <w:rPr>
                <w:rFonts w:asciiTheme="majorHAnsi" w:hAnsiTheme="majorHAnsi" w:cstheme="majorHAnsi"/>
                <w:b/>
                <w:caps/>
                <w:color w:val="0F4761" w:themeColor="accent1" w:themeShade="BF"/>
                <w:sz w:val="72"/>
                <w:szCs w:val="52"/>
                <w:lang w:val="lv-LV"/>
                <w14:shadow w14:blurRad="50800" w14:dist="38100" w14:dir="0" w14:sx="100000" w14:sy="100000" w14:kx="0" w14:ky="0" w14:algn="l">
                  <w14:srgbClr w14:val="000000">
                    <w14:alpha w14:val="30000"/>
                  </w14:srgbClr>
                </w14:shadow>
              </w:rPr>
              <w:t>informatīvais ziņojums</w:t>
            </w:r>
          </w:p>
        </w:tc>
      </w:tr>
      <w:tr w:rsidR="00766B83" w:rsidRPr="00387441" w14:paraId="5C16A6C8" w14:textId="77777777" w:rsidTr="00510C90">
        <w:trPr>
          <w:gridAfter w:val="1"/>
          <w:wAfter w:w="701" w:type="dxa"/>
          <w:trHeight w:val="861"/>
        </w:trPr>
        <w:tc>
          <w:tcPr>
            <w:tcW w:w="5670" w:type="dxa"/>
          </w:tcPr>
          <w:p w14:paraId="297652FC" w14:textId="77777777" w:rsidR="00766B83" w:rsidRPr="00BE0DBF" w:rsidRDefault="00766B83" w:rsidP="00510C90">
            <w:pPr>
              <w:spacing w:after="0"/>
              <w:rPr>
                <w:lang w:val="lv-LV"/>
              </w:rPr>
            </w:pPr>
          </w:p>
        </w:tc>
        <w:tc>
          <w:tcPr>
            <w:tcW w:w="5120" w:type="dxa"/>
            <w:gridSpan w:val="2"/>
          </w:tcPr>
          <w:p w14:paraId="3B5A52B5" w14:textId="77777777" w:rsidR="00766B83" w:rsidRPr="00BE0DBF" w:rsidRDefault="00766B83" w:rsidP="00510C90">
            <w:pPr>
              <w:pStyle w:val="Heading2"/>
              <w:spacing w:after="0"/>
              <w:ind w:firstLine="31"/>
              <w:jc w:val="right"/>
              <w:rPr>
                <w:rFonts w:ascii="Verdana" w:hAnsi="Verdana" w:cstheme="majorHAnsi"/>
                <w:b w:val="0"/>
                <w:i/>
                <w:color w:val="002060"/>
                <w:szCs w:val="36"/>
                <w:lang w:val="lv-LV"/>
              </w:rPr>
            </w:pPr>
          </w:p>
          <w:p w14:paraId="1323B655" w14:textId="77777777" w:rsidR="00766B83" w:rsidRPr="00BE0DBF" w:rsidRDefault="00766B83" w:rsidP="00510C90">
            <w:pPr>
              <w:widowControl w:val="0"/>
              <w:autoSpaceDE w:val="0"/>
              <w:autoSpaceDN w:val="0"/>
              <w:adjustRightInd w:val="0"/>
              <w:spacing w:after="0"/>
              <w:ind w:firstLine="31"/>
              <w:jc w:val="right"/>
              <w:rPr>
                <w:color w:val="002060"/>
                <w:lang w:val="lv-LV"/>
              </w:rPr>
            </w:pPr>
            <w:r w:rsidRPr="00BE0DBF">
              <w:rPr>
                <w:rFonts w:ascii="Verdana" w:hAnsi="Verdana" w:cstheme="majorHAnsi"/>
                <w:b/>
                <w:color w:val="002060"/>
                <w:sz w:val="32"/>
                <w:szCs w:val="36"/>
                <w:lang w:val="lv-LV"/>
              </w:rPr>
              <w:t>par veiktajiem krāpšanas apkarošanas un</w:t>
            </w:r>
            <w:r w:rsidRPr="00BE0DBF">
              <w:rPr>
                <w:color w:val="002060"/>
                <w:lang w:val="lv-LV"/>
              </w:rPr>
              <w:t xml:space="preserve"> </w:t>
            </w:r>
          </w:p>
        </w:tc>
      </w:tr>
      <w:tr w:rsidR="00766B83" w:rsidRPr="00387441" w14:paraId="53BA4627" w14:textId="77777777" w:rsidTr="00510C90">
        <w:trPr>
          <w:gridAfter w:val="1"/>
          <w:wAfter w:w="701" w:type="dxa"/>
          <w:trHeight w:val="1402"/>
        </w:trPr>
        <w:tc>
          <w:tcPr>
            <w:tcW w:w="5670" w:type="dxa"/>
          </w:tcPr>
          <w:p w14:paraId="6C092091" w14:textId="77777777" w:rsidR="00766B83" w:rsidRPr="00BE0DBF" w:rsidRDefault="00766B83" w:rsidP="00510C90">
            <w:pPr>
              <w:spacing w:after="0"/>
              <w:rPr>
                <w:lang w:val="lv-LV"/>
              </w:rPr>
            </w:pPr>
          </w:p>
        </w:tc>
        <w:tc>
          <w:tcPr>
            <w:tcW w:w="5120" w:type="dxa"/>
            <w:gridSpan w:val="2"/>
          </w:tcPr>
          <w:p w14:paraId="353359AE" w14:textId="0B5FC85E" w:rsidR="00643C23" w:rsidRPr="00BE0DBF" w:rsidRDefault="00766B83" w:rsidP="00643C23">
            <w:pPr>
              <w:widowControl w:val="0"/>
              <w:autoSpaceDE w:val="0"/>
              <w:autoSpaceDN w:val="0"/>
              <w:adjustRightInd w:val="0"/>
              <w:spacing w:after="0"/>
              <w:ind w:firstLine="31"/>
              <w:jc w:val="right"/>
              <w:rPr>
                <w:rFonts w:ascii="Verdana" w:hAnsi="Verdana"/>
                <w:color w:val="002060"/>
                <w:sz w:val="32"/>
                <w:szCs w:val="36"/>
                <w:lang w:val="lv-LV"/>
              </w:rPr>
            </w:pPr>
            <w:r w:rsidRPr="00BE0DBF">
              <w:rPr>
                <w:rFonts w:ascii="Verdana" w:hAnsi="Verdana" w:cstheme="majorHAnsi"/>
                <w:b/>
                <w:color w:val="002060"/>
                <w:sz w:val="32"/>
                <w:szCs w:val="36"/>
                <w:lang w:val="lv-LV"/>
              </w:rPr>
              <w:t>Eiropas Savienības finanšu interešu aizsardzības pasākumiem 202</w:t>
            </w:r>
            <w:r w:rsidR="00643C23" w:rsidRPr="00BE0DBF">
              <w:rPr>
                <w:rFonts w:ascii="Verdana" w:hAnsi="Verdana" w:cstheme="majorHAnsi"/>
                <w:b/>
                <w:color w:val="002060"/>
                <w:sz w:val="32"/>
                <w:szCs w:val="36"/>
                <w:lang w:val="lv-LV"/>
              </w:rPr>
              <w:t>4</w:t>
            </w:r>
            <w:r w:rsidRPr="00BE0DBF">
              <w:rPr>
                <w:rFonts w:ascii="Verdana" w:hAnsi="Verdana" w:cstheme="majorHAnsi"/>
                <w:b/>
                <w:color w:val="002060"/>
                <w:sz w:val="32"/>
                <w:szCs w:val="36"/>
                <w:lang w:val="lv-LV"/>
              </w:rPr>
              <w:t>.</w:t>
            </w:r>
            <w:r w:rsidR="0049356A" w:rsidRPr="00BE0DBF">
              <w:rPr>
                <w:rFonts w:ascii="Verdana" w:hAnsi="Verdana" w:cstheme="majorHAnsi"/>
                <w:b/>
                <w:color w:val="002060"/>
                <w:sz w:val="32"/>
                <w:szCs w:val="36"/>
                <w:lang w:val="lv-LV"/>
              </w:rPr>
              <w:t xml:space="preserve"> </w:t>
            </w:r>
            <w:r w:rsidRPr="00BE0DBF">
              <w:rPr>
                <w:rFonts w:ascii="Verdana" w:hAnsi="Verdana" w:cstheme="majorHAnsi"/>
                <w:b/>
                <w:color w:val="002060"/>
                <w:sz w:val="32"/>
                <w:szCs w:val="36"/>
                <w:lang w:val="lv-LV"/>
              </w:rPr>
              <w:t xml:space="preserve">gadā </w:t>
            </w:r>
          </w:p>
          <w:p w14:paraId="0E043D8F" w14:textId="4E422486" w:rsidR="00766B83" w:rsidRPr="00BE0DBF" w:rsidRDefault="00766B83" w:rsidP="00510C90">
            <w:pPr>
              <w:widowControl w:val="0"/>
              <w:autoSpaceDE w:val="0"/>
              <w:autoSpaceDN w:val="0"/>
              <w:adjustRightInd w:val="0"/>
              <w:spacing w:after="0"/>
              <w:ind w:firstLine="31"/>
              <w:jc w:val="right"/>
              <w:rPr>
                <w:rFonts w:ascii="Verdana" w:hAnsi="Verdana"/>
                <w:color w:val="002060"/>
                <w:sz w:val="32"/>
                <w:szCs w:val="36"/>
                <w:lang w:val="lv-LV"/>
              </w:rPr>
            </w:pPr>
          </w:p>
        </w:tc>
      </w:tr>
    </w:tbl>
    <w:p w14:paraId="2C2230A5" w14:textId="77777777" w:rsidR="00766B83" w:rsidRPr="00BE0DBF" w:rsidRDefault="00766B83" w:rsidP="00766B83">
      <w:pPr>
        <w:spacing w:after="0"/>
        <w:rPr>
          <w:lang w:val="lv-LV"/>
        </w:rPr>
      </w:pPr>
      <w:r w:rsidRPr="00BE0DBF">
        <w:rPr>
          <w:noProof/>
          <w:lang w:val="lv-LV"/>
        </w:rPr>
        <w:drawing>
          <wp:anchor distT="0" distB="0" distL="114300" distR="114300" simplePos="0" relativeHeight="251658242" behindDoc="0" locked="0" layoutInCell="1" allowOverlap="1" wp14:anchorId="763A5F6A" wp14:editId="4F782A3E">
            <wp:simplePos x="0" y="0"/>
            <wp:positionH relativeFrom="margin">
              <wp:posOffset>2669792</wp:posOffset>
            </wp:positionH>
            <wp:positionV relativeFrom="paragraph">
              <wp:posOffset>-1835</wp:posOffset>
            </wp:positionV>
            <wp:extent cx="1241425" cy="1040765"/>
            <wp:effectExtent l="0" t="0" r="0" b="0"/>
            <wp:wrapNone/>
            <wp:docPr id="8" name="Picture 8" descr="A red blue and white lion with a blue square and a blue square with a red and white lion with a blue and red shield with a red ribbon and a blue and white lion with a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blue and white lion with a blue square and a blue square with a red and white lion with a blue and red shield with a red ribbon and a blue and white lion with a yellow&#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1425" cy="104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0E1B0" w14:textId="77777777" w:rsidR="00766B83" w:rsidRPr="00BE0DBF" w:rsidRDefault="00766B83" w:rsidP="00EC26C6">
      <w:pPr>
        <w:ind w:firstLine="0"/>
        <w:rPr>
          <w:lang w:val="lv-LV"/>
        </w:rPr>
        <w:sectPr w:rsidR="00766B83" w:rsidRPr="00BE0DBF" w:rsidSect="00766B83">
          <w:footerReference w:type="even" r:id="rId12"/>
          <w:footerReference w:type="default" r:id="rId13"/>
          <w:pgSz w:w="12240" w:h="15840" w:code="1"/>
          <w:pgMar w:top="720" w:right="720" w:bottom="1080" w:left="720" w:header="709" w:footer="432" w:gutter="0"/>
          <w:cols w:space="708"/>
          <w:titlePg/>
          <w:docGrid w:linePitch="360"/>
        </w:sectPr>
      </w:pPr>
    </w:p>
    <w:p w14:paraId="44DB9C12" w14:textId="77777777" w:rsidR="00EC26C6" w:rsidRDefault="00EC26C6" w:rsidP="00EC26C6">
      <w:pPr>
        <w:pStyle w:val="Heading3"/>
      </w:pPr>
      <w:bookmarkStart w:id="2" w:name="_Toc128402849"/>
      <w:bookmarkStart w:id="3" w:name="_Toc128581399"/>
      <w:bookmarkStart w:id="4" w:name="_Toc128581749"/>
      <w:bookmarkStart w:id="5" w:name="_Toc128581981"/>
      <w:bookmarkStart w:id="6" w:name="_Toc128582038"/>
      <w:bookmarkStart w:id="7" w:name="_Toc129695788"/>
    </w:p>
    <w:p w14:paraId="2506580B" w14:textId="343DE088" w:rsidR="00EC26C6" w:rsidRPr="00EC26C6" w:rsidRDefault="00766B83" w:rsidP="00EC26C6">
      <w:pPr>
        <w:pStyle w:val="Heading3"/>
      </w:pPr>
      <w:bookmarkStart w:id="8" w:name="_Toc192753086"/>
      <w:r w:rsidRPr="00387441">
        <w:t>SAĪSINĀJUMI</w:t>
      </w:r>
      <w:bookmarkEnd w:id="2"/>
      <w:bookmarkEnd w:id="3"/>
      <w:bookmarkEnd w:id="4"/>
      <w:bookmarkEnd w:id="5"/>
      <w:bookmarkEnd w:id="6"/>
      <w:bookmarkEnd w:id="7"/>
      <w:bookmarkEnd w:id="8"/>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7371"/>
      </w:tblGrid>
      <w:tr w:rsidR="00766B83" w:rsidRPr="00843A44" w14:paraId="547F1416" w14:textId="77777777" w:rsidTr="00EC26C6">
        <w:trPr>
          <w:jc w:val="center"/>
        </w:trPr>
        <w:tc>
          <w:tcPr>
            <w:tcW w:w="2689" w:type="dxa"/>
            <w:shd w:val="clear" w:color="auto" w:fill="auto"/>
            <w:vAlign w:val="center"/>
          </w:tcPr>
          <w:p w14:paraId="31ACF8A8" w14:textId="48E4ACAE" w:rsidR="00766B83" w:rsidRPr="00843A44" w:rsidRDefault="00766B83" w:rsidP="00B36ADC">
            <w:pPr>
              <w:spacing w:after="0" w:line="240" w:lineRule="auto"/>
              <w:ind w:firstLine="0"/>
              <w:rPr>
                <w:sz w:val="22"/>
                <w:szCs w:val="22"/>
                <w:lang w:val="lv-LV"/>
              </w:rPr>
            </w:pPr>
            <w:r w:rsidRPr="00843A44">
              <w:rPr>
                <w:sz w:val="22"/>
                <w:szCs w:val="22"/>
                <w:lang w:val="lv-LV"/>
              </w:rPr>
              <w:t xml:space="preserve">AF </w:t>
            </w:r>
          </w:p>
        </w:tc>
        <w:tc>
          <w:tcPr>
            <w:tcW w:w="7371" w:type="dxa"/>
            <w:shd w:val="clear" w:color="auto" w:fill="auto"/>
            <w:vAlign w:val="center"/>
          </w:tcPr>
          <w:p w14:paraId="53CC023F" w14:textId="500E492D" w:rsidR="00766B83" w:rsidRPr="00843A44" w:rsidRDefault="002A10F8" w:rsidP="00B36ADC">
            <w:pPr>
              <w:spacing w:after="0" w:line="240" w:lineRule="auto"/>
              <w:ind w:firstLine="26"/>
              <w:rPr>
                <w:sz w:val="22"/>
                <w:szCs w:val="22"/>
                <w:lang w:val="lv-LV"/>
              </w:rPr>
            </w:pPr>
            <w:proofErr w:type="spellStart"/>
            <w:r w:rsidRPr="00843A44">
              <w:rPr>
                <w:sz w:val="22"/>
                <w:szCs w:val="22"/>
              </w:rPr>
              <w:t>Atveseļošanas</w:t>
            </w:r>
            <w:proofErr w:type="spellEnd"/>
            <w:r w:rsidRPr="00843A44">
              <w:rPr>
                <w:sz w:val="22"/>
                <w:szCs w:val="22"/>
              </w:rPr>
              <w:t xml:space="preserve"> un </w:t>
            </w:r>
            <w:proofErr w:type="spellStart"/>
            <w:r w:rsidRPr="00843A44">
              <w:rPr>
                <w:sz w:val="22"/>
                <w:szCs w:val="22"/>
              </w:rPr>
              <w:t>noturības</w:t>
            </w:r>
            <w:proofErr w:type="spellEnd"/>
            <w:r w:rsidRPr="00843A44">
              <w:rPr>
                <w:sz w:val="22"/>
                <w:szCs w:val="22"/>
              </w:rPr>
              <w:t xml:space="preserve"> </w:t>
            </w:r>
            <w:proofErr w:type="spellStart"/>
            <w:r w:rsidRPr="00843A44">
              <w:rPr>
                <w:sz w:val="22"/>
                <w:szCs w:val="22"/>
              </w:rPr>
              <w:t>mehānisms</w:t>
            </w:r>
            <w:proofErr w:type="spellEnd"/>
          </w:p>
        </w:tc>
      </w:tr>
      <w:tr w:rsidR="004634F6" w:rsidRPr="00843A44" w14:paraId="696A9A85" w14:textId="77777777" w:rsidTr="00EC26C6">
        <w:trPr>
          <w:jc w:val="center"/>
        </w:trPr>
        <w:tc>
          <w:tcPr>
            <w:tcW w:w="2689" w:type="dxa"/>
            <w:shd w:val="clear" w:color="auto" w:fill="auto"/>
            <w:vAlign w:val="center"/>
          </w:tcPr>
          <w:p w14:paraId="16329C55" w14:textId="567BB9DC" w:rsidR="004634F6" w:rsidRPr="00843A44" w:rsidRDefault="004634F6" w:rsidP="00B36ADC">
            <w:pPr>
              <w:spacing w:after="0" w:line="240" w:lineRule="auto"/>
              <w:ind w:firstLine="0"/>
              <w:rPr>
                <w:sz w:val="22"/>
                <w:szCs w:val="22"/>
                <w:lang w:val="lv-LV"/>
              </w:rPr>
            </w:pPr>
            <w:r w:rsidRPr="00843A44">
              <w:rPr>
                <w:sz w:val="22"/>
                <w:szCs w:val="22"/>
                <w:lang w:val="lv-LV"/>
              </w:rPr>
              <w:t xml:space="preserve">AFCOS </w:t>
            </w:r>
          </w:p>
        </w:tc>
        <w:tc>
          <w:tcPr>
            <w:tcW w:w="7371" w:type="dxa"/>
            <w:shd w:val="clear" w:color="auto" w:fill="auto"/>
            <w:vAlign w:val="center"/>
          </w:tcPr>
          <w:p w14:paraId="2EA41FF4" w14:textId="63960FCA" w:rsidR="004634F6" w:rsidRPr="00843A44" w:rsidRDefault="004634F6" w:rsidP="26F39E02">
            <w:pPr>
              <w:spacing w:after="0" w:line="240" w:lineRule="auto"/>
              <w:ind w:firstLine="28"/>
              <w:rPr>
                <w:sz w:val="22"/>
                <w:szCs w:val="22"/>
                <w:lang w:val="lv-LV"/>
              </w:rPr>
            </w:pPr>
            <w:r w:rsidRPr="00843A44">
              <w:rPr>
                <w:sz w:val="22"/>
                <w:szCs w:val="22"/>
                <w:lang w:val="lv-LV"/>
              </w:rPr>
              <w:t>Eiropas Savienības finanšu interešu aizsardzības koordinācijas dienests (</w:t>
            </w:r>
            <w:r w:rsidRPr="00843A44">
              <w:rPr>
                <w:i/>
                <w:iCs/>
                <w:sz w:val="22"/>
                <w:szCs w:val="22"/>
                <w:lang w:val="lv-LV"/>
              </w:rPr>
              <w:t xml:space="preserve">Anti-Fraud </w:t>
            </w:r>
            <w:proofErr w:type="spellStart"/>
            <w:r w:rsidRPr="00843A44">
              <w:rPr>
                <w:i/>
                <w:iCs/>
                <w:sz w:val="22"/>
                <w:szCs w:val="22"/>
                <w:lang w:val="lv-LV"/>
              </w:rPr>
              <w:t>Coordination</w:t>
            </w:r>
            <w:proofErr w:type="spellEnd"/>
            <w:r w:rsidRPr="00843A44">
              <w:rPr>
                <w:i/>
                <w:iCs/>
                <w:sz w:val="22"/>
                <w:szCs w:val="22"/>
                <w:lang w:val="lv-LV"/>
              </w:rPr>
              <w:t xml:space="preserve"> </w:t>
            </w:r>
            <w:proofErr w:type="spellStart"/>
            <w:r w:rsidRPr="00843A44">
              <w:rPr>
                <w:i/>
                <w:iCs/>
                <w:sz w:val="22"/>
                <w:szCs w:val="22"/>
                <w:lang w:val="lv-LV"/>
              </w:rPr>
              <w:t>Service</w:t>
            </w:r>
            <w:proofErr w:type="spellEnd"/>
            <w:r w:rsidRPr="00843A44">
              <w:rPr>
                <w:sz w:val="22"/>
                <w:szCs w:val="22"/>
                <w:lang w:val="lv-LV"/>
              </w:rPr>
              <w:t>)</w:t>
            </w:r>
          </w:p>
        </w:tc>
      </w:tr>
      <w:tr w:rsidR="004634F6" w:rsidRPr="00843A44" w14:paraId="57DBFD1C" w14:textId="77777777" w:rsidTr="00EC26C6">
        <w:trPr>
          <w:jc w:val="center"/>
        </w:trPr>
        <w:tc>
          <w:tcPr>
            <w:tcW w:w="2689" w:type="dxa"/>
            <w:shd w:val="clear" w:color="auto" w:fill="auto"/>
            <w:vAlign w:val="center"/>
          </w:tcPr>
          <w:p w14:paraId="0CAF7CC8" w14:textId="11F91784" w:rsidR="004634F6" w:rsidRPr="00843A44" w:rsidRDefault="004634F6" w:rsidP="00B36ADC">
            <w:pPr>
              <w:spacing w:after="0" w:line="240" w:lineRule="auto"/>
              <w:ind w:firstLine="0"/>
              <w:rPr>
                <w:sz w:val="22"/>
                <w:szCs w:val="22"/>
                <w:lang w:val="lv-LV"/>
              </w:rPr>
            </w:pPr>
            <w:r w:rsidRPr="00843A44">
              <w:rPr>
                <w:sz w:val="22"/>
                <w:szCs w:val="22"/>
                <w:lang w:val="lv-LV"/>
              </w:rPr>
              <w:t>AFCOS padome</w:t>
            </w:r>
          </w:p>
        </w:tc>
        <w:tc>
          <w:tcPr>
            <w:tcW w:w="7371" w:type="dxa"/>
            <w:shd w:val="clear" w:color="auto" w:fill="auto"/>
            <w:vAlign w:val="center"/>
          </w:tcPr>
          <w:p w14:paraId="4352BAFB" w14:textId="1C07D5D5" w:rsidR="004634F6" w:rsidRPr="00843A44" w:rsidRDefault="004634F6" w:rsidP="00B36ADC">
            <w:pPr>
              <w:spacing w:after="0" w:line="240" w:lineRule="auto"/>
              <w:ind w:firstLine="26"/>
              <w:rPr>
                <w:sz w:val="22"/>
                <w:szCs w:val="22"/>
                <w:lang w:val="lv-LV"/>
              </w:rPr>
            </w:pPr>
            <w:r w:rsidRPr="00843A44">
              <w:rPr>
                <w:sz w:val="22"/>
                <w:szCs w:val="22"/>
                <w:lang w:val="lv-LV"/>
              </w:rPr>
              <w:t>Eiropas Savienības finanšu interešu aizsardzības koordinācijas padome</w:t>
            </w:r>
          </w:p>
        </w:tc>
      </w:tr>
      <w:tr w:rsidR="004634F6" w:rsidRPr="00843A44" w14:paraId="79C3DCCC" w14:textId="77777777" w:rsidTr="00EC26C6">
        <w:trPr>
          <w:jc w:val="center"/>
        </w:trPr>
        <w:tc>
          <w:tcPr>
            <w:tcW w:w="2689" w:type="dxa"/>
            <w:shd w:val="clear" w:color="auto" w:fill="auto"/>
            <w:vAlign w:val="center"/>
          </w:tcPr>
          <w:p w14:paraId="2A326ABB" w14:textId="77777777" w:rsidR="004634F6" w:rsidRPr="00843A44" w:rsidRDefault="004634F6" w:rsidP="00B36ADC">
            <w:pPr>
              <w:spacing w:after="0" w:line="240" w:lineRule="auto"/>
              <w:ind w:firstLine="0"/>
              <w:rPr>
                <w:sz w:val="22"/>
                <w:szCs w:val="22"/>
                <w:lang w:val="lv-LV"/>
              </w:rPr>
            </w:pPr>
            <w:r w:rsidRPr="00843A44">
              <w:rPr>
                <w:sz w:val="22"/>
                <w:szCs w:val="22"/>
                <w:lang w:val="lv-LV"/>
              </w:rPr>
              <w:t>AFCOS Stratēģija</w:t>
            </w:r>
          </w:p>
        </w:tc>
        <w:tc>
          <w:tcPr>
            <w:tcW w:w="7371" w:type="dxa"/>
            <w:shd w:val="clear" w:color="auto" w:fill="auto"/>
            <w:vAlign w:val="center"/>
          </w:tcPr>
          <w:p w14:paraId="6B35607F" w14:textId="7C2A16DE" w:rsidR="004634F6" w:rsidRPr="00843A44" w:rsidRDefault="004634F6" w:rsidP="00B36ADC">
            <w:pPr>
              <w:spacing w:after="0" w:line="240" w:lineRule="auto"/>
              <w:ind w:firstLine="28"/>
              <w:rPr>
                <w:sz w:val="22"/>
                <w:szCs w:val="22"/>
                <w:lang w:val="lv-LV"/>
              </w:rPr>
            </w:pPr>
            <w:r w:rsidRPr="00843A44">
              <w:rPr>
                <w:sz w:val="22"/>
                <w:szCs w:val="22"/>
                <w:lang w:val="lv-LV"/>
              </w:rPr>
              <w:t>Eiropas Savienības finanšu interešu aizsardzības koordinācijas dienesta (AFCOS) darbības stratēģija un pasākumu plāns 2024.-2026. gadam</w:t>
            </w:r>
          </w:p>
        </w:tc>
      </w:tr>
      <w:tr w:rsidR="004634F6" w:rsidRPr="00843A44" w14:paraId="4A9AC7D6" w14:textId="77777777" w:rsidTr="00EC26C6">
        <w:trPr>
          <w:jc w:val="center"/>
        </w:trPr>
        <w:tc>
          <w:tcPr>
            <w:tcW w:w="2689" w:type="dxa"/>
            <w:shd w:val="clear" w:color="auto" w:fill="auto"/>
            <w:vAlign w:val="center"/>
          </w:tcPr>
          <w:p w14:paraId="69FA7744" w14:textId="77777777" w:rsidR="004634F6" w:rsidRPr="00843A44" w:rsidRDefault="004634F6" w:rsidP="00B36ADC">
            <w:pPr>
              <w:spacing w:after="0" w:line="240" w:lineRule="auto"/>
              <w:ind w:firstLine="0"/>
              <w:rPr>
                <w:sz w:val="22"/>
                <w:szCs w:val="22"/>
                <w:lang w:val="lv-LV"/>
              </w:rPr>
            </w:pPr>
            <w:r w:rsidRPr="00843A44">
              <w:rPr>
                <w:sz w:val="22"/>
                <w:szCs w:val="22"/>
                <w:lang w:val="lv-LV"/>
              </w:rPr>
              <w:t>CFLA</w:t>
            </w:r>
          </w:p>
        </w:tc>
        <w:tc>
          <w:tcPr>
            <w:tcW w:w="7371" w:type="dxa"/>
            <w:shd w:val="clear" w:color="auto" w:fill="auto"/>
            <w:vAlign w:val="center"/>
          </w:tcPr>
          <w:p w14:paraId="48BE60F7" w14:textId="77777777" w:rsidR="004634F6" w:rsidRPr="00843A44" w:rsidRDefault="004634F6" w:rsidP="00B36ADC">
            <w:pPr>
              <w:spacing w:after="0" w:line="240" w:lineRule="auto"/>
              <w:ind w:firstLine="26"/>
              <w:rPr>
                <w:sz w:val="22"/>
                <w:szCs w:val="22"/>
                <w:lang w:val="lv-LV"/>
              </w:rPr>
            </w:pPr>
            <w:r w:rsidRPr="00843A44">
              <w:rPr>
                <w:sz w:val="22"/>
                <w:szCs w:val="22"/>
                <w:lang w:val="lv-LV"/>
              </w:rPr>
              <w:t>Centrālā finanšu un līgumu aģentūra</w:t>
            </w:r>
          </w:p>
        </w:tc>
      </w:tr>
      <w:tr w:rsidR="004634F6" w:rsidRPr="00843A44" w14:paraId="04357C38" w14:textId="77777777" w:rsidTr="00EC26C6">
        <w:trPr>
          <w:jc w:val="center"/>
        </w:trPr>
        <w:tc>
          <w:tcPr>
            <w:tcW w:w="2689" w:type="dxa"/>
            <w:shd w:val="clear" w:color="auto" w:fill="auto"/>
            <w:vAlign w:val="center"/>
          </w:tcPr>
          <w:p w14:paraId="07AED3E6" w14:textId="21F40E18" w:rsidR="004634F6" w:rsidRPr="00843A44" w:rsidRDefault="004634F6" w:rsidP="00B36ADC">
            <w:pPr>
              <w:spacing w:after="0" w:line="240" w:lineRule="auto"/>
              <w:ind w:firstLine="0"/>
              <w:rPr>
                <w:sz w:val="22"/>
                <w:szCs w:val="22"/>
                <w:lang w:val="lv-LV"/>
              </w:rPr>
            </w:pPr>
            <w:r w:rsidRPr="00843A44">
              <w:rPr>
                <w:sz w:val="22"/>
                <w:szCs w:val="22"/>
                <w:lang w:val="lv-LV"/>
              </w:rPr>
              <w:t>DG REGIO</w:t>
            </w:r>
          </w:p>
        </w:tc>
        <w:tc>
          <w:tcPr>
            <w:tcW w:w="7371" w:type="dxa"/>
            <w:shd w:val="clear" w:color="auto" w:fill="auto"/>
            <w:vAlign w:val="center"/>
          </w:tcPr>
          <w:p w14:paraId="5903DCAB" w14:textId="52ADFCCC" w:rsidR="004634F6" w:rsidRPr="00843A44" w:rsidRDefault="004634F6" w:rsidP="26F39E02">
            <w:pPr>
              <w:spacing w:after="0" w:line="240" w:lineRule="auto"/>
              <w:ind w:firstLine="26"/>
              <w:rPr>
                <w:sz w:val="22"/>
                <w:szCs w:val="22"/>
                <w:lang w:val="lv-LV"/>
              </w:rPr>
            </w:pPr>
            <w:r w:rsidRPr="00843A44">
              <w:rPr>
                <w:sz w:val="22"/>
                <w:szCs w:val="22"/>
                <w:lang w:val="lv-LV"/>
              </w:rPr>
              <w:t>Eiropas Komisijas Reģionālās politikas un pilsētpolitikas ģenerāldirektorāts</w:t>
            </w:r>
          </w:p>
        </w:tc>
      </w:tr>
      <w:tr w:rsidR="004634F6" w:rsidRPr="00843A44" w14:paraId="50316A8E" w14:textId="77777777" w:rsidTr="00EC26C6">
        <w:trPr>
          <w:jc w:val="center"/>
        </w:trPr>
        <w:tc>
          <w:tcPr>
            <w:tcW w:w="2689" w:type="dxa"/>
            <w:shd w:val="clear" w:color="auto" w:fill="auto"/>
            <w:vAlign w:val="center"/>
          </w:tcPr>
          <w:p w14:paraId="02421286" w14:textId="77777777" w:rsidR="004634F6" w:rsidRPr="00843A44" w:rsidRDefault="004634F6" w:rsidP="00B36ADC">
            <w:pPr>
              <w:spacing w:after="0" w:line="240" w:lineRule="auto"/>
              <w:ind w:firstLine="0"/>
              <w:rPr>
                <w:sz w:val="22"/>
                <w:szCs w:val="22"/>
                <w:lang w:val="lv-LV"/>
              </w:rPr>
            </w:pPr>
            <w:r w:rsidRPr="00843A44">
              <w:rPr>
                <w:sz w:val="22"/>
                <w:szCs w:val="22"/>
                <w:lang w:val="lv-LV"/>
              </w:rPr>
              <w:t>EAFVP</w:t>
            </w:r>
          </w:p>
        </w:tc>
        <w:tc>
          <w:tcPr>
            <w:tcW w:w="7371" w:type="dxa"/>
            <w:shd w:val="clear" w:color="auto" w:fill="auto"/>
            <w:vAlign w:val="center"/>
          </w:tcPr>
          <w:p w14:paraId="3BCD5B39" w14:textId="4F02140A" w:rsidR="004634F6" w:rsidRPr="00843A44" w:rsidRDefault="004634F6" w:rsidP="00B36ADC">
            <w:pPr>
              <w:spacing w:after="0" w:line="240" w:lineRule="auto"/>
              <w:ind w:firstLine="26"/>
              <w:rPr>
                <w:sz w:val="22"/>
                <w:szCs w:val="22"/>
                <w:lang w:val="lv-LV"/>
              </w:rPr>
            </w:pPr>
            <w:r w:rsidRPr="00843A44">
              <w:rPr>
                <w:sz w:val="22"/>
                <w:szCs w:val="22"/>
                <w:lang w:val="lv-LV"/>
              </w:rPr>
              <w:t>Eiropas Atbalsta fonds vistrūcīgākajām personām</w:t>
            </w:r>
          </w:p>
        </w:tc>
      </w:tr>
      <w:tr w:rsidR="004634F6" w:rsidRPr="00843A44" w14:paraId="08794171" w14:textId="77777777" w:rsidTr="00EC26C6">
        <w:trPr>
          <w:jc w:val="center"/>
        </w:trPr>
        <w:tc>
          <w:tcPr>
            <w:tcW w:w="2689" w:type="dxa"/>
            <w:shd w:val="clear" w:color="auto" w:fill="auto"/>
            <w:vAlign w:val="center"/>
          </w:tcPr>
          <w:p w14:paraId="12D1BA0E" w14:textId="77777777" w:rsidR="004634F6" w:rsidRPr="00843A44" w:rsidRDefault="004634F6" w:rsidP="00B36ADC">
            <w:pPr>
              <w:spacing w:after="0" w:line="240" w:lineRule="auto"/>
              <w:ind w:firstLine="0"/>
              <w:rPr>
                <w:sz w:val="22"/>
                <w:szCs w:val="22"/>
                <w:lang w:val="lv-LV"/>
              </w:rPr>
            </w:pPr>
            <w:r w:rsidRPr="00843A44">
              <w:rPr>
                <w:sz w:val="22"/>
                <w:szCs w:val="22"/>
                <w:lang w:val="lv-LV"/>
              </w:rPr>
              <w:t>EJZF</w:t>
            </w:r>
          </w:p>
        </w:tc>
        <w:tc>
          <w:tcPr>
            <w:tcW w:w="7371" w:type="dxa"/>
            <w:shd w:val="clear" w:color="auto" w:fill="auto"/>
            <w:vAlign w:val="center"/>
          </w:tcPr>
          <w:p w14:paraId="12DB7737"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Jūrlietu un zivsaimniecības fonds</w:t>
            </w:r>
          </w:p>
        </w:tc>
      </w:tr>
      <w:tr w:rsidR="004634F6" w:rsidRPr="00843A44" w14:paraId="672D3AA8" w14:textId="77777777" w:rsidTr="00EC26C6">
        <w:trPr>
          <w:jc w:val="center"/>
        </w:trPr>
        <w:tc>
          <w:tcPr>
            <w:tcW w:w="2689" w:type="dxa"/>
            <w:shd w:val="clear" w:color="auto" w:fill="auto"/>
            <w:vAlign w:val="center"/>
          </w:tcPr>
          <w:p w14:paraId="2ED031F7" w14:textId="77777777" w:rsidR="004634F6" w:rsidRPr="00843A44" w:rsidRDefault="004634F6" w:rsidP="00B36ADC">
            <w:pPr>
              <w:spacing w:after="0" w:line="240" w:lineRule="auto"/>
              <w:ind w:firstLine="0"/>
              <w:rPr>
                <w:sz w:val="22"/>
                <w:szCs w:val="22"/>
                <w:lang w:val="lv-LV"/>
              </w:rPr>
            </w:pPr>
            <w:r w:rsidRPr="00843A44">
              <w:rPr>
                <w:sz w:val="22"/>
                <w:szCs w:val="22"/>
                <w:lang w:val="lv-LV"/>
              </w:rPr>
              <w:t>EK</w:t>
            </w:r>
          </w:p>
        </w:tc>
        <w:tc>
          <w:tcPr>
            <w:tcW w:w="7371" w:type="dxa"/>
            <w:shd w:val="clear" w:color="auto" w:fill="auto"/>
            <w:vAlign w:val="center"/>
          </w:tcPr>
          <w:p w14:paraId="0419A720"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Komisija</w:t>
            </w:r>
          </w:p>
        </w:tc>
      </w:tr>
      <w:tr w:rsidR="004634F6" w:rsidRPr="00843A44" w14:paraId="67429AEB" w14:textId="77777777" w:rsidTr="00EC26C6">
        <w:trPr>
          <w:jc w:val="center"/>
        </w:trPr>
        <w:tc>
          <w:tcPr>
            <w:tcW w:w="2689" w:type="dxa"/>
            <w:shd w:val="clear" w:color="auto" w:fill="auto"/>
            <w:vAlign w:val="center"/>
          </w:tcPr>
          <w:p w14:paraId="4D303C89" w14:textId="77777777" w:rsidR="004634F6" w:rsidRPr="00843A44" w:rsidRDefault="004634F6" w:rsidP="00B36ADC">
            <w:pPr>
              <w:spacing w:after="0" w:line="240" w:lineRule="auto"/>
              <w:ind w:firstLine="0"/>
              <w:rPr>
                <w:sz w:val="22"/>
                <w:szCs w:val="22"/>
                <w:lang w:val="lv-LV"/>
              </w:rPr>
            </w:pPr>
            <w:r w:rsidRPr="00843A44">
              <w:rPr>
                <w:sz w:val="22"/>
                <w:szCs w:val="22"/>
                <w:lang w:val="lv-LV"/>
              </w:rPr>
              <w:t>ELFLA</w:t>
            </w:r>
          </w:p>
        </w:tc>
        <w:tc>
          <w:tcPr>
            <w:tcW w:w="7371" w:type="dxa"/>
            <w:shd w:val="clear" w:color="auto" w:fill="auto"/>
            <w:vAlign w:val="center"/>
          </w:tcPr>
          <w:p w14:paraId="4E8F3720"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Lauksaimniecības fonds lauku attīstībai</w:t>
            </w:r>
          </w:p>
        </w:tc>
      </w:tr>
      <w:tr w:rsidR="004634F6" w:rsidRPr="00843A44" w14:paraId="49DD26EC" w14:textId="77777777" w:rsidTr="00EC26C6">
        <w:trPr>
          <w:jc w:val="center"/>
        </w:trPr>
        <w:tc>
          <w:tcPr>
            <w:tcW w:w="2689" w:type="dxa"/>
            <w:shd w:val="clear" w:color="auto" w:fill="auto"/>
            <w:vAlign w:val="center"/>
          </w:tcPr>
          <w:p w14:paraId="013E107A" w14:textId="77777777" w:rsidR="004634F6" w:rsidRPr="00843A44" w:rsidRDefault="004634F6" w:rsidP="00B36ADC">
            <w:pPr>
              <w:spacing w:after="0" w:line="240" w:lineRule="auto"/>
              <w:ind w:firstLine="0"/>
              <w:rPr>
                <w:sz w:val="22"/>
                <w:szCs w:val="22"/>
                <w:lang w:val="lv-LV"/>
              </w:rPr>
            </w:pPr>
            <w:r w:rsidRPr="00843A44">
              <w:rPr>
                <w:sz w:val="22"/>
                <w:szCs w:val="22"/>
                <w:lang w:val="lv-LV"/>
              </w:rPr>
              <w:t>ELGF</w:t>
            </w:r>
          </w:p>
        </w:tc>
        <w:tc>
          <w:tcPr>
            <w:tcW w:w="7371" w:type="dxa"/>
            <w:shd w:val="clear" w:color="auto" w:fill="auto"/>
            <w:vAlign w:val="center"/>
          </w:tcPr>
          <w:p w14:paraId="450AC966"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Lauksaimniecības garantiju fonds</w:t>
            </w:r>
          </w:p>
        </w:tc>
      </w:tr>
      <w:tr w:rsidR="00836541" w:rsidRPr="00843A44" w14:paraId="6ABB92A9" w14:textId="77777777" w:rsidTr="00EC26C6">
        <w:trPr>
          <w:jc w:val="center"/>
        </w:trPr>
        <w:tc>
          <w:tcPr>
            <w:tcW w:w="2689" w:type="dxa"/>
            <w:shd w:val="clear" w:color="auto" w:fill="auto"/>
            <w:vAlign w:val="center"/>
          </w:tcPr>
          <w:p w14:paraId="4545395C" w14:textId="303616E1" w:rsidR="00836541" w:rsidRPr="00843A44" w:rsidRDefault="00836541" w:rsidP="00B36ADC">
            <w:pPr>
              <w:spacing w:after="0" w:line="240" w:lineRule="auto"/>
              <w:ind w:firstLine="0"/>
              <w:rPr>
                <w:sz w:val="22"/>
                <w:szCs w:val="22"/>
                <w:lang w:val="lv-LV"/>
              </w:rPr>
            </w:pPr>
            <w:r w:rsidRPr="00843A44">
              <w:rPr>
                <w:sz w:val="22"/>
                <w:szCs w:val="22"/>
                <w:lang w:val="lv-LV"/>
              </w:rPr>
              <w:t xml:space="preserve">ENAP </w:t>
            </w:r>
          </w:p>
        </w:tc>
        <w:tc>
          <w:tcPr>
            <w:tcW w:w="7371" w:type="dxa"/>
            <w:shd w:val="clear" w:color="auto" w:fill="auto"/>
            <w:vAlign w:val="center"/>
          </w:tcPr>
          <w:p w14:paraId="0BB64682" w14:textId="4458E0A1" w:rsidR="00836541" w:rsidRPr="00843A44" w:rsidRDefault="00097E7E" w:rsidP="00B36ADC">
            <w:pPr>
              <w:spacing w:after="0" w:line="240" w:lineRule="auto"/>
              <w:ind w:firstLine="26"/>
              <w:rPr>
                <w:sz w:val="22"/>
                <w:szCs w:val="22"/>
                <w:lang w:val="lv-LV"/>
              </w:rPr>
            </w:pPr>
            <w:r w:rsidRPr="00843A44">
              <w:rPr>
                <w:sz w:val="22"/>
                <w:szCs w:val="22"/>
                <w:lang w:val="lv-LV"/>
              </w:rPr>
              <w:t>Valsts policijas Galvenās kriminālpolicijas pārvaldes Ekonomisko noziegumu apkarošanas pārvalde</w:t>
            </w:r>
          </w:p>
        </w:tc>
      </w:tr>
      <w:tr w:rsidR="004634F6" w:rsidRPr="00843A44" w14:paraId="699E21B5" w14:textId="77777777" w:rsidTr="00EC26C6">
        <w:trPr>
          <w:jc w:val="center"/>
        </w:trPr>
        <w:tc>
          <w:tcPr>
            <w:tcW w:w="2689" w:type="dxa"/>
            <w:shd w:val="clear" w:color="auto" w:fill="auto"/>
            <w:vAlign w:val="center"/>
          </w:tcPr>
          <w:p w14:paraId="442AFB02" w14:textId="77777777" w:rsidR="004634F6" w:rsidRPr="00843A44" w:rsidRDefault="004634F6" w:rsidP="00B36ADC">
            <w:pPr>
              <w:spacing w:after="0" w:line="240" w:lineRule="auto"/>
              <w:ind w:firstLine="0"/>
              <w:rPr>
                <w:sz w:val="22"/>
                <w:szCs w:val="22"/>
                <w:lang w:val="lv-LV"/>
              </w:rPr>
            </w:pPr>
            <w:r w:rsidRPr="00843A44">
              <w:rPr>
                <w:sz w:val="22"/>
                <w:szCs w:val="22"/>
                <w:lang w:val="lv-LV"/>
              </w:rPr>
              <w:t>EPPO</w:t>
            </w:r>
          </w:p>
        </w:tc>
        <w:tc>
          <w:tcPr>
            <w:tcW w:w="7371" w:type="dxa"/>
            <w:shd w:val="clear" w:color="auto" w:fill="auto"/>
            <w:vAlign w:val="center"/>
          </w:tcPr>
          <w:p w14:paraId="3FEC5C4F" w14:textId="77777777" w:rsidR="004634F6" w:rsidRPr="00843A44" w:rsidRDefault="004634F6" w:rsidP="26F39E02">
            <w:pPr>
              <w:spacing w:after="0" w:line="240" w:lineRule="auto"/>
              <w:ind w:firstLine="26"/>
              <w:rPr>
                <w:sz w:val="22"/>
                <w:szCs w:val="22"/>
                <w:lang w:val="lv-LV"/>
              </w:rPr>
            </w:pPr>
            <w:r w:rsidRPr="00843A44">
              <w:rPr>
                <w:sz w:val="22"/>
                <w:szCs w:val="22"/>
                <w:lang w:val="lv-LV"/>
              </w:rPr>
              <w:t>Eiropas Prokuratūra (</w:t>
            </w:r>
            <w:proofErr w:type="spellStart"/>
            <w:r w:rsidRPr="00843A44">
              <w:rPr>
                <w:i/>
                <w:iCs/>
                <w:sz w:val="22"/>
                <w:szCs w:val="22"/>
                <w:lang w:val="lv-LV"/>
              </w:rPr>
              <w:t>European</w:t>
            </w:r>
            <w:proofErr w:type="spellEnd"/>
            <w:r w:rsidRPr="00843A44">
              <w:rPr>
                <w:i/>
                <w:iCs/>
                <w:sz w:val="22"/>
                <w:szCs w:val="22"/>
                <w:lang w:val="lv-LV"/>
              </w:rPr>
              <w:t xml:space="preserve"> </w:t>
            </w:r>
            <w:proofErr w:type="spellStart"/>
            <w:r w:rsidRPr="00843A44">
              <w:rPr>
                <w:i/>
                <w:iCs/>
                <w:sz w:val="22"/>
                <w:szCs w:val="22"/>
                <w:lang w:val="lv-LV"/>
              </w:rPr>
              <w:t>Public</w:t>
            </w:r>
            <w:proofErr w:type="spellEnd"/>
            <w:r w:rsidRPr="00843A44">
              <w:rPr>
                <w:i/>
                <w:iCs/>
                <w:sz w:val="22"/>
                <w:szCs w:val="22"/>
                <w:lang w:val="lv-LV"/>
              </w:rPr>
              <w:t xml:space="preserve"> </w:t>
            </w:r>
            <w:proofErr w:type="spellStart"/>
            <w:r w:rsidRPr="00843A44">
              <w:rPr>
                <w:i/>
                <w:iCs/>
                <w:sz w:val="22"/>
                <w:szCs w:val="22"/>
                <w:lang w:val="lv-LV"/>
              </w:rPr>
              <w:t>Prosecutor's</w:t>
            </w:r>
            <w:proofErr w:type="spellEnd"/>
            <w:r w:rsidRPr="00843A44">
              <w:rPr>
                <w:i/>
                <w:iCs/>
                <w:sz w:val="22"/>
                <w:szCs w:val="22"/>
                <w:lang w:val="lv-LV"/>
              </w:rPr>
              <w:t xml:space="preserve"> Office</w:t>
            </w:r>
            <w:r w:rsidRPr="00843A44">
              <w:rPr>
                <w:sz w:val="22"/>
                <w:szCs w:val="22"/>
                <w:lang w:val="lv-LV"/>
              </w:rPr>
              <w:t>)</w:t>
            </w:r>
          </w:p>
        </w:tc>
      </w:tr>
      <w:tr w:rsidR="004634F6" w:rsidRPr="00843A44" w14:paraId="4DDF3870" w14:textId="77777777" w:rsidTr="00EC26C6">
        <w:trPr>
          <w:jc w:val="center"/>
        </w:trPr>
        <w:tc>
          <w:tcPr>
            <w:tcW w:w="2689" w:type="dxa"/>
            <w:shd w:val="clear" w:color="auto" w:fill="auto"/>
            <w:vAlign w:val="center"/>
          </w:tcPr>
          <w:p w14:paraId="728002E1" w14:textId="77777777" w:rsidR="004634F6" w:rsidRPr="00843A44" w:rsidRDefault="004634F6" w:rsidP="00B36ADC">
            <w:pPr>
              <w:spacing w:after="0" w:line="240" w:lineRule="auto"/>
              <w:ind w:firstLine="0"/>
              <w:rPr>
                <w:sz w:val="22"/>
                <w:szCs w:val="22"/>
                <w:lang w:val="lv-LV"/>
              </w:rPr>
            </w:pPr>
            <w:r w:rsidRPr="00843A44">
              <w:rPr>
                <w:sz w:val="22"/>
                <w:szCs w:val="22"/>
                <w:lang w:val="lv-LV"/>
              </w:rPr>
              <w:t>ERAF</w:t>
            </w:r>
          </w:p>
        </w:tc>
        <w:tc>
          <w:tcPr>
            <w:tcW w:w="7371" w:type="dxa"/>
            <w:shd w:val="clear" w:color="auto" w:fill="auto"/>
            <w:vAlign w:val="center"/>
          </w:tcPr>
          <w:p w14:paraId="33FB61AF"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Reģionālās attīstības fonds</w:t>
            </w:r>
          </w:p>
        </w:tc>
      </w:tr>
      <w:tr w:rsidR="004634F6" w:rsidRPr="00843A44" w14:paraId="72565CC8" w14:textId="77777777" w:rsidTr="00EC26C6">
        <w:trPr>
          <w:jc w:val="center"/>
        </w:trPr>
        <w:tc>
          <w:tcPr>
            <w:tcW w:w="2689" w:type="dxa"/>
            <w:shd w:val="clear" w:color="auto" w:fill="auto"/>
            <w:vAlign w:val="center"/>
          </w:tcPr>
          <w:p w14:paraId="0784ED91" w14:textId="77777777" w:rsidR="004634F6" w:rsidRPr="00843A44" w:rsidRDefault="004634F6" w:rsidP="00B36ADC">
            <w:pPr>
              <w:spacing w:after="0" w:line="240" w:lineRule="auto"/>
              <w:ind w:firstLine="0"/>
              <w:rPr>
                <w:sz w:val="22"/>
                <w:szCs w:val="22"/>
                <w:lang w:val="lv-LV"/>
              </w:rPr>
            </w:pPr>
            <w:r w:rsidRPr="00843A44">
              <w:rPr>
                <w:sz w:val="22"/>
                <w:szCs w:val="22"/>
                <w:lang w:val="lv-LV"/>
              </w:rPr>
              <w:t>ES</w:t>
            </w:r>
          </w:p>
        </w:tc>
        <w:tc>
          <w:tcPr>
            <w:tcW w:w="7371" w:type="dxa"/>
            <w:shd w:val="clear" w:color="auto" w:fill="auto"/>
            <w:vAlign w:val="center"/>
          </w:tcPr>
          <w:p w14:paraId="119A9517"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Savienība</w:t>
            </w:r>
          </w:p>
        </w:tc>
      </w:tr>
      <w:tr w:rsidR="004634F6" w:rsidRPr="00843A44" w14:paraId="1D1CB11E" w14:textId="77777777" w:rsidTr="00EC26C6">
        <w:trPr>
          <w:jc w:val="center"/>
        </w:trPr>
        <w:tc>
          <w:tcPr>
            <w:tcW w:w="2689" w:type="dxa"/>
            <w:shd w:val="clear" w:color="auto" w:fill="auto"/>
            <w:vAlign w:val="center"/>
          </w:tcPr>
          <w:p w14:paraId="76326528" w14:textId="77777777" w:rsidR="004634F6" w:rsidRPr="00843A44" w:rsidRDefault="004634F6" w:rsidP="00B36ADC">
            <w:pPr>
              <w:spacing w:after="0" w:line="240" w:lineRule="auto"/>
              <w:ind w:firstLine="0"/>
              <w:rPr>
                <w:sz w:val="22"/>
                <w:szCs w:val="22"/>
                <w:lang w:val="lv-LV"/>
              </w:rPr>
            </w:pPr>
            <w:r w:rsidRPr="00843A44">
              <w:rPr>
                <w:sz w:val="22"/>
                <w:szCs w:val="22"/>
                <w:lang w:val="lv-LV"/>
              </w:rPr>
              <w:t>ESF</w:t>
            </w:r>
          </w:p>
        </w:tc>
        <w:tc>
          <w:tcPr>
            <w:tcW w:w="7371" w:type="dxa"/>
            <w:shd w:val="clear" w:color="auto" w:fill="auto"/>
            <w:vAlign w:val="center"/>
          </w:tcPr>
          <w:p w14:paraId="065F9D28"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Sociālais fonds</w:t>
            </w:r>
          </w:p>
        </w:tc>
      </w:tr>
      <w:tr w:rsidR="00282398" w:rsidRPr="00843A44" w14:paraId="17F66563" w14:textId="77777777" w:rsidTr="00EC26C6">
        <w:trPr>
          <w:jc w:val="center"/>
        </w:trPr>
        <w:tc>
          <w:tcPr>
            <w:tcW w:w="2689" w:type="dxa"/>
            <w:shd w:val="clear" w:color="auto" w:fill="auto"/>
            <w:vAlign w:val="center"/>
          </w:tcPr>
          <w:p w14:paraId="08837521" w14:textId="00C72EE7" w:rsidR="00282398" w:rsidRPr="00843A44" w:rsidRDefault="00282398" w:rsidP="00B36ADC">
            <w:pPr>
              <w:spacing w:after="0" w:line="240" w:lineRule="auto"/>
              <w:ind w:firstLine="0"/>
              <w:rPr>
                <w:sz w:val="22"/>
                <w:szCs w:val="22"/>
                <w:lang w:val="lv-LV"/>
              </w:rPr>
            </w:pPr>
            <w:r w:rsidRPr="00843A44">
              <w:rPr>
                <w:sz w:val="22"/>
                <w:szCs w:val="22"/>
                <w:lang w:val="lv-LV"/>
              </w:rPr>
              <w:t>ESF+</w:t>
            </w:r>
          </w:p>
        </w:tc>
        <w:tc>
          <w:tcPr>
            <w:tcW w:w="7371" w:type="dxa"/>
            <w:shd w:val="clear" w:color="auto" w:fill="auto"/>
            <w:vAlign w:val="center"/>
          </w:tcPr>
          <w:p w14:paraId="36312F75" w14:textId="1A1E2057" w:rsidR="00282398" w:rsidRPr="00843A44" w:rsidRDefault="00282398" w:rsidP="00B36ADC">
            <w:pPr>
              <w:spacing w:after="0" w:line="240" w:lineRule="auto"/>
              <w:ind w:firstLine="26"/>
              <w:rPr>
                <w:sz w:val="22"/>
                <w:szCs w:val="22"/>
                <w:lang w:val="lv-LV"/>
              </w:rPr>
            </w:pPr>
            <w:r w:rsidRPr="00843A44">
              <w:rPr>
                <w:sz w:val="22"/>
                <w:szCs w:val="22"/>
                <w:lang w:val="lv-LV"/>
              </w:rPr>
              <w:t>Eiropas Sociālais fonds Plus</w:t>
            </w:r>
          </w:p>
        </w:tc>
      </w:tr>
      <w:tr w:rsidR="00842B69" w:rsidRPr="00843A44" w14:paraId="0884A9B0" w14:textId="77777777" w:rsidTr="00EC26C6">
        <w:trPr>
          <w:jc w:val="center"/>
        </w:trPr>
        <w:tc>
          <w:tcPr>
            <w:tcW w:w="2689" w:type="dxa"/>
            <w:shd w:val="clear" w:color="auto" w:fill="auto"/>
            <w:vAlign w:val="center"/>
          </w:tcPr>
          <w:p w14:paraId="6D6E6EB9" w14:textId="562198C4" w:rsidR="00842B69" w:rsidRPr="00843A44" w:rsidRDefault="00842B69" w:rsidP="00B36ADC">
            <w:pPr>
              <w:spacing w:after="0" w:line="240" w:lineRule="auto"/>
              <w:ind w:firstLine="0"/>
              <w:rPr>
                <w:sz w:val="22"/>
                <w:szCs w:val="22"/>
                <w:lang w:val="lv-LV"/>
              </w:rPr>
            </w:pPr>
            <w:r w:rsidRPr="00843A44">
              <w:rPr>
                <w:sz w:val="22"/>
                <w:szCs w:val="22"/>
                <w:lang w:val="lv-LV"/>
              </w:rPr>
              <w:t>ESF+</w:t>
            </w:r>
            <w:r w:rsidR="0016194D" w:rsidRPr="00843A44">
              <w:rPr>
                <w:sz w:val="22"/>
                <w:szCs w:val="22"/>
                <w:lang w:val="lv-LV"/>
              </w:rPr>
              <w:t xml:space="preserve"> programma</w:t>
            </w:r>
          </w:p>
        </w:tc>
        <w:tc>
          <w:tcPr>
            <w:tcW w:w="7371" w:type="dxa"/>
            <w:shd w:val="clear" w:color="auto" w:fill="auto"/>
            <w:vAlign w:val="center"/>
          </w:tcPr>
          <w:p w14:paraId="409AAA51" w14:textId="134EE59D" w:rsidR="00842B69" w:rsidRPr="00843A44" w:rsidRDefault="00842B69" w:rsidP="00B36ADC">
            <w:pPr>
              <w:spacing w:after="0" w:line="240" w:lineRule="auto"/>
              <w:ind w:firstLine="26"/>
              <w:rPr>
                <w:sz w:val="22"/>
                <w:szCs w:val="22"/>
                <w:lang w:val="lv-LV"/>
              </w:rPr>
            </w:pPr>
            <w:r w:rsidRPr="00843A44">
              <w:rPr>
                <w:sz w:val="22"/>
                <w:szCs w:val="22"/>
                <w:lang w:val="lv-LV"/>
              </w:rPr>
              <w:t>Eiropas Sociālais fonds</w:t>
            </w:r>
            <w:r w:rsidR="00510C90" w:rsidRPr="00843A44">
              <w:rPr>
                <w:sz w:val="22"/>
                <w:szCs w:val="22"/>
                <w:lang w:val="lv-LV"/>
              </w:rPr>
              <w:t xml:space="preserve"> Plus</w:t>
            </w:r>
            <w:r w:rsidR="004A08FE" w:rsidRPr="00843A44">
              <w:rPr>
                <w:lang w:val="lv-LV"/>
              </w:rPr>
              <w:t xml:space="preserve"> </w:t>
            </w:r>
            <w:r w:rsidR="004A08FE" w:rsidRPr="00843A44">
              <w:rPr>
                <w:sz w:val="22"/>
                <w:szCs w:val="22"/>
                <w:lang w:val="lv-LV"/>
              </w:rPr>
              <w:t>programma materiālās nenodrošinātības mazināšanai 2021.– 2027. gadam</w:t>
            </w:r>
          </w:p>
        </w:tc>
      </w:tr>
      <w:tr w:rsidR="004634F6" w:rsidRPr="00843A44" w14:paraId="612317F2" w14:textId="77777777" w:rsidTr="00EC26C6">
        <w:trPr>
          <w:jc w:val="center"/>
        </w:trPr>
        <w:tc>
          <w:tcPr>
            <w:tcW w:w="2689" w:type="dxa"/>
            <w:shd w:val="clear" w:color="auto" w:fill="auto"/>
            <w:vAlign w:val="center"/>
          </w:tcPr>
          <w:p w14:paraId="70C39E77" w14:textId="77777777" w:rsidR="004634F6" w:rsidRPr="00843A44" w:rsidRDefault="004634F6" w:rsidP="00B36ADC">
            <w:pPr>
              <w:spacing w:after="0" w:line="240" w:lineRule="auto"/>
              <w:ind w:firstLine="0"/>
              <w:rPr>
                <w:sz w:val="22"/>
                <w:szCs w:val="22"/>
                <w:lang w:val="lv-LV"/>
              </w:rPr>
            </w:pPr>
            <w:r w:rsidRPr="00843A44">
              <w:rPr>
                <w:sz w:val="22"/>
                <w:szCs w:val="22"/>
                <w:lang w:val="lv-LV"/>
              </w:rPr>
              <w:t>ES fondi</w:t>
            </w:r>
          </w:p>
        </w:tc>
        <w:tc>
          <w:tcPr>
            <w:tcW w:w="7371" w:type="dxa"/>
            <w:shd w:val="clear" w:color="auto" w:fill="auto"/>
            <w:vAlign w:val="center"/>
          </w:tcPr>
          <w:p w14:paraId="1BA341E1" w14:textId="382C74B9" w:rsidR="004634F6" w:rsidRPr="00843A44" w:rsidRDefault="004634F6" w:rsidP="00B36ADC">
            <w:pPr>
              <w:spacing w:after="0" w:line="240" w:lineRule="auto"/>
              <w:ind w:firstLine="28"/>
              <w:rPr>
                <w:sz w:val="22"/>
                <w:szCs w:val="22"/>
                <w:lang w:val="lv-LV"/>
              </w:rPr>
            </w:pPr>
            <w:r w:rsidRPr="00843A44">
              <w:rPr>
                <w:sz w:val="22"/>
                <w:szCs w:val="22"/>
                <w:lang w:val="lv-LV"/>
              </w:rPr>
              <w:t>Eiropas Sociālais fonds,</w:t>
            </w:r>
            <w:r w:rsidR="00EF5487" w:rsidRPr="00843A44">
              <w:rPr>
                <w:sz w:val="22"/>
                <w:szCs w:val="22"/>
                <w:lang w:val="lv-LV"/>
              </w:rPr>
              <w:t xml:space="preserve"> Eiropas Sociālais fonds Plus,</w:t>
            </w:r>
            <w:r w:rsidRPr="00843A44">
              <w:rPr>
                <w:sz w:val="22"/>
                <w:szCs w:val="22"/>
                <w:lang w:val="lv-LV"/>
              </w:rPr>
              <w:t xml:space="preserve"> </w:t>
            </w:r>
            <w:r w:rsidR="00EF0E44" w:rsidRPr="00843A44">
              <w:rPr>
                <w:sz w:val="22"/>
                <w:szCs w:val="22"/>
                <w:lang w:val="lv-LV"/>
              </w:rPr>
              <w:t xml:space="preserve">Taisnīgas pārkārtošanās fonds, </w:t>
            </w:r>
            <w:r w:rsidRPr="00843A44">
              <w:rPr>
                <w:sz w:val="22"/>
                <w:szCs w:val="22"/>
                <w:lang w:val="lv-LV"/>
              </w:rPr>
              <w:t>Eiropas Reģionālās attīstības fonds, Kohēzijas fonds, Eiropas Lauksaimniecības fonds lauku attīstībai, Eiropas Lauksaimniecības garantiju fonds, Eiropas Jūrlietu un zivsaimniecības fonds, Eiropas Teritoriālās sadarbības programmas, Eiropas Atbalsta fonds vistrūcīgākajām personām, Iekšējās drošības fonds, Patvēruma, migrācijas un integrācijas fonds</w:t>
            </w:r>
          </w:p>
        </w:tc>
      </w:tr>
      <w:tr w:rsidR="004634F6" w:rsidRPr="00843A44" w14:paraId="28362742" w14:textId="77777777" w:rsidTr="00EC26C6">
        <w:trPr>
          <w:jc w:val="center"/>
        </w:trPr>
        <w:tc>
          <w:tcPr>
            <w:tcW w:w="2689" w:type="dxa"/>
            <w:shd w:val="clear" w:color="auto" w:fill="auto"/>
            <w:vAlign w:val="center"/>
          </w:tcPr>
          <w:p w14:paraId="1A5A9C7F" w14:textId="77777777" w:rsidR="004634F6" w:rsidRPr="00843A44" w:rsidRDefault="004634F6" w:rsidP="00B36ADC">
            <w:pPr>
              <w:spacing w:after="0" w:line="240" w:lineRule="auto"/>
              <w:ind w:firstLine="0"/>
              <w:rPr>
                <w:sz w:val="22"/>
                <w:szCs w:val="22"/>
                <w:lang w:val="lv-LV"/>
              </w:rPr>
            </w:pPr>
            <w:r w:rsidRPr="00843A44">
              <w:rPr>
                <w:sz w:val="22"/>
                <w:szCs w:val="22"/>
                <w:lang w:val="lv-LV"/>
              </w:rPr>
              <w:t>ETS</w:t>
            </w:r>
          </w:p>
        </w:tc>
        <w:tc>
          <w:tcPr>
            <w:tcW w:w="7371" w:type="dxa"/>
            <w:shd w:val="clear" w:color="auto" w:fill="auto"/>
            <w:vAlign w:val="center"/>
          </w:tcPr>
          <w:p w14:paraId="21327819" w14:textId="77777777" w:rsidR="004634F6" w:rsidRPr="00843A44" w:rsidRDefault="004634F6" w:rsidP="00B36ADC">
            <w:pPr>
              <w:spacing w:after="0" w:line="240" w:lineRule="auto"/>
              <w:ind w:firstLine="26"/>
              <w:rPr>
                <w:sz w:val="22"/>
                <w:szCs w:val="22"/>
                <w:lang w:val="lv-LV"/>
              </w:rPr>
            </w:pPr>
            <w:r w:rsidRPr="00843A44">
              <w:rPr>
                <w:sz w:val="22"/>
                <w:szCs w:val="22"/>
                <w:lang w:val="lv-LV"/>
              </w:rPr>
              <w:t>Eiropas Teritoriālās sadarbības programmas</w:t>
            </w:r>
          </w:p>
        </w:tc>
      </w:tr>
      <w:tr w:rsidR="004634F6" w:rsidRPr="00843A44" w14:paraId="2E84260E" w14:textId="77777777" w:rsidTr="00EC26C6">
        <w:trPr>
          <w:jc w:val="center"/>
        </w:trPr>
        <w:tc>
          <w:tcPr>
            <w:tcW w:w="2689" w:type="dxa"/>
            <w:shd w:val="clear" w:color="auto" w:fill="auto"/>
            <w:vAlign w:val="center"/>
          </w:tcPr>
          <w:p w14:paraId="408CD017" w14:textId="77777777" w:rsidR="004634F6" w:rsidRPr="00843A44" w:rsidRDefault="004634F6" w:rsidP="00B36ADC">
            <w:pPr>
              <w:spacing w:after="0" w:line="240" w:lineRule="auto"/>
              <w:ind w:firstLine="0"/>
              <w:rPr>
                <w:sz w:val="22"/>
                <w:szCs w:val="22"/>
                <w:lang w:val="lv-LV"/>
              </w:rPr>
            </w:pPr>
            <w:r w:rsidRPr="00843A44">
              <w:rPr>
                <w:sz w:val="22"/>
                <w:szCs w:val="22"/>
                <w:lang w:val="lv-LV"/>
              </w:rPr>
              <w:t>FM</w:t>
            </w:r>
          </w:p>
        </w:tc>
        <w:tc>
          <w:tcPr>
            <w:tcW w:w="7371" w:type="dxa"/>
            <w:shd w:val="clear" w:color="auto" w:fill="auto"/>
            <w:vAlign w:val="center"/>
          </w:tcPr>
          <w:p w14:paraId="7517D646" w14:textId="77777777" w:rsidR="004634F6" w:rsidRPr="00843A44" w:rsidRDefault="004634F6" w:rsidP="00B36ADC">
            <w:pPr>
              <w:spacing w:after="0" w:line="240" w:lineRule="auto"/>
              <w:ind w:firstLine="26"/>
              <w:rPr>
                <w:sz w:val="22"/>
                <w:szCs w:val="22"/>
                <w:lang w:val="lv-LV"/>
              </w:rPr>
            </w:pPr>
            <w:r w:rsidRPr="00843A44">
              <w:rPr>
                <w:sz w:val="22"/>
                <w:szCs w:val="22"/>
                <w:lang w:val="lv-LV"/>
              </w:rPr>
              <w:t>Finanšu ministrija</w:t>
            </w:r>
          </w:p>
        </w:tc>
      </w:tr>
      <w:tr w:rsidR="004634F6" w:rsidRPr="00843A44" w14:paraId="3EB037CE" w14:textId="77777777" w:rsidTr="00EC26C6">
        <w:trPr>
          <w:jc w:val="center"/>
        </w:trPr>
        <w:tc>
          <w:tcPr>
            <w:tcW w:w="2689" w:type="dxa"/>
            <w:shd w:val="clear" w:color="auto" w:fill="auto"/>
            <w:vAlign w:val="center"/>
          </w:tcPr>
          <w:p w14:paraId="39BD7B12" w14:textId="22D5978D" w:rsidR="004634F6" w:rsidRPr="00843A44" w:rsidRDefault="004634F6" w:rsidP="00B36ADC">
            <w:pPr>
              <w:spacing w:after="0" w:line="240" w:lineRule="auto"/>
              <w:ind w:firstLine="0"/>
              <w:rPr>
                <w:sz w:val="22"/>
                <w:szCs w:val="22"/>
                <w:lang w:val="lv-LV"/>
              </w:rPr>
            </w:pPr>
            <w:r w:rsidRPr="00843A44">
              <w:rPr>
                <w:sz w:val="22"/>
                <w:szCs w:val="22"/>
                <w:lang w:val="lv-LV"/>
              </w:rPr>
              <w:t>FID</w:t>
            </w:r>
          </w:p>
        </w:tc>
        <w:tc>
          <w:tcPr>
            <w:tcW w:w="7371" w:type="dxa"/>
            <w:shd w:val="clear" w:color="auto" w:fill="auto"/>
            <w:vAlign w:val="center"/>
          </w:tcPr>
          <w:p w14:paraId="352745DE" w14:textId="069E0B34" w:rsidR="004634F6" w:rsidRPr="00843A44" w:rsidRDefault="004634F6" w:rsidP="00B36ADC">
            <w:pPr>
              <w:spacing w:after="0" w:line="240" w:lineRule="auto"/>
              <w:ind w:firstLine="26"/>
              <w:rPr>
                <w:sz w:val="22"/>
                <w:szCs w:val="22"/>
                <w:lang w:val="lv-LV"/>
              </w:rPr>
            </w:pPr>
            <w:r w:rsidRPr="00843A44">
              <w:rPr>
                <w:sz w:val="22"/>
                <w:szCs w:val="22"/>
                <w:lang w:val="lv-LV"/>
              </w:rPr>
              <w:t>Finanšu izlūkošanas dienests</w:t>
            </w:r>
          </w:p>
        </w:tc>
      </w:tr>
      <w:tr w:rsidR="004634F6" w:rsidRPr="00843A44" w14:paraId="044B2543" w14:textId="77777777" w:rsidTr="00EC26C6">
        <w:trPr>
          <w:jc w:val="center"/>
        </w:trPr>
        <w:tc>
          <w:tcPr>
            <w:tcW w:w="2689" w:type="dxa"/>
            <w:shd w:val="clear" w:color="auto" w:fill="auto"/>
            <w:vAlign w:val="center"/>
          </w:tcPr>
          <w:p w14:paraId="1EB4ACD9" w14:textId="77777777" w:rsidR="004634F6" w:rsidRPr="00843A44" w:rsidRDefault="004634F6" w:rsidP="00B36ADC">
            <w:pPr>
              <w:spacing w:after="0" w:line="240" w:lineRule="auto"/>
              <w:ind w:firstLine="0"/>
              <w:rPr>
                <w:sz w:val="22"/>
                <w:szCs w:val="22"/>
                <w:lang w:val="lv-LV"/>
              </w:rPr>
            </w:pPr>
            <w:r w:rsidRPr="00843A44">
              <w:rPr>
                <w:sz w:val="22"/>
                <w:szCs w:val="22"/>
                <w:lang w:val="lv-LV"/>
              </w:rPr>
              <w:t>IDB</w:t>
            </w:r>
          </w:p>
        </w:tc>
        <w:tc>
          <w:tcPr>
            <w:tcW w:w="7371" w:type="dxa"/>
            <w:shd w:val="clear" w:color="auto" w:fill="auto"/>
            <w:vAlign w:val="center"/>
          </w:tcPr>
          <w:p w14:paraId="1457B86F" w14:textId="77777777" w:rsidR="004634F6" w:rsidRPr="00843A44" w:rsidRDefault="004634F6" w:rsidP="00B36ADC">
            <w:pPr>
              <w:spacing w:after="0" w:line="240" w:lineRule="auto"/>
              <w:ind w:firstLine="26"/>
              <w:rPr>
                <w:sz w:val="22"/>
                <w:szCs w:val="22"/>
                <w:lang w:val="lv-LV"/>
              </w:rPr>
            </w:pPr>
            <w:r w:rsidRPr="00843A44">
              <w:rPr>
                <w:sz w:val="22"/>
                <w:szCs w:val="22"/>
                <w:lang w:val="lv-LV"/>
              </w:rPr>
              <w:t>Iekšējās drošības birojs</w:t>
            </w:r>
          </w:p>
        </w:tc>
      </w:tr>
      <w:tr w:rsidR="004634F6" w:rsidRPr="00843A44" w14:paraId="0B68917E" w14:textId="77777777" w:rsidTr="00EC26C6">
        <w:trPr>
          <w:jc w:val="center"/>
        </w:trPr>
        <w:tc>
          <w:tcPr>
            <w:tcW w:w="2689" w:type="dxa"/>
            <w:shd w:val="clear" w:color="auto" w:fill="auto"/>
            <w:vAlign w:val="center"/>
          </w:tcPr>
          <w:p w14:paraId="51E131E3" w14:textId="77777777" w:rsidR="004634F6" w:rsidRPr="00843A44" w:rsidRDefault="004634F6" w:rsidP="00B36ADC">
            <w:pPr>
              <w:spacing w:after="0" w:line="240" w:lineRule="auto"/>
              <w:ind w:firstLine="0"/>
              <w:rPr>
                <w:sz w:val="22"/>
                <w:szCs w:val="22"/>
                <w:lang w:val="lv-LV"/>
              </w:rPr>
            </w:pPr>
            <w:r w:rsidRPr="00843A44">
              <w:rPr>
                <w:sz w:val="22"/>
                <w:szCs w:val="22"/>
                <w:lang w:val="lv-LV"/>
              </w:rPr>
              <w:t>IDF</w:t>
            </w:r>
          </w:p>
        </w:tc>
        <w:tc>
          <w:tcPr>
            <w:tcW w:w="7371" w:type="dxa"/>
            <w:shd w:val="clear" w:color="auto" w:fill="auto"/>
            <w:vAlign w:val="center"/>
          </w:tcPr>
          <w:p w14:paraId="4743B44C" w14:textId="77777777" w:rsidR="004634F6" w:rsidRPr="00843A44" w:rsidRDefault="004634F6" w:rsidP="00B36ADC">
            <w:pPr>
              <w:spacing w:after="0" w:line="240" w:lineRule="auto"/>
              <w:ind w:firstLine="26"/>
              <w:rPr>
                <w:sz w:val="22"/>
                <w:szCs w:val="22"/>
                <w:lang w:val="lv-LV"/>
              </w:rPr>
            </w:pPr>
            <w:r w:rsidRPr="00843A44">
              <w:rPr>
                <w:sz w:val="22"/>
                <w:szCs w:val="22"/>
                <w:lang w:val="lv-LV"/>
              </w:rPr>
              <w:t>Iekšējās drošības fonds</w:t>
            </w:r>
          </w:p>
        </w:tc>
      </w:tr>
      <w:tr w:rsidR="00402BE2" w:rsidRPr="00843A44" w14:paraId="22FEF84F" w14:textId="77777777" w:rsidTr="00EC26C6">
        <w:trPr>
          <w:jc w:val="center"/>
        </w:trPr>
        <w:tc>
          <w:tcPr>
            <w:tcW w:w="2689" w:type="dxa"/>
            <w:shd w:val="clear" w:color="auto" w:fill="auto"/>
            <w:vAlign w:val="center"/>
          </w:tcPr>
          <w:p w14:paraId="1ACF37BD" w14:textId="53BBCF10" w:rsidR="00402BE2" w:rsidRPr="00843A44" w:rsidRDefault="00402BE2" w:rsidP="00B36ADC">
            <w:pPr>
              <w:spacing w:after="0" w:line="240" w:lineRule="auto"/>
              <w:ind w:firstLine="0"/>
              <w:rPr>
                <w:sz w:val="22"/>
                <w:szCs w:val="22"/>
                <w:lang w:val="lv-LV"/>
              </w:rPr>
            </w:pPr>
            <w:r w:rsidRPr="00843A44">
              <w:rPr>
                <w:sz w:val="22"/>
                <w:szCs w:val="22"/>
                <w:lang w:val="lv-LV"/>
              </w:rPr>
              <w:t>IUB</w:t>
            </w:r>
          </w:p>
        </w:tc>
        <w:tc>
          <w:tcPr>
            <w:tcW w:w="7371" w:type="dxa"/>
            <w:shd w:val="clear" w:color="auto" w:fill="auto"/>
            <w:vAlign w:val="center"/>
          </w:tcPr>
          <w:p w14:paraId="1A9A0D5A" w14:textId="18EEB73F" w:rsidR="00402BE2" w:rsidRPr="00843A44" w:rsidRDefault="00402BE2" w:rsidP="00B36ADC">
            <w:pPr>
              <w:spacing w:after="0" w:line="240" w:lineRule="auto"/>
              <w:ind w:firstLine="26"/>
              <w:rPr>
                <w:sz w:val="22"/>
                <w:szCs w:val="22"/>
                <w:lang w:val="lv-LV"/>
              </w:rPr>
            </w:pPr>
            <w:r w:rsidRPr="00843A44">
              <w:rPr>
                <w:sz w:val="22"/>
                <w:szCs w:val="22"/>
                <w:lang w:val="lv-LV"/>
              </w:rPr>
              <w:t>Iepirkumu uzraudzības birojs</w:t>
            </w:r>
          </w:p>
        </w:tc>
      </w:tr>
      <w:tr w:rsidR="00515D3B" w:rsidRPr="00843A44" w14:paraId="15D467E2" w14:textId="77777777" w:rsidTr="00EC26C6">
        <w:trPr>
          <w:jc w:val="center"/>
        </w:trPr>
        <w:tc>
          <w:tcPr>
            <w:tcW w:w="2689" w:type="dxa"/>
            <w:shd w:val="clear" w:color="auto" w:fill="auto"/>
            <w:vAlign w:val="center"/>
          </w:tcPr>
          <w:p w14:paraId="126CC465" w14:textId="502F83BB" w:rsidR="00515D3B" w:rsidRPr="00843A44" w:rsidRDefault="00515D3B" w:rsidP="00515D3B">
            <w:pPr>
              <w:spacing w:after="0" w:line="240" w:lineRule="auto"/>
              <w:ind w:firstLine="0"/>
              <w:rPr>
                <w:sz w:val="22"/>
                <w:szCs w:val="22"/>
                <w:lang w:val="lv-LV"/>
              </w:rPr>
            </w:pPr>
            <w:r w:rsidRPr="00843A44">
              <w:rPr>
                <w:sz w:val="22"/>
                <w:szCs w:val="22"/>
                <w:lang w:val="lv-LV"/>
              </w:rPr>
              <w:t>KEM</w:t>
            </w:r>
          </w:p>
        </w:tc>
        <w:tc>
          <w:tcPr>
            <w:tcW w:w="7371" w:type="dxa"/>
            <w:shd w:val="clear" w:color="auto" w:fill="auto"/>
            <w:vAlign w:val="center"/>
          </w:tcPr>
          <w:p w14:paraId="71B708AA" w14:textId="49DD8336" w:rsidR="00515D3B" w:rsidRPr="00843A44" w:rsidRDefault="00515D3B" w:rsidP="00515D3B">
            <w:pPr>
              <w:spacing w:after="0" w:line="240" w:lineRule="auto"/>
              <w:ind w:firstLine="26"/>
              <w:rPr>
                <w:sz w:val="22"/>
                <w:szCs w:val="22"/>
                <w:lang w:val="lv-LV"/>
              </w:rPr>
            </w:pPr>
            <w:r w:rsidRPr="00843A44">
              <w:rPr>
                <w:sz w:val="22"/>
                <w:szCs w:val="22"/>
                <w:lang w:val="lv-LV"/>
              </w:rPr>
              <w:t>Klimata un enerģētikas ministrija</w:t>
            </w:r>
          </w:p>
        </w:tc>
      </w:tr>
      <w:tr w:rsidR="00515D3B" w:rsidRPr="00843A44" w14:paraId="04A47FA9" w14:textId="77777777" w:rsidTr="00EC26C6">
        <w:trPr>
          <w:trHeight w:val="237"/>
          <w:jc w:val="center"/>
        </w:trPr>
        <w:tc>
          <w:tcPr>
            <w:tcW w:w="2689" w:type="dxa"/>
            <w:shd w:val="clear" w:color="auto" w:fill="auto"/>
            <w:vAlign w:val="center"/>
          </w:tcPr>
          <w:p w14:paraId="45A245FF" w14:textId="77777777" w:rsidR="00515D3B" w:rsidRPr="00843A44" w:rsidRDefault="00515D3B" w:rsidP="00515D3B">
            <w:pPr>
              <w:spacing w:after="0" w:line="240" w:lineRule="auto"/>
              <w:ind w:firstLine="0"/>
              <w:rPr>
                <w:sz w:val="22"/>
                <w:szCs w:val="22"/>
                <w:lang w:val="lv-LV"/>
              </w:rPr>
            </w:pPr>
            <w:r w:rsidRPr="00843A44">
              <w:rPr>
                <w:sz w:val="22"/>
                <w:szCs w:val="22"/>
                <w:lang w:val="lv-LV"/>
              </w:rPr>
              <w:t>KF</w:t>
            </w:r>
          </w:p>
        </w:tc>
        <w:tc>
          <w:tcPr>
            <w:tcW w:w="7371" w:type="dxa"/>
            <w:shd w:val="clear" w:color="auto" w:fill="auto"/>
            <w:vAlign w:val="center"/>
          </w:tcPr>
          <w:p w14:paraId="7D641C74" w14:textId="77777777" w:rsidR="00515D3B" w:rsidRPr="00843A44" w:rsidRDefault="00515D3B" w:rsidP="00515D3B">
            <w:pPr>
              <w:spacing w:after="0" w:line="240" w:lineRule="auto"/>
              <w:ind w:firstLine="26"/>
              <w:rPr>
                <w:sz w:val="22"/>
                <w:szCs w:val="22"/>
                <w:lang w:val="lv-LV"/>
              </w:rPr>
            </w:pPr>
            <w:r w:rsidRPr="00843A44">
              <w:rPr>
                <w:sz w:val="22"/>
                <w:szCs w:val="22"/>
                <w:lang w:val="lv-LV"/>
              </w:rPr>
              <w:t>Kohēzijas fonds</w:t>
            </w:r>
          </w:p>
        </w:tc>
      </w:tr>
      <w:tr w:rsidR="00515D3B" w:rsidRPr="00843A44" w14:paraId="575CB62A" w14:textId="77777777" w:rsidTr="00EC26C6">
        <w:trPr>
          <w:trHeight w:val="237"/>
          <w:jc w:val="center"/>
        </w:trPr>
        <w:tc>
          <w:tcPr>
            <w:tcW w:w="2689" w:type="dxa"/>
            <w:shd w:val="clear" w:color="auto" w:fill="auto"/>
            <w:vAlign w:val="center"/>
          </w:tcPr>
          <w:p w14:paraId="3D8AD85A" w14:textId="6FFFF605" w:rsidR="00515D3B" w:rsidRPr="00843A44" w:rsidRDefault="00D22043" w:rsidP="00515D3B">
            <w:pPr>
              <w:spacing w:after="0" w:line="240" w:lineRule="auto"/>
              <w:ind w:firstLine="0"/>
              <w:rPr>
                <w:sz w:val="22"/>
                <w:szCs w:val="22"/>
                <w:lang w:val="lv-LV"/>
              </w:rPr>
            </w:pPr>
            <w:proofErr w:type="spellStart"/>
            <w:r w:rsidRPr="00843A44">
              <w:rPr>
                <w:sz w:val="22"/>
                <w:szCs w:val="22"/>
                <w:lang w:val="lv-LV"/>
              </w:rPr>
              <w:t>KiAP</w:t>
            </w:r>
            <w:proofErr w:type="spellEnd"/>
          </w:p>
        </w:tc>
        <w:tc>
          <w:tcPr>
            <w:tcW w:w="7371" w:type="dxa"/>
            <w:shd w:val="clear" w:color="auto" w:fill="auto"/>
            <w:vAlign w:val="center"/>
          </w:tcPr>
          <w:p w14:paraId="129ACAA4" w14:textId="4C856166" w:rsidR="00515D3B" w:rsidRPr="00843A44" w:rsidRDefault="00926AB6" w:rsidP="00515D3B">
            <w:pPr>
              <w:spacing w:after="0" w:line="240" w:lineRule="auto"/>
              <w:ind w:firstLine="26"/>
              <w:rPr>
                <w:sz w:val="22"/>
                <w:szCs w:val="22"/>
                <w:lang w:val="lv-LV"/>
              </w:rPr>
            </w:pPr>
            <w:r w:rsidRPr="00843A44">
              <w:rPr>
                <w:sz w:val="22"/>
                <w:szCs w:val="22"/>
                <w:lang w:val="lv-LV"/>
              </w:rPr>
              <w:t>Valsts policijas Galvenās Kriminālpolicijas pārvaldes Kibernoziegumu apkarošanas pārvalde</w:t>
            </w:r>
          </w:p>
        </w:tc>
      </w:tr>
      <w:tr w:rsidR="00515D3B" w:rsidRPr="00843A44" w14:paraId="56F9C577" w14:textId="77777777" w:rsidTr="00EC26C6">
        <w:trPr>
          <w:jc w:val="center"/>
        </w:trPr>
        <w:tc>
          <w:tcPr>
            <w:tcW w:w="2689" w:type="dxa"/>
            <w:shd w:val="clear" w:color="auto" w:fill="auto"/>
            <w:vAlign w:val="center"/>
          </w:tcPr>
          <w:p w14:paraId="35C23110" w14:textId="77777777" w:rsidR="00515D3B" w:rsidRPr="00843A44" w:rsidRDefault="00515D3B" w:rsidP="00515D3B">
            <w:pPr>
              <w:spacing w:after="0" w:line="240" w:lineRule="auto"/>
              <w:ind w:firstLine="0"/>
              <w:rPr>
                <w:sz w:val="22"/>
                <w:szCs w:val="22"/>
                <w:lang w:val="lv-LV"/>
              </w:rPr>
            </w:pPr>
            <w:r w:rsidRPr="00843A44">
              <w:rPr>
                <w:sz w:val="22"/>
                <w:szCs w:val="22"/>
                <w:lang w:val="lv-LV"/>
              </w:rPr>
              <w:t>KNAB</w:t>
            </w:r>
          </w:p>
        </w:tc>
        <w:tc>
          <w:tcPr>
            <w:tcW w:w="7371" w:type="dxa"/>
            <w:shd w:val="clear" w:color="auto" w:fill="auto"/>
            <w:vAlign w:val="center"/>
          </w:tcPr>
          <w:p w14:paraId="75E11544" w14:textId="77777777" w:rsidR="00515D3B" w:rsidRPr="00843A44" w:rsidRDefault="00515D3B" w:rsidP="00515D3B">
            <w:pPr>
              <w:spacing w:after="0" w:line="240" w:lineRule="auto"/>
              <w:ind w:firstLine="26"/>
              <w:rPr>
                <w:sz w:val="22"/>
                <w:szCs w:val="22"/>
                <w:lang w:val="lv-LV"/>
              </w:rPr>
            </w:pPr>
            <w:r w:rsidRPr="00843A44">
              <w:rPr>
                <w:sz w:val="22"/>
                <w:szCs w:val="22"/>
                <w:lang w:val="lv-LV"/>
              </w:rPr>
              <w:t>Korupcijas novēršanas un apkarošanas birojs</w:t>
            </w:r>
          </w:p>
        </w:tc>
      </w:tr>
      <w:tr w:rsidR="00515D3B" w:rsidRPr="00843A44" w14:paraId="620DFD5C" w14:textId="77777777" w:rsidTr="00EC26C6">
        <w:trPr>
          <w:jc w:val="center"/>
        </w:trPr>
        <w:tc>
          <w:tcPr>
            <w:tcW w:w="2689" w:type="dxa"/>
            <w:shd w:val="clear" w:color="auto" w:fill="auto"/>
            <w:vAlign w:val="center"/>
          </w:tcPr>
          <w:p w14:paraId="4719587F" w14:textId="77777777" w:rsidR="00515D3B" w:rsidRPr="00843A44" w:rsidRDefault="00515D3B" w:rsidP="00515D3B">
            <w:pPr>
              <w:spacing w:after="0" w:line="240" w:lineRule="auto"/>
              <w:ind w:firstLine="0"/>
              <w:rPr>
                <w:sz w:val="22"/>
                <w:szCs w:val="22"/>
                <w:lang w:val="lv-LV"/>
              </w:rPr>
            </w:pPr>
            <w:r w:rsidRPr="00843A44">
              <w:rPr>
                <w:sz w:val="22"/>
                <w:szCs w:val="22"/>
                <w:lang w:val="lv-LV"/>
              </w:rPr>
              <w:t>LAD</w:t>
            </w:r>
          </w:p>
        </w:tc>
        <w:tc>
          <w:tcPr>
            <w:tcW w:w="7371" w:type="dxa"/>
            <w:shd w:val="clear" w:color="auto" w:fill="auto"/>
            <w:vAlign w:val="center"/>
          </w:tcPr>
          <w:p w14:paraId="3264DA0D" w14:textId="77777777" w:rsidR="00515D3B" w:rsidRPr="00843A44" w:rsidRDefault="00515D3B" w:rsidP="00515D3B">
            <w:pPr>
              <w:spacing w:after="0" w:line="240" w:lineRule="auto"/>
              <w:ind w:firstLine="26"/>
              <w:rPr>
                <w:sz w:val="22"/>
                <w:szCs w:val="22"/>
                <w:lang w:val="lv-LV"/>
              </w:rPr>
            </w:pPr>
            <w:r w:rsidRPr="00843A44">
              <w:rPr>
                <w:sz w:val="22"/>
                <w:szCs w:val="22"/>
                <w:lang w:val="lv-LV"/>
              </w:rPr>
              <w:t>Lauku atbalsta dienests</w:t>
            </w:r>
          </w:p>
        </w:tc>
      </w:tr>
      <w:tr w:rsidR="00515D3B" w:rsidRPr="00843A44" w14:paraId="0B3EB12C" w14:textId="77777777" w:rsidTr="00EC26C6">
        <w:trPr>
          <w:jc w:val="center"/>
        </w:trPr>
        <w:tc>
          <w:tcPr>
            <w:tcW w:w="2689" w:type="dxa"/>
            <w:shd w:val="clear" w:color="auto" w:fill="auto"/>
            <w:vAlign w:val="center"/>
          </w:tcPr>
          <w:p w14:paraId="4DBDAE0E" w14:textId="77777777" w:rsidR="00515D3B" w:rsidRPr="00843A44" w:rsidRDefault="00515D3B" w:rsidP="00515D3B">
            <w:pPr>
              <w:spacing w:after="0" w:line="240" w:lineRule="auto"/>
              <w:ind w:firstLine="0"/>
              <w:rPr>
                <w:sz w:val="22"/>
                <w:szCs w:val="22"/>
                <w:lang w:val="lv-LV"/>
              </w:rPr>
            </w:pPr>
            <w:r w:rsidRPr="00843A44">
              <w:rPr>
                <w:sz w:val="22"/>
                <w:szCs w:val="22"/>
                <w:lang w:val="lv-LV"/>
              </w:rPr>
              <w:t>MK</w:t>
            </w:r>
          </w:p>
        </w:tc>
        <w:tc>
          <w:tcPr>
            <w:tcW w:w="7371" w:type="dxa"/>
            <w:shd w:val="clear" w:color="auto" w:fill="auto"/>
            <w:vAlign w:val="center"/>
          </w:tcPr>
          <w:p w14:paraId="00CB1DB1" w14:textId="77777777" w:rsidR="00515D3B" w:rsidRPr="00843A44" w:rsidRDefault="00515D3B" w:rsidP="00515D3B">
            <w:pPr>
              <w:spacing w:after="0" w:line="240" w:lineRule="auto"/>
              <w:ind w:firstLine="26"/>
              <w:rPr>
                <w:sz w:val="22"/>
                <w:szCs w:val="22"/>
                <w:lang w:val="lv-LV"/>
              </w:rPr>
            </w:pPr>
            <w:r w:rsidRPr="00843A44">
              <w:rPr>
                <w:sz w:val="22"/>
                <w:szCs w:val="22"/>
                <w:lang w:val="lv-LV"/>
              </w:rPr>
              <w:t>Ministru kabinets</w:t>
            </w:r>
          </w:p>
        </w:tc>
      </w:tr>
      <w:tr w:rsidR="00515D3B" w:rsidRPr="00843A44" w14:paraId="6F431E05" w14:textId="77777777" w:rsidTr="00EC26C6">
        <w:trPr>
          <w:jc w:val="center"/>
        </w:trPr>
        <w:tc>
          <w:tcPr>
            <w:tcW w:w="2689" w:type="dxa"/>
            <w:shd w:val="clear" w:color="auto" w:fill="auto"/>
            <w:vAlign w:val="center"/>
          </w:tcPr>
          <w:p w14:paraId="7F1F9C5B" w14:textId="77777777" w:rsidR="00515D3B" w:rsidRPr="00843A44" w:rsidRDefault="00515D3B" w:rsidP="00515D3B">
            <w:pPr>
              <w:spacing w:after="0" w:line="240" w:lineRule="auto"/>
              <w:ind w:firstLine="0"/>
              <w:rPr>
                <w:sz w:val="22"/>
                <w:szCs w:val="22"/>
                <w:lang w:val="lv-LV"/>
              </w:rPr>
            </w:pPr>
            <w:r w:rsidRPr="00843A44">
              <w:rPr>
                <w:sz w:val="22"/>
                <w:szCs w:val="22"/>
                <w:lang w:val="lv-LV"/>
              </w:rPr>
              <w:t>OLAF</w:t>
            </w:r>
          </w:p>
        </w:tc>
        <w:tc>
          <w:tcPr>
            <w:tcW w:w="7371" w:type="dxa"/>
            <w:shd w:val="clear" w:color="auto" w:fill="auto"/>
            <w:vAlign w:val="center"/>
          </w:tcPr>
          <w:p w14:paraId="7ABE3D50" w14:textId="77777777" w:rsidR="00515D3B" w:rsidRPr="00843A44" w:rsidRDefault="00515D3B" w:rsidP="00515D3B">
            <w:pPr>
              <w:spacing w:after="0" w:line="240" w:lineRule="auto"/>
              <w:ind w:firstLine="26"/>
              <w:rPr>
                <w:sz w:val="22"/>
                <w:szCs w:val="22"/>
                <w:lang w:val="lv-LV"/>
              </w:rPr>
            </w:pPr>
            <w:r w:rsidRPr="00843A44">
              <w:rPr>
                <w:sz w:val="22"/>
                <w:szCs w:val="22"/>
                <w:lang w:val="lv-LV"/>
              </w:rPr>
              <w:t>Eiropas Birojs krāpšanas apkarošanai</w:t>
            </w:r>
          </w:p>
        </w:tc>
      </w:tr>
      <w:tr w:rsidR="00515D3B" w:rsidRPr="00843A44" w14:paraId="35ECEE76" w14:textId="77777777" w:rsidTr="00EC26C6">
        <w:trPr>
          <w:jc w:val="center"/>
        </w:trPr>
        <w:tc>
          <w:tcPr>
            <w:tcW w:w="2689" w:type="dxa"/>
            <w:shd w:val="clear" w:color="auto" w:fill="auto"/>
            <w:vAlign w:val="center"/>
          </w:tcPr>
          <w:p w14:paraId="7CE39EAC" w14:textId="77777777" w:rsidR="00515D3B" w:rsidRPr="00843A44" w:rsidRDefault="00515D3B" w:rsidP="00515D3B">
            <w:pPr>
              <w:spacing w:after="0" w:line="240" w:lineRule="auto"/>
              <w:ind w:firstLine="0"/>
              <w:jc w:val="left"/>
              <w:rPr>
                <w:sz w:val="22"/>
                <w:szCs w:val="22"/>
                <w:lang w:val="lv-LV"/>
              </w:rPr>
            </w:pPr>
            <w:r w:rsidRPr="00843A44">
              <w:rPr>
                <w:sz w:val="22"/>
                <w:szCs w:val="22"/>
                <w:lang w:val="lv-LV"/>
              </w:rPr>
              <w:t>OLAF atbalsta likums</w:t>
            </w:r>
          </w:p>
        </w:tc>
        <w:tc>
          <w:tcPr>
            <w:tcW w:w="7371" w:type="dxa"/>
            <w:shd w:val="clear" w:color="auto" w:fill="auto"/>
            <w:vAlign w:val="center"/>
          </w:tcPr>
          <w:p w14:paraId="434B2C3D" w14:textId="77777777" w:rsidR="00515D3B" w:rsidRPr="00843A44" w:rsidRDefault="00515D3B" w:rsidP="00515D3B">
            <w:pPr>
              <w:spacing w:after="0" w:line="240" w:lineRule="auto"/>
              <w:ind w:firstLine="26"/>
              <w:rPr>
                <w:sz w:val="22"/>
                <w:szCs w:val="22"/>
                <w:lang w:val="lv-LV"/>
              </w:rPr>
            </w:pPr>
            <w:r w:rsidRPr="00843A44">
              <w:rPr>
                <w:sz w:val="22"/>
                <w:szCs w:val="22"/>
                <w:lang w:val="lv-LV"/>
              </w:rPr>
              <w:t>Eiropas Birojam krāpšanas apkarošanai sniedzamā atbalsta likums</w:t>
            </w:r>
          </w:p>
        </w:tc>
      </w:tr>
      <w:tr w:rsidR="00515D3B" w:rsidRPr="00843A44" w14:paraId="1935DE60" w14:textId="77777777" w:rsidTr="00EC26C6">
        <w:trPr>
          <w:jc w:val="center"/>
        </w:trPr>
        <w:tc>
          <w:tcPr>
            <w:tcW w:w="2689" w:type="dxa"/>
            <w:shd w:val="clear" w:color="auto" w:fill="auto"/>
            <w:vAlign w:val="center"/>
          </w:tcPr>
          <w:p w14:paraId="5D84F796" w14:textId="77777777" w:rsidR="00515D3B" w:rsidRPr="00843A44" w:rsidRDefault="00515D3B" w:rsidP="00515D3B">
            <w:pPr>
              <w:spacing w:after="0" w:line="240" w:lineRule="auto"/>
              <w:ind w:firstLine="0"/>
              <w:rPr>
                <w:sz w:val="22"/>
                <w:szCs w:val="22"/>
                <w:lang w:val="lv-LV"/>
              </w:rPr>
            </w:pPr>
            <w:r w:rsidRPr="00843A44">
              <w:rPr>
                <w:sz w:val="22"/>
                <w:szCs w:val="22"/>
                <w:lang w:val="lv-LV"/>
              </w:rPr>
              <w:t>PMIF</w:t>
            </w:r>
          </w:p>
        </w:tc>
        <w:tc>
          <w:tcPr>
            <w:tcW w:w="7371" w:type="dxa"/>
            <w:shd w:val="clear" w:color="auto" w:fill="auto"/>
            <w:vAlign w:val="center"/>
          </w:tcPr>
          <w:p w14:paraId="511B23B6" w14:textId="77777777" w:rsidR="00515D3B" w:rsidRPr="00843A44" w:rsidRDefault="00515D3B" w:rsidP="00515D3B">
            <w:pPr>
              <w:spacing w:after="0" w:line="240" w:lineRule="auto"/>
              <w:ind w:firstLine="26"/>
              <w:rPr>
                <w:sz w:val="22"/>
                <w:szCs w:val="22"/>
                <w:lang w:val="lv-LV"/>
              </w:rPr>
            </w:pPr>
            <w:r w:rsidRPr="00843A44">
              <w:rPr>
                <w:sz w:val="22"/>
                <w:szCs w:val="22"/>
                <w:lang w:val="lv-LV"/>
              </w:rPr>
              <w:t xml:space="preserve">Patvēruma, migrācijas un integrācijas fonds </w:t>
            </w:r>
          </w:p>
        </w:tc>
      </w:tr>
      <w:tr w:rsidR="00515D3B" w:rsidRPr="00843A44" w14:paraId="20F2B033" w14:textId="77777777" w:rsidTr="00EC26C6">
        <w:trPr>
          <w:jc w:val="center"/>
        </w:trPr>
        <w:tc>
          <w:tcPr>
            <w:tcW w:w="2689" w:type="dxa"/>
            <w:shd w:val="clear" w:color="auto" w:fill="auto"/>
            <w:vAlign w:val="center"/>
          </w:tcPr>
          <w:p w14:paraId="65926BA0" w14:textId="5803C1CF" w:rsidR="00515D3B" w:rsidRPr="00843A44" w:rsidRDefault="00515D3B" w:rsidP="00515D3B">
            <w:pPr>
              <w:spacing w:after="0" w:line="240" w:lineRule="auto"/>
              <w:ind w:firstLine="0"/>
              <w:rPr>
                <w:sz w:val="22"/>
                <w:szCs w:val="22"/>
                <w:lang w:val="lv-LV"/>
              </w:rPr>
            </w:pPr>
            <w:r w:rsidRPr="00843A44">
              <w:rPr>
                <w:sz w:val="22"/>
                <w:szCs w:val="22"/>
                <w:lang w:val="lv-LV"/>
              </w:rPr>
              <w:lastRenderedPageBreak/>
              <w:t>PIF direktīva</w:t>
            </w:r>
          </w:p>
        </w:tc>
        <w:tc>
          <w:tcPr>
            <w:tcW w:w="7371" w:type="dxa"/>
            <w:shd w:val="clear" w:color="auto" w:fill="auto"/>
            <w:vAlign w:val="center"/>
          </w:tcPr>
          <w:p w14:paraId="3D37CE50" w14:textId="6A314524" w:rsidR="00515D3B" w:rsidRPr="00843A44" w:rsidRDefault="00515D3B" w:rsidP="00515D3B">
            <w:pPr>
              <w:spacing w:after="0" w:line="240" w:lineRule="auto"/>
              <w:ind w:firstLine="28"/>
              <w:rPr>
                <w:sz w:val="22"/>
                <w:szCs w:val="22"/>
                <w:lang w:val="lv-LV"/>
              </w:rPr>
            </w:pPr>
            <w:r w:rsidRPr="00843A44">
              <w:rPr>
                <w:sz w:val="22"/>
                <w:szCs w:val="22"/>
                <w:lang w:val="lv-LV"/>
              </w:rPr>
              <w:t>Eiropas Parlamenta un Padomes Direktīva (ES) 2017/1371 par cīņu pret krāpšanu, kas skar Savienības finanšu intereses, izmantojot krimināltiesības</w:t>
            </w:r>
          </w:p>
        </w:tc>
      </w:tr>
      <w:tr w:rsidR="00D248B3" w:rsidRPr="00843A44" w14:paraId="15CEE9D9" w14:textId="77777777" w:rsidTr="00EC26C6">
        <w:trPr>
          <w:jc w:val="center"/>
        </w:trPr>
        <w:tc>
          <w:tcPr>
            <w:tcW w:w="2689" w:type="dxa"/>
            <w:shd w:val="clear" w:color="auto" w:fill="auto"/>
            <w:vAlign w:val="center"/>
          </w:tcPr>
          <w:p w14:paraId="394852BB" w14:textId="7C2A994E" w:rsidR="00D248B3" w:rsidRPr="00843A44" w:rsidRDefault="00D248B3" w:rsidP="00515D3B">
            <w:pPr>
              <w:spacing w:after="0" w:line="240" w:lineRule="auto"/>
              <w:ind w:firstLine="0"/>
              <w:rPr>
                <w:sz w:val="22"/>
                <w:szCs w:val="22"/>
                <w:lang w:val="lv-LV"/>
              </w:rPr>
            </w:pPr>
            <w:r w:rsidRPr="00D248B3">
              <w:rPr>
                <w:sz w:val="22"/>
                <w:szCs w:val="22"/>
              </w:rPr>
              <w:t>RPVP</w:t>
            </w:r>
          </w:p>
        </w:tc>
        <w:tc>
          <w:tcPr>
            <w:tcW w:w="7371" w:type="dxa"/>
            <w:shd w:val="clear" w:color="auto" w:fill="auto"/>
            <w:vAlign w:val="center"/>
          </w:tcPr>
          <w:p w14:paraId="269AA594" w14:textId="64468379" w:rsidR="00D248B3" w:rsidRPr="00843A44" w:rsidRDefault="005073D8" w:rsidP="00515D3B">
            <w:pPr>
              <w:spacing w:after="0" w:line="240" w:lineRule="auto"/>
              <w:ind w:firstLine="28"/>
              <w:rPr>
                <w:sz w:val="22"/>
                <w:szCs w:val="22"/>
                <w:lang w:val="lv-LV"/>
              </w:rPr>
            </w:pPr>
            <w:r w:rsidRPr="005073D8">
              <w:rPr>
                <w:sz w:val="22"/>
                <w:szCs w:val="22"/>
                <w:lang w:val="lv-LV"/>
              </w:rPr>
              <w:t>Finansiālā atbalsta instruments robežu pārvaldībai un vīzu politikai</w:t>
            </w:r>
          </w:p>
        </w:tc>
      </w:tr>
      <w:tr w:rsidR="00515D3B" w:rsidRPr="00843A44" w14:paraId="0B0C4A1B" w14:textId="77777777" w:rsidTr="00EC26C6">
        <w:trPr>
          <w:jc w:val="center"/>
        </w:trPr>
        <w:tc>
          <w:tcPr>
            <w:tcW w:w="2689" w:type="dxa"/>
            <w:shd w:val="clear" w:color="auto" w:fill="auto"/>
            <w:vAlign w:val="center"/>
          </w:tcPr>
          <w:p w14:paraId="1B9F599B" w14:textId="0FB30266" w:rsidR="00515D3B" w:rsidRPr="00843A44" w:rsidRDefault="00515D3B" w:rsidP="00515D3B">
            <w:pPr>
              <w:spacing w:after="0" w:line="240" w:lineRule="auto"/>
              <w:ind w:firstLine="0"/>
              <w:rPr>
                <w:sz w:val="22"/>
                <w:szCs w:val="22"/>
                <w:lang w:val="lv-LV"/>
              </w:rPr>
            </w:pPr>
            <w:r w:rsidRPr="00843A44">
              <w:rPr>
                <w:sz w:val="22"/>
                <w:szCs w:val="22"/>
                <w:lang w:val="lv-LV"/>
              </w:rPr>
              <w:t>TPF</w:t>
            </w:r>
          </w:p>
        </w:tc>
        <w:tc>
          <w:tcPr>
            <w:tcW w:w="7371" w:type="dxa"/>
            <w:shd w:val="clear" w:color="auto" w:fill="auto"/>
            <w:vAlign w:val="center"/>
          </w:tcPr>
          <w:p w14:paraId="4B3D55AA" w14:textId="537CF323" w:rsidR="00515D3B" w:rsidRPr="00843A44" w:rsidRDefault="00515D3B" w:rsidP="00515D3B">
            <w:pPr>
              <w:spacing w:after="0" w:line="240" w:lineRule="auto"/>
              <w:ind w:firstLine="28"/>
              <w:rPr>
                <w:sz w:val="22"/>
                <w:szCs w:val="22"/>
                <w:lang w:val="lv-LV"/>
              </w:rPr>
            </w:pPr>
            <w:r w:rsidRPr="00843A44">
              <w:rPr>
                <w:sz w:val="22"/>
                <w:szCs w:val="22"/>
                <w:lang w:val="lv-LV"/>
              </w:rPr>
              <w:t>Taisnīgas pārkārtošanās fonds</w:t>
            </w:r>
          </w:p>
        </w:tc>
      </w:tr>
      <w:tr w:rsidR="00D723DE" w:rsidRPr="00843A44" w14:paraId="51724381" w14:textId="77777777" w:rsidTr="00EC26C6">
        <w:trPr>
          <w:jc w:val="center"/>
        </w:trPr>
        <w:tc>
          <w:tcPr>
            <w:tcW w:w="2689" w:type="dxa"/>
            <w:shd w:val="clear" w:color="auto" w:fill="auto"/>
            <w:vAlign w:val="center"/>
          </w:tcPr>
          <w:p w14:paraId="7F5E1C1A" w14:textId="06674CC0" w:rsidR="00D723DE" w:rsidRPr="00843A44" w:rsidRDefault="00D723DE" w:rsidP="00515D3B">
            <w:pPr>
              <w:spacing w:after="0" w:line="240" w:lineRule="auto"/>
              <w:ind w:firstLine="0"/>
              <w:rPr>
                <w:sz w:val="22"/>
                <w:szCs w:val="22"/>
                <w:lang w:val="lv-LV"/>
              </w:rPr>
            </w:pPr>
            <w:r w:rsidRPr="00843A44">
              <w:rPr>
                <w:sz w:val="22"/>
                <w:szCs w:val="22"/>
                <w:lang w:val="lv-LV"/>
              </w:rPr>
              <w:t>TM</w:t>
            </w:r>
          </w:p>
        </w:tc>
        <w:tc>
          <w:tcPr>
            <w:tcW w:w="7371" w:type="dxa"/>
            <w:shd w:val="clear" w:color="auto" w:fill="auto"/>
            <w:vAlign w:val="center"/>
          </w:tcPr>
          <w:p w14:paraId="58690F06" w14:textId="782F7069" w:rsidR="00D723DE" w:rsidRPr="00843A44" w:rsidRDefault="00D723DE" w:rsidP="00515D3B">
            <w:pPr>
              <w:spacing w:after="0" w:line="240" w:lineRule="auto"/>
              <w:ind w:firstLine="28"/>
              <w:rPr>
                <w:sz w:val="22"/>
                <w:szCs w:val="22"/>
                <w:lang w:val="lv-LV"/>
              </w:rPr>
            </w:pPr>
            <w:r w:rsidRPr="00843A44">
              <w:rPr>
                <w:sz w:val="22"/>
                <w:szCs w:val="22"/>
                <w:lang w:val="lv-LV"/>
              </w:rPr>
              <w:t>Tieslietu ministrija</w:t>
            </w:r>
          </w:p>
        </w:tc>
      </w:tr>
      <w:tr w:rsidR="00515D3B" w:rsidRPr="00387441" w14:paraId="630B6576" w14:textId="77777777" w:rsidTr="00EC26C6">
        <w:trPr>
          <w:jc w:val="center"/>
        </w:trPr>
        <w:tc>
          <w:tcPr>
            <w:tcW w:w="2689" w:type="dxa"/>
            <w:shd w:val="clear" w:color="auto" w:fill="auto"/>
            <w:vAlign w:val="center"/>
          </w:tcPr>
          <w:p w14:paraId="4018A940" w14:textId="77777777" w:rsidR="00515D3B" w:rsidRPr="00843A44" w:rsidRDefault="00515D3B" w:rsidP="00515D3B">
            <w:pPr>
              <w:spacing w:after="0" w:line="240" w:lineRule="auto"/>
              <w:ind w:firstLine="0"/>
              <w:rPr>
                <w:sz w:val="22"/>
                <w:szCs w:val="22"/>
                <w:lang w:val="lv-LV"/>
              </w:rPr>
            </w:pPr>
            <w:r w:rsidRPr="00843A44">
              <w:rPr>
                <w:sz w:val="22"/>
                <w:szCs w:val="22"/>
                <w:lang w:val="lv-LV"/>
              </w:rPr>
              <w:t>VARAM</w:t>
            </w:r>
          </w:p>
        </w:tc>
        <w:tc>
          <w:tcPr>
            <w:tcW w:w="7371" w:type="dxa"/>
            <w:shd w:val="clear" w:color="auto" w:fill="auto"/>
            <w:vAlign w:val="center"/>
          </w:tcPr>
          <w:p w14:paraId="0D21C190" w14:textId="06FCFADB" w:rsidR="00515D3B" w:rsidRPr="00BE0DBF" w:rsidRDefault="00515D3B" w:rsidP="00515D3B">
            <w:pPr>
              <w:spacing w:after="0" w:line="240" w:lineRule="auto"/>
              <w:ind w:firstLine="26"/>
              <w:rPr>
                <w:sz w:val="22"/>
                <w:szCs w:val="22"/>
                <w:lang w:val="lv-LV"/>
              </w:rPr>
            </w:pPr>
            <w:r w:rsidRPr="00843A44">
              <w:rPr>
                <w:sz w:val="22"/>
                <w:szCs w:val="22"/>
                <w:lang w:val="lv-LV"/>
              </w:rPr>
              <w:t>Viedās administrācijas un reģionālās attīstības ministrija</w:t>
            </w:r>
            <w:r w:rsidRPr="00BE0DBF">
              <w:rPr>
                <w:sz w:val="22"/>
                <w:szCs w:val="22"/>
                <w:lang w:val="lv-LV"/>
              </w:rPr>
              <w:t xml:space="preserve"> </w:t>
            </w:r>
          </w:p>
        </w:tc>
      </w:tr>
    </w:tbl>
    <w:p w14:paraId="6A5B512C" w14:textId="77777777" w:rsidR="007E5DFB" w:rsidRPr="00387441" w:rsidRDefault="007E5DFB" w:rsidP="00EC26C6">
      <w:pPr>
        <w:pStyle w:val="Heading3"/>
        <w:pBdr>
          <w:top w:val="single" w:sz="24" w:space="31" w:color="00B0F0"/>
        </w:pBdr>
        <w:ind w:firstLine="0"/>
      </w:pPr>
    </w:p>
    <w:p w14:paraId="595BC139" w14:textId="54991F22" w:rsidR="0046473F" w:rsidRPr="00387441" w:rsidRDefault="007E5DFB" w:rsidP="004B4C65">
      <w:pPr>
        <w:pStyle w:val="Heading3"/>
      </w:pPr>
      <w:r w:rsidRPr="00387441">
        <w:br w:type="page"/>
      </w:r>
      <w:bookmarkStart w:id="9" w:name="_Toc128402851"/>
      <w:bookmarkStart w:id="10" w:name="_Toc128581401"/>
      <w:bookmarkStart w:id="11" w:name="_Toc128581751"/>
      <w:bookmarkStart w:id="12" w:name="_Toc128581983"/>
      <w:bookmarkStart w:id="13" w:name="_Toc128582040"/>
      <w:r w:rsidR="00766B83" w:rsidRPr="00387441">
        <w:lastRenderedPageBreak/>
        <w:br/>
      </w:r>
      <w:bookmarkStart w:id="14" w:name="_Toc129695790"/>
      <w:bookmarkStart w:id="15" w:name="_Toc192753087"/>
      <w:r w:rsidR="00766B83" w:rsidRPr="00387441">
        <w:t>SATURS</w:t>
      </w:r>
      <w:bookmarkStart w:id="16" w:name="_Toc128402852"/>
      <w:bookmarkEnd w:id="9"/>
      <w:bookmarkEnd w:id="10"/>
      <w:bookmarkEnd w:id="11"/>
      <w:bookmarkEnd w:id="12"/>
      <w:bookmarkEnd w:id="13"/>
      <w:bookmarkEnd w:id="14"/>
      <w:bookmarkEnd w:id="15"/>
    </w:p>
    <w:sdt>
      <w:sdtPr>
        <w:rPr>
          <w:rFonts w:asciiTheme="minorHAnsi" w:eastAsiaTheme="minorEastAsia" w:hAnsiTheme="minorHAnsi" w:cstheme="minorBidi"/>
          <w:b w:val="0"/>
          <w:color w:val="auto"/>
          <w:sz w:val="24"/>
          <w:szCs w:val="24"/>
          <w:lang w:val="en-US"/>
        </w:rPr>
        <w:id w:val="416450564"/>
        <w:docPartObj>
          <w:docPartGallery w:val="Table of Contents"/>
          <w:docPartUnique/>
        </w:docPartObj>
      </w:sdtPr>
      <w:sdtEndPr/>
      <w:sdtContent>
        <w:p w14:paraId="39A2C397" w14:textId="22CEBF52" w:rsidR="006F13B5" w:rsidRPr="00387441" w:rsidRDefault="006F13B5">
          <w:pPr>
            <w:pStyle w:val="TOCHeading"/>
          </w:pPr>
        </w:p>
        <w:p w14:paraId="27A6A5E8" w14:textId="440C02C3" w:rsidR="00502746" w:rsidRDefault="00D86172">
          <w:pPr>
            <w:pStyle w:val="TOC3"/>
            <w:tabs>
              <w:tab w:val="right" w:pos="10790"/>
            </w:tabs>
            <w:rPr>
              <w:rFonts w:eastAsiaTheme="minorEastAsia"/>
              <w:b w:val="0"/>
              <w:smallCaps w:val="0"/>
              <w:noProof/>
              <w:kern w:val="2"/>
              <w:sz w:val="24"/>
              <w:szCs w:val="24"/>
              <w:lang w:val="lv-LV" w:eastAsia="lv-LV"/>
              <w14:ligatures w14:val="standardContextual"/>
            </w:rPr>
          </w:pPr>
          <w:r w:rsidRPr="00BE0DBF">
            <w:rPr>
              <w:b w:val="0"/>
              <w:smallCaps w:val="0"/>
              <w:lang w:val="lv-LV"/>
            </w:rPr>
            <w:fldChar w:fldCharType="begin"/>
          </w:r>
          <w:r w:rsidRPr="00BE0DBF">
            <w:rPr>
              <w:b w:val="0"/>
              <w:smallCaps w:val="0"/>
              <w:lang w:val="lv-LV"/>
            </w:rPr>
            <w:instrText xml:space="preserve"> TOC \o "1-4" \h \z \u </w:instrText>
          </w:r>
          <w:r w:rsidRPr="00BE0DBF">
            <w:rPr>
              <w:b w:val="0"/>
              <w:smallCaps w:val="0"/>
              <w:lang w:val="lv-LV"/>
            </w:rPr>
            <w:fldChar w:fldCharType="separate"/>
          </w:r>
          <w:hyperlink w:anchor="_Toc192753086" w:history="1">
            <w:r w:rsidR="00502746" w:rsidRPr="006F7072">
              <w:rPr>
                <w:rStyle w:val="Hyperlink"/>
                <w:noProof/>
              </w:rPr>
              <w:t>SAĪSINĀJUMI</w:t>
            </w:r>
            <w:r w:rsidR="00502746">
              <w:rPr>
                <w:noProof/>
                <w:webHidden/>
              </w:rPr>
              <w:tab/>
            </w:r>
            <w:r w:rsidR="00502746">
              <w:rPr>
                <w:noProof/>
                <w:webHidden/>
              </w:rPr>
              <w:fldChar w:fldCharType="begin"/>
            </w:r>
            <w:r w:rsidR="00502746">
              <w:rPr>
                <w:noProof/>
                <w:webHidden/>
              </w:rPr>
              <w:instrText xml:space="preserve"> PAGEREF _Toc192753086 \h </w:instrText>
            </w:r>
            <w:r w:rsidR="00502746">
              <w:rPr>
                <w:noProof/>
                <w:webHidden/>
              </w:rPr>
            </w:r>
            <w:r w:rsidR="00502746">
              <w:rPr>
                <w:noProof/>
                <w:webHidden/>
              </w:rPr>
              <w:fldChar w:fldCharType="separate"/>
            </w:r>
            <w:r w:rsidR="00502746">
              <w:rPr>
                <w:noProof/>
                <w:webHidden/>
              </w:rPr>
              <w:t>2</w:t>
            </w:r>
            <w:r w:rsidR="00502746">
              <w:rPr>
                <w:noProof/>
                <w:webHidden/>
              </w:rPr>
              <w:fldChar w:fldCharType="end"/>
            </w:r>
          </w:hyperlink>
        </w:p>
        <w:p w14:paraId="3F37799E" w14:textId="0ACBFE7B"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87" w:history="1">
            <w:r w:rsidRPr="006F7072">
              <w:rPr>
                <w:rStyle w:val="Hyperlink"/>
                <w:noProof/>
              </w:rPr>
              <w:t>SATURS</w:t>
            </w:r>
            <w:r>
              <w:rPr>
                <w:noProof/>
                <w:webHidden/>
              </w:rPr>
              <w:tab/>
            </w:r>
            <w:r>
              <w:rPr>
                <w:noProof/>
                <w:webHidden/>
              </w:rPr>
              <w:fldChar w:fldCharType="begin"/>
            </w:r>
            <w:r>
              <w:rPr>
                <w:noProof/>
                <w:webHidden/>
              </w:rPr>
              <w:instrText xml:space="preserve"> PAGEREF _Toc192753087 \h </w:instrText>
            </w:r>
            <w:r>
              <w:rPr>
                <w:noProof/>
                <w:webHidden/>
              </w:rPr>
            </w:r>
            <w:r>
              <w:rPr>
                <w:noProof/>
                <w:webHidden/>
              </w:rPr>
              <w:fldChar w:fldCharType="separate"/>
            </w:r>
            <w:r>
              <w:rPr>
                <w:noProof/>
                <w:webHidden/>
              </w:rPr>
              <w:t>4</w:t>
            </w:r>
            <w:r>
              <w:rPr>
                <w:noProof/>
                <w:webHidden/>
              </w:rPr>
              <w:fldChar w:fldCharType="end"/>
            </w:r>
          </w:hyperlink>
        </w:p>
        <w:p w14:paraId="4E416F0D" w14:textId="30381C0B"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88" w:history="1">
            <w:r w:rsidRPr="006F7072">
              <w:rPr>
                <w:rStyle w:val="Hyperlink"/>
                <w:noProof/>
              </w:rPr>
              <w:t>IEVADS</w:t>
            </w:r>
            <w:r>
              <w:rPr>
                <w:noProof/>
                <w:webHidden/>
              </w:rPr>
              <w:tab/>
            </w:r>
            <w:r>
              <w:rPr>
                <w:noProof/>
                <w:webHidden/>
              </w:rPr>
              <w:fldChar w:fldCharType="begin"/>
            </w:r>
            <w:r>
              <w:rPr>
                <w:noProof/>
                <w:webHidden/>
              </w:rPr>
              <w:instrText xml:space="preserve"> PAGEREF _Toc192753088 \h </w:instrText>
            </w:r>
            <w:r>
              <w:rPr>
                <w:noProof/>
                <w:webHidden/>
              </w:rPr>
            </w:r>
            <w:r>
              <w:rPr>
                <w:noProof/>
                <w:webHidden/>
              </w:rPr>
              <w:fldChar w:fldCharType="separate"/>
            </w:r>
            <w:r>
              <w:rPr>
                <w:noProof/>
                <w:webHidden/>
              </w:rPr>
              <w:t>6</w:t>
            </w:r>
            <w:r>
              <w:rPr>
                <w:noProof/>
                <w:webHidden/>
              </w:rPr>
              <w:fldChar w:fldCharType="end"/>
            </w:r>
          </w:hyperlink>
        </w:p>
        <w:p w14:paraId="3F4E1898" w14:textId="615534DC"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89" w:history="1">
            <w:r w:rsidRPr="006F7072">
              <w:rPr>
                <w:rStyle w:val="Hyperlink"/>
                <w:noProof/>
              </w:rPr>
              <w:t>KOPSAVILKUMS</w:t>
            </w:r>
            <w:r>
              <w:rPr>
                <w:noProof/>
                <w:webHidden/>
              </w:rPr>
              <w:tab/>
            </w:r>
            <w:r>
              <w:rPr>
                <w:noProof/>
                <w:webHidden/>
              </w:rPr>
              <w:fldChar w:fldCharType="begin"/>
            </w:r>
            <w:r>
              <w:rPr>
                <w:noProof/>
                <w:webHidden/>
              </w:rPr>
              <w:instrText xml:space="preserve"> PAGEREF _Toc192753089 \h </w:instrText>
            </w:r>
            <w:r>
              <w:rPr>
                <w:noProof/>
                <w:webHidden/>
              </w:rPr>
            </w:r>
            <w:r>
              <w:rPr>
                <w:noProof/>
                <w:webHidden/>
              </w:rPr>
              <w:fldChar w:fldCharType="separate"/>
            </w:r>
            <w:r>
              <w:rPr>
                <w:noProof/>
                <w:webHidden/>
              </w:rPr>
              <w:t>7</w:t>
            </w:r>
            <w:r>
              <w:rPr>
                <w:noProof/>
                <w:webHidden/>
              </w:rPr>
              <w:fldChar w:fldCharType="end"/>
            </w:r>
          </w:hyperlink>
        </w:p>
        <w:p w14:paraId="32125503" w14:textId="697EC6AB" w:rsidR="00502746" w:rsidRDefault="00502746">
          <w:pPr>
            <w:pStyle w:val="TOC1"/>
            <w:rPr>
              <w:rFonts w:eastAsiaTheme="minorEastAsia"/>
              <w:b w:val="0"/>
              <w:bCs w:val="0"/>
              <w:caps w:val="0"/>
              <w:noProof/>
              <w:kern w:val="2"/>
              <w:sz w:val="24"/>
              <w:szCs w:val="24"/>
              <w:u w:val="none"/>
              <w:lang w:val="lv-LV" w:eastAsia="lv-LV"/>
              <w14:ligatures w14:val="standardContextual"/>
            </w:rPr>
          </w:pPr>
          <w:hyperlink w:anchor="_Toc192753090" w:history="1">
            <w:r w:rsidRPr="006F7072">
              <w:rPr>
                <w:rStyle w:val="Hyperlink"/>
                <w:noProof/>
              </w:rPr>
              <w:t>A daļa</w:t>
            </w:r>
            <w:r>
              <w:rPr>
                <w:noProof/>
                <w:webHidden/>
              </w:rPr>
              <w:tab/>
            </w:r>
            <w:r>
              <w:rPr>
                <w:noProof/>
                <w:webHidden/>
              </w:rPr>
              <w:fldChar w:fldCharType="begin"/>
            </w:r>
            <w:r>
              <w:rPr>
                <w:noProof/>
                <w:webHidden/>
              </w:rPr>
              <w:instrText xml:space="preserve"> PAGEREF _Toc192753090 \h </w:instrText>
            </w:r>
            <w:r>
              <w:rPr>
                <w:noProof/>
                <w:webHidden/>
              </w:rPr>
            </w:r>
            <w:r>
              <w:rPr>
                <w:noProof/>
                <w:webHidden/>
              </w:rPr>
              <w:fldChar w:fldCharType="separate"/>
            </w:r>
            <w:r>
              <w:rPr>
                <w:noProof/>
                <w:webHidden/>
              </w:rPr>
              <w:t>9</w:t>
            </w:r>
            <w:r>
              <w:rPr>
                <w:noProof/>
                <w:webHidden/>
              </w:rPr>
              <w:fldChar w:fldCharType="end"/>
            </w:r>
          </w:hyperlink>
        </w:p>
        <w:p w14:paraId="04542D1C" w14:textId="0E164D57" w:rsidR="00502746" w:rsidRDefault="00502746">
          <w:pPr>
            <w:pStyle w:val="TOC2"/>
            <w:tabs>
              <w:tab w:val="right" w:pos="10790"/>
            </w:tabs>
            <w:rPr>
              <w:rFonts w:eastAsiaTheme="minorEastAsia"/>
              <w:b w:val="0"/>
              <w:bCs w:val="0"/>
              <w:smallCaps w:val="0"/>
              <w:noProof/>
              <w:kern w:val="2"/>
              <w:sz w:val="24"/>
              <w:szCs w:val="24"/>
              <w:lang w:val="lv-LV" w:eastAsia="lv-LV"/>
              <w14:ligatures w14:val="standardContextual"/>
            </w:rPr>
          </w:pPr>
          <w:hyperlink w:anchor="_Toc192753091" w:history="1">
            <w:r w:rsidRPr="006F7072">
              <w:rPr>
                <w:rStyle w:val="Hyperlink"/>
                <w:noProof/>
                <w:lang w:val="lv-LV"/>
              </w:rPr>
              <w:t>AFCOS VEIKTIE KRĀPŠANAS APKAROŠANAS UN ES FINANŠU INTEREŠU AIZSARDZĪBAS PASĀKUMI 2024. GADĀ</w:t>
            </w:r>
            <w:r>
              <w:rPr>
                <w:noProof/>
                <w:webHidden/>
              </w:rPr>
              <w:tab/>
            </w:r>
            <w:r>
              <w:rPr>
                <w:noProof/>
                <w:webHidden/>
              </w:rPr>
              <w:fldChar w:fldCharType="begin"/>
            </w:r>
            <w:r>
              <w:rPr>
                <w:noProof/>
                <w:webHidden/>
              </w:rPr>
              <w:instrText xml:space="preserve"> PAGEREF _Toc192753091 \h </w:instrText>
            </w:r>
            <w:r>
              <w:rPr>
                <w:noProof/>
                <w:webHidden/>
              </w:rPr>
            </w:r>
            <w:r>
              <w:rPr>
                <w:noProof/>
                <w:webHidden/>
              </w:rPr>
              <w:fldChar w:fldCharType="separate"/>
            </w:r>
            <w:r>
              <w:rPr>
                <w:noProof/>
                <w:webHidden/>
              </w:rPr>
              <w:t>9</w:t>
            </w:r>
            <w:r>
              <w:rPr>
                <w:noProof/>
                <w:webHidden/>
              </w:rPr>
              <w:fldChar w:fldCharType="end"/>
            </w:r>
          </w:hyperlink>
        </w:p>
        <w:p w14:paraId="2C53368F" w14:textId="7DC672E1"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92" w:history="1">
            <w:r w:rsidRPr="006F7072">
              <w:rPr>
                <w:rStyle w:val="Hyperlink"/>
                <w:noProof/>
              </w:rPr>
              <w:t>A.1. AFCOS stratēģija</w:t>
            </w:r>
            <w:r>
              <w:rPr>
                <w:noProof/>
                <w:webHidden/>
              </w:rPr>
              <w:tab/>
            </w:r>
            <w:r>
              <w:rPr>
                <w:noProof/>
                <w:webHidden/>
              </w:rPr>
              <w:fldChar w:fldCharType="begin"/>
            </w:r>
            <w:r>
              <w:rPr>
                <w:noProof/>
                <w:webHidden/>
              </w:rPr>
              <w:instrText xml:space="preserve"> PAGEREF _Toc192753092 \h </w:instrText>
            </w:r>
            <w:r>
              <w:rPr>
                <w:noProof/>
                <w:webHidden/>
              </w:rPr>
            </w:r>
            <w:r>
              <w:rPr>
                <w:noProof/>
                <w:webHidden/>
              </w:rPr>
              <w:fldChar w:fldCharType="separate"/>
            </w:r>
            <w:r>
              <w:rPr>
                <w:noProof/>
                <w:webHidden/>
              </w:rPr>
              <w:t>9</w:t>
            </w:r>
            <w:r>
              <w:rPr>
                <w:noProof/>
                <w:webHidden/>
              </w:rPr>
              <w:fldChar w:fldCharType="end"/>
            </w:r>
          </w:hyperlink>
        </w:p>
        <w:p w14:paraId="0F60C5F2" w14:textId="6603437E"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93" w:history="1">
            <w:r w:rsidRPr="006F7072">
              <w:rPr>
                <w:rStyle w:val="Hyperlink"/>
                <w:noProof/>
              </w:rPr>
              <w:t>A.2. AFCOS stratēģijas pasākuma plāns – AFCOS diskusijas par juridiski piemērotāko rīcību neatbilstību vai aizdomu par krāpšanu gadījumos</w:t>
            </w:r>
            <w:r>
              <w:rPr>
                <w:noProof/>
                <w:webHidden/>
              </w:rPr>
              <w:tab/>
            </w:r>
            <w:r>
              <w:rPr>
                <w:noProof/>
                <w:webHidden/>
              </w:rPr>
              <w:fldChar w:fldCharType="begin"/>
            </w:r>
            <w:r>
              <w:rPr>
                <w:noProof/>
                <w:webHidden/>
              </w:rPr>
              <w:instrText xml:space="preserve"> PAGEREF _Toc192753093 \h </w:instrText>
            </w:r>
            <w:r>
              <w:rPr>
                <w:noProof/>
                <w:webHidden/>
              </w:rPr>
            </w:r>
            <w:r>
              <w:rPr>
                <w:noProof/>
                <w:webHidden/>
              </w:rPr>
              <w:fldChar w:fldCharType="separate"/>
            </w:r>
            <w:r>
              <w:rPr>
                <w:noProof/>
                <w:webHidden/>
              </w:rPr>
              <w:t>10</w:t>
            </w:r>
            <w:r>
              <w:rPr>
                <w:noProof/>
                <w:webHidden/>
              </w:rPr>
              <w:fldChar w:fldCharType="end"/>
            </w:r>
          </w:hyperlink>
        </w:p>
        <w:p w14:paraId="0E969F06" w14:textId="2A6817C6"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94" w:history="1">
            <w:r w:rsidRPr="006F7072">
              <w:rPr>
                <w:rStyle w:val="Hyperlink"/>
                <w:noProof/>
              </w:rPr>
              <w:t>A.3. AFCOS stratēģijas pasākuma plāns – ēnošanas aktivitāte</w:t>
            </w:r>
            <w:r>
              <w:rPr>
                <w:noProof/>
                <w:webHidden/>
              </w:rPr>
              <w:tab/>
            </w:r>
            <w:r>
              <w:rPr>
                <w:noProof/>
                <w:webHidden/>
              </w:rPr>
              <w:fldChar w:fldCharType="begin"/>
            </w:r>
            <w:r>
              <w:rPr>
                <w:noProof/>
                <w:webHidden/>
              </w:rPr>
              <w:instrText xml:space="preserve"> PAGEREF _Toc192753094 \h </w:instrText>
            </w:r>
            <w:r>
              <w:rPr>
                <w:noProof/>
                <w:webHidden/>
              </w:rPr>
            </w:r>
            <w:r>
              <w:rPr>
                <w:noProof/>
                <w:webHidden/>
              </w:rPr>
              <w:fldChar w:fldCharType="separate"/>
            </w:r>
            <w:r>
              <w:rPr>
                <w:noProof/>
                <w:webHidden/>
              </w:rPr>
              <w:t>10</w:t>
            </w:r>
            <w:r>
              <w:rPr>
                <w:noProof/>
                <w:webHidden/>
              </w:rPr>
              <w:fldChar w:fldCharType="end"/>
            </w:r>
          </w:hyperlink>
        </w:p>
        <w:p w14:paraId="435F4EF2" w14:textId="7E86AAB2"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95" w:history="1">
            <w:r w:rsidRPr="006F7072">
              <w:rPr>
                <w:rStyle w:val="Hyperlink"/>
                <w:noProof/>
              </w:rPr>
              <w:t>A.4. AFCOS stratēģijas pasākuma plāns - krimināltiesiskā regulējuma izvērtējums</w:t>
            </w:r>
            <w:r>
              <w:rPr>
                <w:noProof/>
                <w:webHidden/>
              </w:rPr>
              <w:tab/>
            </w:r>
            <w:r>
              <w:rPr>
                <w:noProof/>
                <w:webHidden/>
              </w:rPr>
              <w:fldChar w:fldCharType="begin"/>
            </w:r>
            <w:r>
              <w:rPr>
                <w:noProof/>
                <w:webHidden/>
              </w:rPr>
              <w:instrText xml:space="preserve"> PAGEREF _Toc192753095 \h </w:instrText>
            </w:r>
            <w:r>
              <w:rPr>
                <w:noProof/>
                <w:webHidden/>
              </w:rPr>
            </w:r>
            <w:r>
              <w:rPr>
                <w:noProof/>
                <w:webHidden/>
              </w:rPr>
              <w:fldChar w:fldCharType="separate"/>
            </w:r>
            <w:r>
              <w:rPr>
                <w:noProof/>
                <w:webHidden/>
              </w:rPr>
              <w:t>11</w:t>
            </w:r>
            <w:r>
              <w:rPr>
                <w:noProof/>
                <w:webHidden/>
              </w:rPr>
              <w:fldChar w:fldCharType="end"/>
            </w:r>
          </w:hyperlink>
        </w:p>
        <w:p w14:paraId="3A64625F" w14:textId="49505C15" w:rsidR="00502746" w:rsidRDefault="00502746">
          <w:pPr>
            <w:pStyle w:val="TOC1"/>
            <w:rPr>
              <w:rFonts w:eastAsiaTheme="minorEastAsia"/>
              <w:b w:val="0"/>
              <w:bCs w:val="0"/>
              <w:caps w:val="0"/>
              <w:noProof/>
              <w:kern w:val="2"/>
              <w:sz w:val="24"/>
              <w:szCs w:val="24"/>
              <w:u w:val="none"/>
              <w:lang w:val="lv-LV" w:eastAsia="lv-LV"/>
              <w14:ligatures w14:val="standardContextual"/>
            </w:rPr>
          </w:pPr>
          <w:hyperlink w:anchor="_Toc192753096" w:history="1">
            <w:r w:rsidRPr="006F7072">
              <w:rPr>
                <w:rStyle w:val="Hyperlink"/>
                <w:noProof/>
              </w:rPr>
              <w:t>B daļa</w:t>
            </w:r>
            <w:r>
              <w:rPr>
                <w:noProof/>
                <w:webHidden/>
              </w:rPr>
              <w:tab/>
            </w:r>
            <w:r>
              <w:rPr>
                <w:noProof/>
                <w:webHidden/>
              </w:rPr>
              <w:fldChar w:fldCharType="begin"/>
            </w:r>
            <w:r>
              <w:rPr>
                <w:noProof/>
                <w:webHidden/>
              </w:rPr>
              <w:instrText xml:space="preserve"> PAGEREF _Toc192753096 \h </w:instrText>
            </w:r>
            <w:r>
              <w:rPr>
                <w:noProof/>
                <w:webHidden/>
              </w:rPr>
            </w:r>
            <w:r>
              <w:rPr>
                <w:noProof/>
                <w:webHidden/>
              </w:rPr>
              <w:fldChar w:fldCharType="separate"/>
            </w:r>
            <w:r>
              <w:rPr>
                <w:noProof/>
                <w:webHidden/>
              </w:rPr>
              <w:t>13</w:t>
            </w:r>
            <w:r>
              <w:rPr>
                <w:noProof/>
                <w:webHidden/>
              </w:rPr>
              <w:fldChar w:fldCharType="end"/>
            </w:r>
          </w:hyperlink>
        </w:p>
        <w:p w14:paraId="381EA2CA" w14:textId="682AA6B6" w:rsidR="00502746" w:rsidRDefault="00502746">
          <w:pPr>
            <w:pStyle w:val="TOC2"/>
            <w:tabs>
              <w:tab w:val="right" w:pos="10790"/>
            </w:tabs>
            <w:rPr>
              <w:rFonts w:eastAsiaTheme="minorEastAsia"/>
              <w:b w:val="0"/>
              <w:bCs w:val="0"/>
              <w:smallCaps w:val="0"/>
              <w:noProof/>
              <w:kern w:val="2"/>
              <w:sz w:val="24"/>
              <w:szCs w:val="24"/>
              <w:lang w:val="lv-LV" w:eastAsia="lv-LV"/>
              <w14:ligatures w14:val="standardContextual"/>
            </w:rPr>
          </w:pPr>
          <w:hyperlink w:anchor="_Toc192753097" w:history="1">
            <w:r w:rsidRPr="006F7072">
              <w:rPr>
                <w:rStyle w:val="Hyperlink"/>
                <w:noProof/>
                <w:lang w:val="lv-LV"/>
              </w:rPr>
              <w:t>INFORMATĪVS PĀRSKATS UN STATISTIKAS DATI PAR KONSTATĒTAJĀM NEATBILSTĪBĀM ES FONDOS</w:t>
            </w:r>
            <w:r>
              <w:rPr>
                <w:noProof/>
                <w:webHidden/>
              </w:rPr>
              <w:tab/>
            </w:r>
            <w:r>
              <w:rPr>
                <w:noProof/>
                <w:webHidden/>
              </w:rPr>
              <w:fldChar w:fldCharType="begin"/>
            </w:r>
            <w:r>
              <w:rPr>
                <w:noProof/>
                <w:webHidden/>
              </w:rPr>
              <w:instrText xml:space="preserve"> PAGEREF _Toc192753097 \h </w:instrText>
            </w:r>
            <w:r>
              <w:rPr>
                <w:noProof/>
                <w:webHidden/>
              </w:rPr>
            </w:r>
            <w:r>
              <w:rPr>
                <w:noProof/>
                <w:webHidden/>
              </w:rPr>
              <w:fldChar w:fldCharType="separate"/>
            </w:r>
            <w:r>
              <w:rPr>
                <w:noProof/>
                <w:webHidden/>
              </w:rPr>
              <w:t>13</w:t>
            </w:r>
            <w:r>
              <w:rPr>
                <w:noProof/>
                <w:webHidden/>
              </w:rPr>
              <w:fldChar w:fldCharType="end"/>
            </w:r>
          </w:hyperlink>
        </w:p>
        <w:p w14:paraId="0A57F5C7" w14:textId="0938D953"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098" w:history="1">
            <w:r w:rsidRPr="006F7072">
              <w:rPr>
                <w:rStyle w:val="Hyperlink"/>
                <w:noProof/>
              </w:rPr>
              <w:t>B.1. Kopējie neatbilstību apjomi 2024. gadā un to sadalījums pa fondiem</w:t>
            </w:r>
            <w:r>
              <w:rPr>
                <w:noProof/>
                <w:webHidden/>
              </w:rPr>
              <w:tab/>
            </w:r>
            <w:r>
              <w:rPr>
                <w:noProof/>
                <w:webHidden/>
              </w:rPr>
              <w:fldChar w:fldCharType="begin"/>
            </w:r>
            <w:r>
              <w:rPr>
                <w:noProof/>
                <w:webHidden/>
              </w:rPr>
              <w:instrText xml:space="preserve"> PAGEREF _Toc192753098 \h </w:instrText>
            </w:r>
            <w:r>
              <w:rPr>
                <w:noProof/>
                <w:webHidden/>
              </w:rPr>
            </w:r>
            <w:r>
              <w:rPr>
                <w:noProof/>
                <w:webHidden/>
              </w:rPr>
              <w:fldChar w:fldCharType="separate"/>
            </w:r>
            <w:r>
              <w:rPr>
                <w:noProof/>
                <w:webHidden/>
              </w:rPr>
              <w:t>13</w:t>
            </w:r>
            <w:r>
              <w:rPr>
                <w:noProof/>
                <w:webHidden/>
              </w:rPr>
              <w:fldChar w:fldCharType="end"/>
            </w:r>
          </w:hyperlink>
        </w:p>
        <w:p w14:paraId="6B7C9753" w14:textId="4B14299F" w:rsidR="00502746" w:rsidRDefault="00502746">
          <w:pPr>
            <w:pStyle w:val="TOC4"/>
            <w:rPr>
              <w:rFonts w:eastAsiaTheme="minorEastAsia"/>
              <w:noProof/>
              <w:kern w:val="2"/>
              <w:sz w:val="24"/>
              <w:szCs w:val="24"/>
              <w:lang w:val="lv-LV" w:eastAsia="lv-LV"/>
              <w14:ligatures w14:val="standardContextual"/>
            </w:rPr>
          </w:pPr>
          <w:hyperlink w:anchor="_Toc192753099" w:history="1">
            <w:r w:rsidRPr="006F7072">
              <w:rPr>
                <w:rStyle w:val="Hyperlink"/>
                <w:noProof/>
              </w:rPr>
              <w:t>B.1.1.  2014. - 2020. gada plānošanas periods</w:t>
            </w:r>
            <w:r>
              <w:rPr>
                <w:noProof/>
                <w:webHidden/>
              </w:rPr>
              <w:tab/>
            </w:r>
            <w:r>
              <w:rPr>
                <w:noProof/>
                <w:webHidden/>
              </w:rPr>
              <w:fldChar w:fldCharType="begin"/>
            </w:r>
            <w:r>
              <w:rPr>
                <w:noProof/>
                <w:webHidden/>
              </w:rPr>
              <w:instrText xml:space="preserve"> PAGEREF _Toc192753099 \h </w:instrText>
            </w:r>
            <w:r>
              <w:rPr>
                <w:noProof/>
                <w:webHidden/>
              </w:rPr>
            </w:r>
            <w:r>
              <w:rPr>
                <w:noProof/>
                <w:webHidden/>
              </w:rPr>
              <w:fldChar w:fldCharType="separate"/>
            </w:r>
            <w:r>
              <w:rPr>
                <w:noProof/>
                <w:webHidden/>
              </w:rPr>
              <w:t>13</w:t>
            </w:r>
            <w:r>
              <w:rPr>
                <w:noProof/>
                <w:webHidden/>
              </w:rPr>
              <w:fldChar w:fldCharType="end"/>
            </w:r>
          </w:hyperlink>
        </w:p>
        <w:p w14:paraId="25C648A9" w14:textId="555B7B78" w:rsidR="00502746" w:rsidRDefault="00502746">
          <w:pPr>
            <w:pStyle w:val="TOC4"/>
            <w:rPr>
              <w:rFonts w:eastAsiaTheme="minorEastAsia"/>
              <w:noProof/>
              <w:kern w:val="2"/>
              <w:sz w:val="24"/>
              <w:szCs w:val="24"/>
              <w:lang w:val="lv-LV" w:eastAsia="lv-LV"/>
              <w14:ligatures w14:val="standardContextual"/>
            </w:rPr>
          </w:pPr>
          <w:hyperlink w:anchor="_Toc192753100" w:history="1">
            <w:r w:rsidRPr="006F7072">
              <w:rPr>
                <w:rStyle w:val="Hyperlink"/>
                <w:noProof/>
              </w:rPr>
              <w:t>B.1.2.  2021. - 2027. gada plānošanas periods</w:t>
            </w:r>
            <w:r>
              <w:rPr>
                <w:noProof/>
                <w:webHidden/>
              </w:rPr>
              <w:tab/>
            </w:r>
            <w:r>
              <w:rPr>
                <w:noProof/>
                <w:webHidden/>
              </w:rPr>
              <w:fldChar w:fldCharType="begin"/>
            </w:r>
            <w:r>
              <w:rPr>
                <w:noProof/>
                <w:webHidden/>
              </w:rPr>
              <w:instrText xml:space="preserve"> PAGEREF _Toc192753100 \h </w:instrText>
            </w:r>
            <w:r>
              <w:rPr>
                <w:noProof/>
                <w:webHidden/>
              </w:rPr>
            </w:r>
            <w:r>
              <w:rPr>
                <w:noProof/>
                <w:webHidden/>
              </w:rPr>
              <w:fldChar w:fldCharType="separate"/>
            </w:r>
            <w:r>
              <w:rPr>
                <w:noProof/>
                <w:webHidden/>
              </w:rPr>
              <w:t>16</w:t>
            </w:r>
            <w:r>
              <w:rPr>
                <w:noProof/>
                <w:webHidden/>
              </w:rPr>
              <w:fldChar w:fldCharType="end"/>
            </w:r>
          </w:hyperlink>
        </w:p>
        <w:p w14:paraId="42DE3876" w14:textId="49377658" w:rsidR="00502746" w:rsidRDefault="00502746">
          <w:pPr>
            <w:pStyle w:val="TOC4"/>
            <w:rPr>
              <w:rFonts w:eastAsiaTheme="minorEastAsia"/>
              <w:noProof/>
              <w:kern w:val="2"/>
              <w:sz w:val="24"/>
              <w:szCs w:val="24"/>
              <w:lang w:val="lv-LV" w:eastAsia="lv-LV"/>
              <w14:ligatures w14:val="standardContextual"/>
            </w:rPr>
          </w:pPr>
          <w:hyperlink w:anchor="_Toc192753101" w:history="1">
            <w:r w:rsidRPr="006F7072">
              <w:rPr>
                <w:rStyle w:val="Hyperlink"/>
                <w:noProof/>
              </w:rPr>
              <w:t>B.1.3 Investīciju un neatbilstību apjoma salīdzinājums ceturtajos plānošanas periodu ieviešanas gados (2017., 2024. gads)</w:t>
            </w:r>
            <w:r>
              <w:rPr>
                <w:noProof/>
                <w:webHidden/>
              </w:rPr>
              <w:tab/>
            </w:r>
            <w:r>
              <w:rPr>
                <w:noProof/>
                <w:webHidden/>
              </w:rPr>
              <w:fldChar w:fldCharType="begin"/>
            </w:r>
            <w:r>
              <w:rPr>
                <w:noProof/>
                <w:webHidden/>
              </w:rPr>
              <w:instrText xml:space="preserve"> PAGEREF _Toc192753101 \h </w:instrText>
            </w:r>
            <w:r>
              <w:rPr>
                <w:noProof/>
                <w:webHidden/>
              </w:rPr>
            </w:r>
            <w:r>
              <w:rPr>
                <w:noProof/>
                <w:webHidden/>
              </w:rPr>
              <w:fldChar w:fldCharType="separate"/>
            </w:r>
            <w:r>
              <w:rPr>
                <w:noProof/>
                <w:webHidden/>
              </w:rPr>
              <w:t>16</w:t>
            </w:r>
            <w:r>
              <w:rPr>
                <w:noProof/>
                <w:webHidden/>
              </w:rPr>
              <w:fldChar w:fldCharType="end"/>
            </w:r>
          </w:hyperlink>
        </w:p>
        <w:p w14:paraId="6228E221" w14:textId="3D4C64FD"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102" w:history="1">
            <w:r w:rsidRPr="006F7072">
              <w:rPr>
                <w:rStyle w:val="Hyperlink"/>
                <w:noProof/>
              </w:rPr>
              <w:t>B.2.  Neatbilstību veidi</w:t>
            </w:r>
            <w:r>
              <w:rPr>
                <w:noProof/>
                <w:webHidden/>
              </w:rPr>
              <w:tab/>
            </w:r>
            <w:r>
              <w:rPr>
                <w:noProof/>
                <w:webHidden/>
              </w:rPr>
              <w:fldChar w:fldCharType="begin"/>
            </w:r>
            <w:r>
              <w:rPr>
                <w:noProof/>
                <w:webHidden/>
              </w:rPr>
              <w:instrText xml:space="preserve"> PAGEREF _Toc192753102 \h </w:instrText>
            </w:r>
            <w:r>
              <w:rPr>
                <w:noProof/>
                <w:webHidden/>
              </w:rPr>
            </w:r>
            <w:r>
              <w:rPr>
                <w:noProof/>
                <w:webHidden/>
              </w:rPr>
              <w:fldChar w:fldCharType="separate"/>
            </w:r>
            <w:r>
              <w:rPr>
                <w:noProof/>
                <w:webHidden/>
              </w:rPr>
              <w:t>19</w:t>
            </w:r>
            <w:r>
              <w:rPr>
                <w:noProof/>
                <w:webHidden/>
              </w:rPr>
              <w:fldChar w:fldCharType="end"/>
            </w:r>
          </w:hyperlink>
        </w:p>
        <w:p w14:paraId="5577EEF8" w14:textId="3A3326FC" w:rsidR="00502746" w:rsidRDefault="00502746">
          <w:pPr>
            <w:pStyle w:val="TOC4"/>
            <w:rPr>
              <w:rFonts w:eastAsiaTheme="minorEastAsia"/>
              <w:noProof/>
              <w:kern w:val="2"/>
              <w:sz w:val="24"/>
              <w:szCs w:val="24"/>
              <w:lang w:val="lv-LV" w:eastAsia="lv-LV"/>
              <w14:ligatures w14:val="standardContextual"/>
            </w:rPr>
          </w:pPr>
          <w:hyperlink w:anchor="_Toc192753103" w:history="1">
            <w:r w:rsidRPr="006F7072">
              <w:rPr>
                <w:rStyle w:val="Hyperlink"/>
                <w:noProof/>
              </w:rPr>
              <w:t>B.2.1. Biežākās un apjomīgākās neatbilstības sadalījumā pēc to veidiem 2014.-2020. gada plānošanas periodā</w:t>
            </w:r>
            <w:r>
              <w:rPr>
                <w:noProof/>
                <w:webHidden/>
              </w:rPr>
              <w:tab/>
            </w:r>
            <w:r>
              <w:rPr>
                <w:noProof/>
                <w:webHidden/>
              </w:rPr>
              <w:fldChar w:fldCharType="begin"/>
            </w:r>
            <w:r>
              <w:rPr>
                <w:noProof/>
                <w:webHidden/>
              </w:rPr>
              <w:instrText xml:space="preserve"> PAGEREF _Toc192753103 \h </w:instrText>
            </w:r>
            <w:r>
              <w:rPr>
                <w:noProof/>
                <w:webHidden/>
              </w:rPr>
            </w:r>
            <w:r>
              <w:rPr>
                <w:noProof/>
                <w:webHidden/>
              </w:rPr>
              <w:fldChar w:fldCharType="separate"/>
            </w:r>
            <w:r>
              <w:rPr>
                <w:noProof/>
                <w:webHidden/>
              </w:rPr>
              <w:t>19</w:t>
            </w:r>
            <w:r>
              <w:rPr>
                <w:noProof/>
                <w:webHidden/>
              </w:rPr>
              <w:fldChar w:fldCharType="end"/>
            </w:r>
          </w:hyperlink>
        </w:p>
        <w:p w14:paraId="751777E8" w14:textId="5F4FDD5A" w:rsidR="00502746" w:rsidRDefault="00502746">
          <w:pPr>
            <w:pStyle w:val="TOC4"/>
            <w:rPr>
              <w:rFonts w:eastAsiaTheme="minorEastAsia"/>
              <w:noProof/>
              <w:kern w:val="2"/>
              <w:sz w:val="24"/>
              <w:szCs w:val="24"/>
              <w:lang w:val="lv-LV" w:eastAsia="lv-LV"/>
              <w14:ligatures w14:val="standardContextual"/>
            </w:rPr>
          </w:pPr>
          <w:hyperlink w:anchor="_Toc192753104" w:history="1">
            <w:r w:rsidRPr="006F7072">
              <w:rPr>
                <w:rStyle w:val="Hyperlink"/>
                <w:noProof/>
              </w:rPr>
              <w:t>B.2.2. Biežākās un apjomīgākās neatbilstības sadalījumā pēc to veidiem 2021.-2027. gada plānošanas periodā</w:t>
            </w:r>
            <w:r>
              <w:rPr>
                <w:noProof/>
                <w:webHidden/>
              </w:rPr>
              <w:tab/>
            </w:r>
            <w:r>
              <w:rPr>
                <w:noProof/>
                <w:webHidden/>
              </w:rPr>
              <w:fldChar w:fldCharType="begin"/>
            </w:r>
            <w:r>
              <w:rPr>
                <w:noProof/>
                <w:webHidden/>
              </w:rPr>
              <w:instrText xml:space="preserve"> PAGEREF _Toc192753104 \h </w:instrText>
            </w:r>
            <w:r>
              <w:rPr>
                <w:noProof/>
                <w:webHidden/>
              </w:rPr>
            </w:r>
            <w:r>
              <w:rPr>
                <w:noProof/>
                <w:webHidden/>
              </w:rPr>
              <w:fldChar w:fldCharType="separate"/>
            </w:r>
            <w:r>
              <w:rPr>
                <w:noProof/>
                <w:webHidden/>
              </w:rPr>
              <w:t>20</w:t>
            </w:r>
            <w:r>
              <w:rPr>
                <w:noProof/>
                <w:webHidden/>
              </w:rPr>
              <w:fldChar w:fldCharType="end"/>
            </w:r>
          </w:hyperlink>
        </w:p>
        <w:p w14:paraId="205FFAFD" w14:textId="2F002B25" w:rsidR="00502746" w:rsidRDefault="00502746">
          <w:pPr>
            <w:pStyle w:val="TOC4"/>
            <w:rPr>
              <w:rFonts w:eastAsiaTheme="minorEastAsia"/>
              <w:noProof/>
              <w:kern w:val="2"/>
              <w:sz w:val="24"/>
              <w:szCs w:val="24"/>
              <w:lang w:val="lv-LV" w:eastAsia="lv-LV"/>
              <w14:ligatures w14:val="standardContextual"/>
            </w:rPr>
          </w:pPr>
          <w:hyperlink w:anchor="_Toc192753105" w:history="1">
            <w:r w:rsidRPr="006F7072">
              <w:rPr>
                <w:rStyle w:val="Hyperlink"/>
                <w:noProof/>
              </w:rPr>
              <w:t>B.2.3. Neatbilstības, kas klasificētas kā krāpšana/ aizdomas par krāpšanu vai organizēto noziedzību</w:t>
            </w:r>
            <w:r>
              <w:rPr>
                <w:noProof/>
                <w:webHidden/>
              </w:rPr>
              <w:tab/>
            </w:r>
            <w:r>
              <w:rPr>
                <w:noProof/>
                <w:webHidden/>
              </w:rPr>
              <w:fldChar w:fldCharType="begin"/>
            </w:r>
            <w:r>
              <w:rPr>
                <w:noProof/>
                <w:webHidden/>
              </w:rPr>
              <w:instrText xml:space="preserve"> PAGEREF _Toc192753105 \h </w:instrText>
            </w:r>
            <w:r>
              <w:rPr>
                <w:noProof/>
                <w:webHidden/>
              </w:rPr>
            </w:r>
            <w:r>
              <w:rPr>
                <w:noProof/>
                <w:webHidden/>
              </w:rPr>
              <w:fldChar w:fldCharType="separate"/>
            </w:r>
            <w:r>
              <w:rPr>
                <w:noProof/>
                <w:webHidden/>
              </w:rPr>
              <w:t>20</w:t>
            </w:r>
            <w:r>
              <w:rPr>
                <w:noProof/>
                <w:webHidden/>
              </w:rPr>
              <w:fldChar w:fldCharType="end"/>
            </w:r>
          </w:hyperlink>
        </w:p>
        <w:p w14:paraId="1D2C918E" w14:textId="409805DC"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106" w:history="1">
            <w:r w:rsidRPr="006F7072">
              <w:rPr>
                <w:rStyle w:val="Hyperlink"/>
                <w:noProof/>
              </w:rPr>
              <w:t>B.3. Neatbilstību izvērtējums sadalījumā pa dažādiem finansējuma avotiem</w:t>
            </w:r>
            <w:r>
              <w:rPr>
                <w:noProof/>
                <w:webHidden/>
              </w:rPr>
              <w:tab/>
            </w:r>
            <w:r>
              <w:rPr>
                <w:noProof/>
                <w:webHidden/>
              </w:rPr>
              <w:fldChar w:fldCharType="begin"/>
            </w:r>
            <w:r>
              <w:rPr>
                <w:noProof/>
                <w:webHidden/>
              </w:rPr>
              <w:instrText xml:space="preserve"> PAGEREF _Toc192753106 \h </w:instrText>
            </w:r>
            <w:r>
              <w:rPr>
                <w:noProof/>
                <w:webHidden/>
              </w:rPr>
            </w:r>
            <w:r>
              <w:rPr>
                <w:noProof/>
                <w:webHidden/>
              </w:rPr>
              <w:fldChar w:fldCharType="separate"/>
            </w:r>
            <w:r>
              <w:rPr>
                <w:noProof/>
                <w:webHidden/>
              </w:rPr>
              <w:t>21</w:t>
            </w:r>
            <w:r>
              <w:rPr>
                <w:noProof/>
                <w:webHidden/>
              </w:rPr>
              <w:fldChar w:fldCharType="end"/>
            </w:r>
          </w:hyperlink>
        </w:p>
        <w:p w14:paraId="51D8BFAA" w14:textId="7BDC1846" w:rsidR="00502746" w:rsidRDefault="00502746">
          <w:pPr>
            <w:pStyle w:val="TOC4"/>
            <w:rPr>
              <w:rFonts w:eastAsiaTheme="minorEastAsia"/>
              <w:noProof/>
              <w:kern w:val="2"/>
              <w:sz w:val="24"/>
              <w:szCs w:val="24"/>
              <w:lang w:val="lv-LV" w:eastAsia="lv-LV"/>
              <w14:ligatures w14:val="standardContextual"/>
            </w:rPr>
          </w:pPr>
          <w:hyperlink w:anchor="_Toc192753107" w:history="1">
            <w:r w:rsidRPr="006F7072">
              <w:rPr>
                <w:rStyle w:val="Hyperlink"/>
                <w:noProof/>
              </w:rPr>
              <w:t>B.3.1. Eiropas Reģionālās attīstības fonds (ERAF), Eiropas Sociālais fonds (ESF), Eiropas Sociālais fonds Plus (ESF+) Kohēzijas fonds (KF), Taisnīgas pārkārtošanās fonds (TPF)</w:t>
            </w:r>
            <w:r>
              <w:rPr>
                <w:noProof/>
                <w:webHidden/>
              </w:rPr>
              <w:tab/>
            </w:r>
            <w:r>
              <w:rPr>
                <w:noProof/>
                <w:webHidden/>
              </w:rPr>
              <w:fldChar w:fldCharType="begin"/>
            </w:r>
            <w:r>
              <w:rPr>
                <w:noProof/>
                <w:webHidden/>
              </w:rPr>
              <w:instrText xml:space="preserve"> PAGEREF _Toc192753107 \h </w:instrText>
            </w:r>
            <w:r>
              <w:rPr>
                <w:noProof/>
                <w:webHidden/>
              </w:rPr>
            </w:r>
            <w:r>
              <w:rPr>
                <w:noProof/>
                <w:webHidden/>
              </w:rPr>
              <w:fldChar w:fldCharType="separate"/>
            </w:r>
            <w:r>
              <w:rPr>
                <w:noProof/>
                <w:webHidden/>
              </w:rPr>
              <w:t>21</w:t>
            </w:r>
            <w:r>
              <w:rPr>
                <w:noProof/>
                <w:webHidden/>
              </w:rPr>
              <w:fldChar w:fldCharType="end"/>
            </w:r>
          </w:hyperlink>
        </w:p>
        <w:p w14:paraId="033DB6C0" w14:textId="5774F461" w:rsidR="00502746" w:rsidRDefault="00502746">
          <w:pPr>
            <w:pStyle w:val="TOC4"/>
            <w:rPr>
              <w:rFonts w:eastAsiaTheme="minorEastAsia"/>
              <w:noProof/>
              <w:kern w:val="2"/>
              <w:sz w:val="24"/>
              <w:szCs w:val="24"/>
              <w:lang w:val="lv-LV" w:eastAsia="lv-LV"/>
              <w14:ligatures w14:val="standardContextual"/>
            </w:rPr>
          </w:pPr>
          <w:hyperlink w:anchor="_Toc192753108" w:history="1">
            <w:r w:rsidRPr="006F7072">
              <w:rPr>
                <w:rStyle w:val="Hyperlink"/>
                <w:noProof/>
              </w:rPr>
              <w:t>B.3.2. Eiropas Lauksaimniecības fonds lauku attīstībai (ELFLA), Eiropas Lauksaimniecības garantiju fonds (ELGF) un Eiropas Jūrlietu un zivsaimniecības fonds (EJZF),  Eiropas Jūrlietu, zvejniecības un akvakultūras fonds (EJZAF)</w:t>
            </w:r>
            <w:r>
              <w:rPr>
                <w:noProof/>
                <w:webHidden/>
              </w:rPr>
              <w:tab/>
            </w:r>
            <w:r>
              <w:rPr>
                <w:noProof/>
                <w:webHidden/>
              </w:rPr>
              <w:fldChar w:fldCharType="begin"/>
            </w:r>
            <w:r>
              <w:rPr>
                <w:noProof/>
                <w:webHidden/>
              </w:rPr>
              <w:instrText xml:space="preserve"> PAGEREF _Toc192753108 \h </w:instrText>
            </w:r>
            <w:r>
              <w:rPr>
                <w:noProof/>
                <w:webHidden/>
              </w:rPr>
            </w:r>
            <w:r>
              <w:rPr>
                <w:noProof/>
                <w:webHidden/>
              </w:rPr>
              <w:fldChar w:fldCharType="separate"/>
            </w:r>
            <w:r>
              <w:rPr>
                <w:noProof/>
                <w:webHidden/>
              </w:rPr>
              <w:t>23</w:t>
            </w:r>
            <w:r>
              <w:rPr>
                <w:noProof/>
                <w:webHidden/>
              </w:rPr>
              <w:fldChar w:fldCharType="end"/>
            </w:r>
          </w:hyperlink>
        </w:p>
        <w:p w14:paraId="71989CFE" w14:textId="1B1119BD" w:rsidR="00502746" w:rsidRDefault="00502746">
          <w:pPr>
            <w:pStyle w:val="TOC4"/>
            <w:rPr>
              <w:rFonts w:eastAsiaTheme="minorEastAsia"/>
              <w:noProof/>
              <w:kern w:val="2"/>
              <w:sz w:val="24"/>
              <w:szCs w:val="24"/>
              <w:lang w:val="lv-LV" w:eastAsia="lv-LV"/>
              <w14:ligatures w14:val="standardContextual"/>
            </w:rPr>
          </w:pPr>
          <w:hyperlink w:anchor="_Toc192753109" w:history="1">
            <w:r w:rsidRPr="006F7072">
              <w:rPr>
                <w:rStyle w:val="Hyperlink"/>
                <w:noProof/>
              </w:rPr>
              <w:t>B.3.3. Eiropas Teritoriālās sadarbības (ETS) programmas</w:t>
            </w:r>
            <w:r>
              <w:rPr>
                <w:noProof/>
                <w:webHidden/>
              </w:rPr>
              <w:tab/>
            </w:r>
            <w:r>
              <w:rPr>
                <w:noProof/>
                <w:webHidden/>
              </w:rPr>
              <w:fldChar w:fldCharType="begin"/>
            </w:r>
            <w:r>
              <w:rPr>
                <w:noProof/>
                <w:webHidden/>
              </w:rPr>
              <w:instrText xml:space="preserve"> PAGEREF _Toc192753109 \h </w:instrText>
            </w:r>
            <w:r>
              <w:rPr>
                <w:noProof/>
                <w:webHidden/>
              </w:rPr>
            </w:r>
            <w:r>
              <w:rPr>
                <w:noProof/>
                <w:webHidden/>
              </w:rPr>
              <w:fldChar w:fldCharType="separate"/>
            </w:r>
            <w:r>
              <w:rPr>
                <w:noProof/>
                <w:webHidden/>
              </w:rPr>
              <w:t>24</w:t>
            </w:r>
            <w:r>
              <w:rPr>
                <w:noProof/>
                <w:webHidden/>
              </w:rPr>
              <w:fldChar w:fldCharType="end"/>
            </w:r>
          </w:hyperlink>
        </w:p>
        <w:p w14:paraId="06CBB3CA" w14:textId="46B0B82D" w:rsidR="00502746" w:rsidRDefault="00502746">
          <w:pPr>
            <w:pStyle w:val="TOC4"/>
            <w:rPr>
              <w:rFonts w:eastAsiaTheme="minorEastAsia"/>
              <w:noProof/>
              <w:kern w:val="2"/>
              <w:sz w:val="24"/>
              <w:szCs w:val="24"/>
              <w:lang w:val="lv-LV" w:eastAsia="lv-LV"/>
              <w14:ligatures w14:val="standardContextual"/>
            </w:rPr>
          </w:pPr>
          <w:hyperlink w:anchor="_Toc192753110" w:history="1">
            <w:r w:rsidRPr="006F7072">
              <w:rPr>
                <w:rStyle w:val="Hyperlink"/>
                <w:noProof/>
              </w:rPr>
              <w:t>B.3.4. Eiropas Atbalsta fonds vistrūcīgākajām personām (EAFVP) un ESF Plus programma materiālās nenodrošinātības mazināšanai 2021.–2027. gadam (ESF+ programma)</w:t>
            </w:r>
            <w:r>
              <w:rPr>
                <w:noProof/>
                <w:webHidden/>
              </w:rPr>
              <w:tab/>
            </w:r>
            <w:r>
              <w:rPr>
                <w:noProof/>
                <w:webHidden/>
              </w:rPr>
              <w:fldChar w:fldCharType="begin"/>
            </w:r>
            <w:r>
              <w:rPr>
                <w:noProof/>
                <w:webHidden/>
              </w:rPr>
              <w:instrText xml:space="preserve"> PAGEREF _Toc192753110 \h </w:instrText>
            </w:r>
            <w:r>
              <w:rPr>
                <w:noProof/>
                <w:webHidden/>
              </w:rPr>
            </w:r>
            <w:r>
              <w:rPr>
                <w:noProof/>
                <w:webHidden/>
              </w:rPr>
              <w:fldChar w:fldCharType="separate"/>
            </w:r>
            <w:r>
              <w:rPr>
                <w:noProof/>
                <w:webHidden/>
              </w:rPr>
              <w:t>26</w:t>
            </w:r>
            <w:r>
              <w:rPr>
                <w:noProof/>
                <w:webHidden/>
              </w:rPr>
              <w:fldChar w:fldCharType="end"/>
            </w:r>
          </w:hyperlink>
        </w:p>
        <w:p w14:paraId="4FBD0BFF" w14:textId="28C13203" w:rsidR="00502746" w:rsidRDefault="00502746">
          <w:pPr>
            <w:pStyle w:val="TOC4"/>
            <w:rPr>
              <w:rFonts w:eastAsiaTheme="minorEastAsia"/>
              <w:noProof/>
              <w:kern w:val="2"/>
              <w:sz w:val="24"/>
              <w:szCs w:val="24"/>
              <w:lang w:val="lv-LV" w:eastAsia="lv-LV"/>
              <w14:ligatures w14:val="standardContextual"/>
            </w:rPr>
          </w:pPr>
          <w:hyperlink w:anchor="_Toc192753111" w:history="1">
            <w:r w:rsidRPr="006F7072">
              <w:rPr>
                <w:rStyle w:val="Hyperlink"/>
                <w:noProof/>
              </w:rPr>
              <w:t>B.3.5. Iekšējās drošības fonds (IDF) un Patvēruma, migrācijas un integrācijas fonds (PMIF) un Finansiālā atbalsta instruments robežu pārvaldībai un vīzu politikai (RPVP)</w:t>
            </w:r>
            <w:r>
              <w:rPr>
                <w:noProof/>
                <w:webHidden/>
              </w:rPr>
              <w:tab/>
            </w:r>
            <w:r>
              <w:rPr>
                <w:noProof/>
                <w:webHidden/>
              </w:rPr>
              <w:fldChar w:fldCharType="begin"/>
            </w:r>
            <w:r>
              <w:rPr>
                <w:noProof/>
                <w:webHidden/>
              </w:rPr>
              <w:instrText xml:space="preserve"> PAGEREF _Toc192753111 \h </w:instrText>
            </w:r>
            <w:r>
              <w:rPr>
                <w:noProof/>
                <w:webHidden/>
              </w:rPr>
            </w:r>
            <w:r>
              <w:rPr>
                <w:noProof/>
                <w:webHidden/>
              </w:rPr>
              <w:fldChar w:fldCharType="separate"/>
            </w:r>
            <w:r>
              <w:rPr>
                <w:noProof/>
                <w:webHidden/>
              </w:rPr>
              <w:t>27</w:t>
            </w:r>
            <w:r>
              <w:rPr>
                <w:noProof/>
                <w:webHidden/>
              </w:rPr>
              <w:fldChar w:fldCharType="end"/>
            </w:r>
          </w:hyperlink>
        </w:p>
        <w:p w14:paraId="228217A5" w14:textId="3E82EBF3" w:rsidR="00502746" w:rsidRDefault="00502746">
          <w:pPr>
            <w:pStyle w:val="TOC4"/>
            <w:rPr>
              <w:rFonts w:eastAsiaTheme="minorEastAsia"/>
              <w:noProof/>
              <w:kern w:val="2"/>
              <w:sz w:val="24"/>
              <w:szCs w:val="24"/>
              <w:lang w:val="lv-LV" w:eastAsia="lv-LV"/>
              <w14:ligatures w14:val="standardContextual"/>
            </w:rPr>
          </w:pPr>
          <w:hyperlink w:anchor="_Toc192753112" w:history="1">
            <w:r w:rsidRPr="006F7072">
              <w:rPr>
                <w:rStyle w:val="Hyperlink"/>
                <w:noProof/>
              </w:rPr>
              <w:t>B.3.6. Atveseļošanas fonds</w:t>
            </w:r>
            <w:r>
              <w:rPr>
                <w:noProof/>
                <w:webHidden/>
              </w:rPr>
              <w:tab/>
            </w:r>
            <w:r>
              <w:rPr>
                <w:noProof/>
                <w:webHidden/>
              </w:rPr>
              <w:fldChar w:fldCharType="begin"/>
            </w:r>
            <w:r>
              <w:rPr>
                <w:noProof/>
                <w:webHidden/>
              </w:rPr>
              <w:instrText xml:space="preserve"> PAGEREF _Toc192753112 \h </w:instrText>
            </w:r>
            <w:r>
              <w:rPr>
                <w:noProof/>
                <w:webHidden/>
              </w:rPr>
            </w:r>
            <w:r>
              <w:rPr>
                <w:noProof/>
                <w:webHidden/>
              </w:rPr>
              <w:fldChar w:fldCharType="separate"/>
            </w:r>
            <w:r>
              <w:rPr>
                <w:noProof/>
                <w:webHidden/>
              </w:rPr>
              <w:t>27</w:t>
            </w:r>
            <w:r>
              <w:rPr>
                <w:noProof/>
                <w:webHidden/>
              </w:rPr>
              <w:fldChar w:fldCharType="end"/>
            </w:r>
          </w:hyperlink>
        </w:p>
        <w:p w14:paraId="73D1DEE5" w14:textId="5B5D697A" w:rsidR="00502746" w:rsidRDefault="00502746">
          <w:pPr>
            <w:pStyle w:val="TOC1"/>
            <w:rPr>
              <w:rFonts w:eastAsiaTheme="minorEastAsia"/>
              <w:b w:val="0"/>
              <w:bCs w:val="0"/>
              <w:caps w:val="0"/>
              <w:noProof/>
              <w:kern w:val="2"/>
              <w:sz w:val="24"/>
              <w:szCs w:val="24"/>
              <w:u w:val="none"/>
              <w:lang w:val="lv-LV" w:eastAsia="lv-LV"/>
              <w14:ligatures w14:val="standardContextual"/>
            </w:rPr>
          </w:pPr>
          <w:hyperlink w:anchor="_Toc192753113" w:history="1">
            <w:r w:rsidRPr="006F7072">
              <w:rPr>
                <w:rStyle w:val="Hyperlink"/>
                <w:noProof/>
              </w:rPr>
              <w:t>C daļa</w:t>
            </w:r>
            <w:r>
              <w:rPr>
                <w:noProof/>
                <w:webHidden/>
              </w:rPr>
              <w:tab/>
            </w:r>
            <w:r>
              <w:rPr>
                <w:noProof/>
                <w:webHidden/>
              </w:rPr>
              <w:fldChar w:fldCharType="begin"/>
            </w:r>
            <w:r>
              <w:rPr>
                <w:noProof/>
                <w:webHidden/>
              </w:rPr>
              <w:instrText xml:space="preserve"> PAGEREF _Toc192753113 \h </w:instrText>
            </w:r>
            <w:r>
              <w:rPr>
                <w:noProof/>
                <w:webHidden/>
              </w:rPr>
            </w:r>
            <w:r>
              <w:rPr>
                <w:noProof/>
                <w:webHidden/>
              </w:rPr>
              <w:fldChar w:fldCharType="separate"/>
            </w:r>
            <w:r>
              <w:rPr>
                <w:noProof/>
                <w:webHidden/>
              </w:rPr>
              <w:t>29</w:t>
            </w:r>
            <w:r>
              <w:rPr>
                <w:noProof/>
                <w:webHidden/>
              </w:rPr>
              <w:fldChar w:fldCharType="end"/>
            </w:r>
          </w:hyperlink>
        </w:p>
        <w:p w14:paraId="5560DBBF" w14:textId="6F74C843" w:rsidR="00502746" w:rsidRDefault="00502746">
          <w:pPr>
            <w:pStyle w:val="TOC2"/>
            <w:tabs>
              <w:tab w:val="right" w:pos="10790"/>
            </w:tabs>
            <w:rPr>
              <w:rFonts w:eastAsiaTheme="minorEastAsia"/>
              <w:b w:val="0"/>
              <w:bCs w:val="0"/>
              <w:smallCaps w:val="0"/>
              <w:noProof/>
              <w:kern w:val="2"/>
              <w:sz w:val="24"/>
              <w:szCs w:val="24"/>
              <w:lang w:val="lv-LV" w:eastAsia="lv-LV"/>
              <w14:ligatures w14:val="standardContextual"/>
            </w:rPr>
          </w:pPr>
          <w:hyperlink w:anchor="_Toc192753114" w:history="1">
            <w:r w:rsidRPr="006F7072">
              <w:rPr>
                <w:rStyle w:val="Hyperlink"/>
                <w:noProof/>
                <w:lang w:val="lv-LV"/>
              </w:rPr>
              <w:t>2024. GADĀ VEIKTIE IZMEKLĒŠANAS UN KRIMINĀLVAJĀŠANAS PASĀKUMI UN SADARBĪBA AR OLAF UN CITĀM EIROPAS INSTITŪCIJĀM</w:t>
            </w:r>
            <w:r>
              <w:rPr>
                <w:noProof/>
                <w:webHidden/>
              </w:rPr>
              <w:tab/>
            </w:r>
            <w:r>
              <w:rPr>
                <w:noProof/>
                <w:webHidden/>
              </w:rPr>
              <w:fldChar w:fldCharType="begin"/>
            </w:r>
            <w:r>
              <w:rPr>
                <w:noProof/>
                <w:webHidden/>
              </w:rPr>
              <w:instrText xml:space="preserve"> PAGEREF _Toc192753114 \h </w:instrText>
            </w:r>
            <w:r>
              <w:rPr>
                <w:noProof/>
                <w:webHidden/>
              </w:rPr>
            </w:r>
            <w:r>
              <w:rPr>
                <w:noProof/>
                <w:webHidden/>
              </w:rPr>
              <w:fldChar w:fldCharType="separate"/>
            </w:r>
            <w:r>
              <w:rPr>
                <w:noProof/>
                <w:webHidden/>
              </w:rPr>
              <w:t>29</w:t>
            </w:r>
            <w:r>
              <w:rPr>
                <w:noProof/>
                <w:webHidden/>
              </w:rPr>
              <w:fldChar w:fldCharType="end"/>
            </w:r>
          </w:hyperlink>
        </w:p>
        <w:p w14:paraId="7FDAFF3B" w14:textId="2D6859F8"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115" w:history="1">
            <w:r w:rsidRPr="006F7072">
              <w:rPr>
                <w:rStyle w:val="Hyperlink"/>
                <w:noProof/>
              </w:rPr>
              <w:t>C.1. Izmeklēšanas iestādēs saņemto iesniegumu statistika</w:t>
            </w:r>
            <w:r>
              <w:rPr>
                <w:noProof/>
                <w:webHidden/>
              </w:rPr>
              <w:tab/>
            </w:r>
            <w:r>
              <w:rPr>
                <w:noProof/>
                <w:webHidden/>
              </w:rPr>
              <w:fldChar w:fldCharType="begin"/>
            </w:r>
            <w:r>
              <w:rPr>
                <w:noProof/>
                <w:webHidden/>
              </w:rPr>
              <w:instrText xml:space="preserve"> PAGEREF _Toc192753115 \h </w:instrText>
            </w:r>
            <w:r>
              <w:rPr>
                <w:noProof/>
                <w:webHidden/>
              </w:rPr>
            </w:r>
            <w:r>
              <w:rPr>
                <w:noProof/>
                <w:webHidden/>
              </w:rPr>
              <w:fldChar w:fldCharType="separate"/>
            </w:r>
            <w:r>
              <w:rPr>
                <w:noProof/>
                <w:webHidden/>
              </w:rPr>
              <w:t>29</w:t>
            </w:r>
            <w:r>
              <w:rPr>
                <w:noProof/>
                <w:webHidden/>
              </w:rPr>
              <w:fldChar w:fldCharType="end"/>
            </w:r>
          </w:hyperlink>
        </w:p>
        <w:p w14:paraId="0F7E7A44" w14:textId="7ED0B8C2" w:rsidR="00502746" w:rsidRDefault="00502746">
          <w:pPr>
            <w:pStyle w:val="TOC3"/>
            <w:tabs>
              <w:tab w:val="right" w:pos="10790"/>
            </w:tabs>
            <w:rPr>
              <w:rFonts w:eastAsiaTheme="minorEastAsia"/>
              <w:b w:val="0"/>
              <w:smallCaps w:val="0"/>
              <w:noProof/>
              <w:kern w:val="2"/>
              <w:sz w:val="24"/>
              <w:szCs w:val="24"/>
              <w:lang w:val="lv-LV" w:eastAsia="lv-LV"/>
              <w14:ligatures w14:val="standardContextual"/>
            </w:rPr>
          </w:pPr>
          <w:hyperlink w:anchor="_Toc192753116" w:history="1">
            <w:r w:rsidRPr="006F7072">
              <w:rPr>
                <w:rStyle w:val="Hyperlink"/>
                <w:noProof/>
              </w:rPr>
              <w:t>C.2. Sadarbība ar OLAF un citām Eiropas institūcijām</w:t>
            </w:r>
            <w:r>
              <w:rPr>
                <w:noProof/>
                <w:webHidden/>
              </w:rPr>
              <w:tab/>
            </w:r>
            <w:r>
              <w:rPr>
                <w:noProof/>
                <w:webHidden/>
              </w:rPr>
              <w:fldChar w:fldCharType="begin"/>
            </w:r>
            <w:r>
              <w:rPr>
                <w:noProof/>
                <w:webHidden/>
              </w:rPr>
              <w:instrText xml:space="preserve"> PAGEREF _Toc192753116 \h </w:instrText>
            </w:r>
            <w:r>
              <w:rPr>
                <w:noProof/>
                <w:webHidden/>
              </w:rPr>
            </w:r>
            <w:r>
              <w:rPr>
                <w:noProof/>
                <w:webHidden/>
              </w:rPr>
              <w:fldChar w:fldCharType="separate"/>
            </w:r>
            <w:r>
              <w:rPr>
                <w:noProof/>
                <w:webHidden/>
              </w:rPr>
              <w:t>30</w:t>
            </w:r>
            <w:r>
              <w:rPr>
                <w:noProof/>
                <w:webHidden/>
              </w:rPr>
              <w:fldChar w:fldCharType="end"/>
            </w:r>
          </w:hyperlink>
        </w:p>
        <w:p w14:paraId="7D6955B6" w14:textId="022531B0" w:rsidR="00972B6B" w:rsidRPr="00BE0DBF" w:rsidRDefault="00D86172" w:rsidP="00972B6B">
          <w:pPr>
            <w:rPr>
              <w:smallCaps/>
              <w:sz w:val="22"/>
              <w:szCs w:val="22"/>
              <w:lang w:val="lv-LV"/>
            </w:rPr>
          </w:pPr>
          <w:r w:rsidRPr="00BE0DBF">
            <w:rPr>
              <w:b/>
              <w:smallCaps/>
              <w:sz w:val="22"/>
              <w:szCs w:val="22"/>
              <w:lang w:val="lv-LV"/>
            </w:rPr>
            <w:fldChar w:fldCharType="end"/>
          </w:r>
        </w:p>
        <w:p w14:paraId="56C7F4EA" w14:textId="0A3A660A" w:rsidR="00D3482A" w:rsidRPr="00BE0DBF" w:rsidRDefault="00A074BD" w:rsidP="00972B6B">
          <w:pPr>
            <w:rPr>
              <w:smallCaps/>
              <w:sz w:val="22"/>
              <w:szCs w:val="22"/>
              <w:lang w:val="lv-LV"/>
            </w:rPr>
          </w:pPr>
        </w:p>
      </w:sdtContent>
    </w:sdt>
    <w:p w14:paraId="3DD6E8EE" w14:textId="04A6D476" w:rsidR="00B67320" w:rsidRPr="00BE0DBF" w:rsidRDefault="00B67320" w:rsidP="00497288">
      <w:pPr>
        <w:spacing w:after="120"/>
        <w:ind w:firstLine="0"/>
        <w:rPr>
          <w:sz w:val="22"/>
          <w:szCs w:val="22"/>
          <w:lang w:val="lv-LV"/>
        </w:rPr>
      </w:pPr>
      <w:r w:rsidRPr="00BE0DBF">
        <w:rPr>
          <w:i/>
          <w:sz w:val="22"/>
          <w:szCs w:val="22"/>
          <w:lang w:val="lv-LV"/>
        </w:rPr>
        <w:t>PIELIKUMS</w:t>
      </w:r>
      <w:r w:rsidR="004C1EBB" w:rsidRPr="00BE0DBF">
        <w:rPr>
          <w:i/>
          <w:sz w:val="22"/>
          <w:szCs w:val="22"/>
          <w:lang w:val="lv-LV"/>
        </w:rPr>
        <w:t xml:space="preserve"> Nr.1</w:t>
      </w:r>
      <w:r w:rsidR="00BE7B7B" w:rsidRPr="00BE0DBF">
        <w:rPr>
          <w:sz w:val="22"/>
          <w:szCs w:val="22"/>
          <w:lang w:val="lv-LV"/>
        </w:rPr>
        <w:t xml:space="preserve"> </w:t>
      </w:r>
      <w:r w:rsidR="00387441" w:rsidRPr="00BE0DBF">
        <w:rPr>
          <w:sz w:val="22"/>
          <w:szCs w:val="22"/>
          <w:lang w:val="lv-LV"/>
        </w:rPr>
        <w:t>- AFCOS</w:t>
      </w:r>
      <w:r w:rsidR="00972B6B" w:rsidRPr="00BE0DBF">
        <w:rPr>
          <w:sz w:val="22"/>
          <w:szCs w:val="22"/>
          <w:lang w:val="lv-LV"/>
        </w:rPr>
        <w:t xml:space="preserve"> PADOMES STRUKTŪRA</w:t>
      </w:r>
    </w:p>
    <w:p w14:paraId="2E18179E" w14:textId="0002F611" w:rsidR="00F02612" w:rsidRPr="00BE0DBF" w:rsidRDefault="00972B6B" w:rsidP="00497288">
      <w:pPr>
        <w:spacing w:after="120"/>
        <w:ind w:firstLine="0"/>
        <w:rPr>
          <w:sz w:val="22"/>
          <w:szCs w:val="22"/>
          <w:lang w:val="lv-LV"/>
        </w:rPr>
      </w:pPr>
      <w:r w:rsidRPr="00BE0DBF">
        <w:rPr>
          <w:i/>
          <w:sz w:val="22"/>
          <w:szCs w:val="22"/>
          <w:lang w:val="lv-LV"/>
        </w:rPr>
        <w:t xml:space="preserve">PIELIKUMS NR. 2 </w:t>
      </w:r>
      <w:r w:rsidRPr="00BE0DBF">
        <w:rPr>
          <w:sz w:val="22"/>
          <w:szCs w:val="22"/>
          <w:lang w:val="lv-LV"/>
        </w:rPr>
        <w:t>- NEATBILSTĪBU APJOMS NO 2024.GADA 1.JANVĀRA LĪDZ 31.</w:t>
      </w:r>
      <w:r w:rsidR="00BF1692" w:rsidRPr="00BE0DBF">
        <w:rPr>
          <w:sz w:val="22"/>
          <w:szCs w:val="22"/>
          <w:lang w:val="lv-LV"/>
        </w:rPr>
        <w:t xml:space="preserve"> </w:t>
      </w:r>
      <w:r w:rsidRPr="00BE0DBF">
        <w:rPr>
          <w:sz w:val="22"/>
          <w:szCs w:val="22"/>
          <w:lang w:val="lv-LV"/>
        </w:rPr>
        <w:t>DECEMBRIM  2014.-2020.</w:t>
      </w:r>
      <w:r w:rsidR="00BF1692" w:rsidRPr="00BE0DBF">
        <w:rPr>
          <w:sz w:val="22"/>
          <w:szCs w:val="22"/>
          <w:lang w:val="lv-LV"/>
        </w:rPr>
        <w:t xml:space="preserve"> </w:t>
      </w:r>
      <w:r w:rsidRPr="00BE0DBF">
        <w:rPr>
          <w:sz w:val="22"/>
          <w:szCs w:val="22"/>
          <w:lang w:val="lv-LV"/>
        </w:rPr>
        <w:t>GADA PLĀNOŠANAS PERIODĀ UN 2021.-2027.</w:t>
      </w:r>
      <w:r w:rsidR="00BF1692" w:rsidRPr="00BE0DBF">
        <w:rPr>
          <w:sz w:val="22"/>
          <w:szCs w:val="22"/>
          <w:lang w:val="lv-LV"/>
        </w:rPr>
        <w:t xml:space="preserve"> </w:t>
      </w:r>
      <w:r w:rsidRPr="00BE0DBF">
        <w:rPr>
          <w:sz w:val="22"/>
          <w:szCs w:val="22"/>
          <w:lang w:val="lv-LV"/>
        </w:rPr>
        <w:t xml:space="preserve">GADA PLĀNOŠANAS </w:t>
      </w:r>
      <w:r w:rsidR="004D16FF" w:rsidRPr="00BE0DBF">
        <w:rPr>
          <w:sz w:val="22"/>
          <w:szCs w:val="22"/>
          <w:lang w:val="lv-LV"/>
        </w:rPr>
        <w:t>PERIODĀ</w:t>
      </w:r>
      <w:r w:rsidR="004D16FF">
        <w:rPr>
          <w:sz w:val="22"/>
          <w:szCs w:val="22"/>
          <w:lang w:val="lv-LV"/>
        </w:rPr>
        <w:t xml:space="preserve"> UN INFORMĀCIJA PAR ATVESEĻOŠANAS FONDU</w:t>
      </w:r>
    </w:p>
    <w:p w14:paraId="23233560" w14:textId="77777777" w:rsidR="000E30BC" w:rsidRPr="00BE0DBF" w:rsidRDefault="000E30BC" w:rsidP="00497288">
      <w:pPr>
        <w:spacing w:after="120"/>
        <w:ind w:firstLine="0"/>
        <w:rPr>
          <w:b/>
          <w:bCs/>
          <w:sz w:val="22"/>
          <w:szCs w:val="22"/>
          <w:highlight w:val="yellow"/>
          <w:lang w:val="lv-LV"/>
        </w:rPr>
      </w:pPr>
    </w:p>
    <w:p w14:paraId="1D2B1922" w14:textId="77777777" w:rsidR="000E30BC" w:rsidRPr="00BE0DBF" w:rsidRDefault="000E30BC">
      <w:pPr>
        <w:spacing w:after="160" w:line="278" w:lineRule="auto"/>
        <w:ind w:firstLine="0"/>
        <w:jc w:val="left"/>
        <w:rPr>
          <w:b/>
          <w:bCs/>
          <w:sz w:val="22"/>
          <w:szCs w:val="22"/>
          <w:highlight w:val="yellow"/>
          <w:lang w:val="lv-LV"/>
        </w:rPr>
      </w:pPr>
      <w:r w:rsidRPr="00BE0DBF">
        <w:rPr>
          <w:b/>
          <w:bCs/>
          <w:sz w:val="22"/>
          <w:szCs w:val="22"/>
          <w:highlight w:val="yellow"/>
          <w:lang w:val="lv-LV"/>
        </w:rPr>
        <w:br w:type="page"/>
      </w:r>
    </w:p>
    <w:p w14:paraId="0CEA4229" w14:textId="26850634" w:rsidR="000E30BC" w:rsidRPr="00387441" w:rsidRDefault="000E30BC" w:rsidP="000E30BC">
      <w:pPr>
        <w:pStyle w:val="Heading3"/>
      </w:pPr>
      <w:bookmarkStart w:id="17" w:name="_Toc192753088"/>
      <w:r w:rsidRPr="00387441">
        <w:lastRenderedPageBreak/>
        <w:t>IEVADS</w:t>
      </w:r>
      <w:bookmarkEnd w:id="17"/>
    </w:p>
    <w:p w14:paraId="58AA48C7" w14:textId="77777777" w:rsidR="000E30BC" w:rsidRPr="00BE0DBF" w:rsidRDefault="000E30BC" w:rsidP="000E30BC">
      <w:pPr>
        <w:rPr>
          <w:lang w:val="lv-LV"/>
        </w:rPr>
      </w:pPr>
    </w:p>
    <w:p w14:paraId="5D4F7A17" w14:textId="77777777" w:rsidR="000E30BC" w:rsidRPr="00BE0DBF" w:rsidRDefault="000E30BC" w:rsidP="000E30BC">
      <w:pPr>
        <w:spacing w:after="120"/>
        <w:ind w:left="360" w:firstLine="360"/>
        <w:rPr>
          <w:sz w:val="26"/>
          <w:szCs w:val="26"/>
          <w:lang w:val="lv-LV"/>
        </w:rPr>
      </w:pPr>
      <w:r w:rsidRPr="00BE0DBF">
        <w:rPr>
          <w:sz w:val="26"/>
          <w:szCs w:val="26"/>
          <w:lang w:val="lv-LV"/>
        </w:rPr>
        <w:t xml:space="preserve">Eiropas Savienības finanšu interešu aizsardzības koordinācijas dienesta jeb </w:t>
      </w:r>
      <w:r w:rsidRPr="00BE0DBF">
        <w:rPr>
          <w:b/>
          <w:bCs/>
          <w:sz w:val="26"/>
          <w:szCs w:val="26"/>
          <w:lang w:val="lv-LV"/>
        </w:rPr>
        <w:t>AFCOS informatīvais ziņojums tiek sagatavots saskaņā ar Likuma par budžeta un finanšu vadību 28.</w:t>
      </w:r>
      <w:r w:rsidRPr="00BE0DBF">
        <w:rPr>
          <w:b/>
          <w:bCs/>
          <w:sz w:val="26"/>
          <w:szCs w:val="26"/>
          <w:vertAlign w:val="superscript"/>
          <w:lang w:val="lv-LV"/>
        </w:rPr>
        <w:t>2</w:t>
      </w:r>
      <w:r w:rsidRPr="00BE0DBF">
        <w:rPr>
          <w:b/>
          <w:bCs/>
          <w:sz w:val="26"/>
          <w:szCs w:val="26"/>
          <w:lang w:val="lv-LV"/>
        </w:rPr>
        <w:t xml:space="preserve"> pantu </w:t>
      </w:r>
      <w:r w:rsidRPr="00BE0DBF">
        <w:rPr>
          <w:sz w:val="26"/>
          <w:szCs w:val="26"/>
          <w:lang w:val="lv-LV"/>
        </w:rPr>
        <w:t>sadarbībā ar AFCOS padomes locekļiem un ekspertiem atbilstoši kompetencēm.</w:t>
      </w:r>
    </w:p>
    <w:p w14:paraId="5F55910D" w14:textId="74EFC67F" w:rsidR="000E5581" w:rsidRPr="00BE0DBF" w:rsidRDefault="000E30BC" w:rsidP="000E30BC">
      <w:pPr>
        <w:spacing w:after="120"/>
        <w:ind w:left="357" w:firstLine="360"/>
        <w:rPr>
          <w:sz w:val="26"/>
          <w:szCs w:val="26"/>
          <w:lang w:val="lv-LV"/>
        </w:rPr>
      </w:pPr>
      <w:r w:rsidRPr="00BE0DBF">
        <w:rPr>
          <w:sz w:val="26"/>
          <w:szCs w:val="26"/>
          <w:lang w:val="lv-LV"/>
        </w:rPr>
        <w:t xml:space="preserve">Informatīvais </w:t>
      </w:r>
      <w:r w:rsidRPr="00BE0DBF">
        <w:rPr>
          <w:b/>
          <w:bCs/>
          <w:sz w:val="26"/>
          <w:szCs w:val="26"/>
          <w:lang w:val="lv-LV"/>
        </w:rPr>
        <w:t>ziņojums sastāv no trīs daļām</w:t>
      </w:r>
      <w:r w:rsidRPr="00BE0DBF">
        <w:rPr>
          <w:sz w:val="26"/>
          <w:szCs w:val="26"/>
          <w:lang w:val="lv-LV"/>
        </w:rPr>
        <w:t>: AFCOS veiktie krāpšanas apkarošanas un ES finanšu interešu aizsardzības pasākumi 2024. gadā (A daļa), Informatīvais pārskats un statistikas dati par konstatētajām neatbilstībām (B daļa), 2024. gadā veiktie izmeklēšanas un kriminālvajāšanas pasākumi un sadarbība ar OLAF un citām Eiropas institūcijām (C daļa)</w:t>
      </w:r>
    </w:p>
    <w:p w14:paraId="76A4F8D0" w14:textId="77777777" w:rsidR="000E30BC" w:rsidRPr="00BE0DBF" w:rsidRDefault="000E30BC" w:rsidP="000E30BC">
      <w:pPr>
        <w:spacing w:after="120"/>
        <w:rPr>
          <w:sz w:val="26"/>
          <w:szCs w:val="26"/>
          <w:lang w:val="lv-LV"/>
        </w:rPr>
      </w:pPr>
    </w:p>
    <w:p w14:paraId="09A29B43" w14:textId="77777777" w:rsidR="000E30BC" w:rsidRPr="00BE0DBF" w:rsidRDefault="000E30BC" w:rsidP="000E30BC">
      <w:pPr>
        <w:spacing w:after="120"/>
        <w:rPr>
          <w:sz w:val="26"/>
          <w:szCs w:val="26"/>
          <w:lang w:val="lv-LV"/>
        </w:rPr>
      </w:pPr>
    </w:p>
    <w:p w14:paraId="056C01D7" w14:textId="77777777" w:rsidR="000E30BC" w:rsidRPr="00BE0DBF" w:rsidRDefault="000E30BC" w:rsidP="000E30BC">
      <w:pPr>
        <w:spacing w:after="120"/>
        <w:rPr>
          <w:sz w:val="26"/>
          <w:szCs w:val="26"/>
          <w:lang w:val="lv-LV"/>
        </w:rPr>
      </w:pPr>
    </w:p>
    <w:p w14:paraId="295AB648" w14:textId="77777777" w:rsidR="000E30BC" w:rsidRPr="00BE0DBF" w:rsidRDefault="000E30BC" w:rsidP="000E30BC">
      <w:pPr>
        <w:spacing w:after="120"/>
        <w:rPr>
          <w:sz w:val="26"/>
          <w:szCs w:val="26"/>
          <w:lang w:val="lv-LV"/>
        </w:rPr>
      </w:pPr>
    </w:p>
    <w:p w14:paraId="7C6236F6" w14:textId="77777777" w:rsidR="000E30BC" w:rsidRPr="00BE0DBF" w:rsidRDefault="000E30BC" w:rsidP="000E30BC">
      <w:pPr>
        <w:spacing w:after="120"/>
        <w:rPr>
          <w:sz w:val="26"/>
          <w:szCs w:val="26"/>
          <w:lang w:val="lv-LV"/>
        </w:rPr>
      </w:pPr>
    </w:p>
    <w:p w14:paraId="4389A303" w14:textId="77777777" w:rsidR="000E30BC" w:rsidRPr="00BE0DBF" w:rsidRDefault="000E30BC" w:rsidP="000E30BC">
      <w:pPr>
        <w:spacing w:after="120"/>
        <w:rPr>
          <w:sz w:val="26"/>
          <w:szCs w:val="26"/>
          <w:lang w:val="lv-LV"/>
        </w:rPr>
      </w:pPr>
    </w:p>
    <w:p w14:paraId="74B7E649" w14:textId="77777777" w:rsidR="000E30BC" w:rsidRPr="00BE0DBF" w:rsidRDefault="000E30BC" w:rsidP="000E30BC">
      <w:pPr>
        <w:spacing w:after="120"/>
        <w:rPr>
          <w:sz w:val="26"/>
          <w:szCs w:val="26"/>
          <w:lang w:val="lv-LV"/>
        </w:rPr>
      </w:pPr>
    </w:p>
    <w:p w14:paraId="24D96406" w14:textId="77777777" w:rsidR="000E30BC" w:rsidRPr="00BE0DBF" w:rsidRDefault="000E30BC" w:rsidP="000E30BC">
      <w:pPr>
        <w:spacing w:after="120"/>
        <w:rPr>
          <w:sz w:val="26"/>
          <w:szCs w:val="26"/>
          <w:lang w:val="lv-LV"/>
        </w:rPr>
      </w:pPr>
    </w:p>
    <w:p w14:paraId="23C488B4" w14:textId="77777777" w:rsidR="000E30BC" w:rsidRPr="00BE0DBF" w:rsidRDefault="000E30BC" w:rsidP="000E30BC">
      <w:pPr>
        <w:spacing w:after="120"/>
        <w:rPr>
          <w:sz w:val="26"/>
          <w:szCs w:val="26"/>
          <w:lang w:val="lv-LV"/>
        </w:rPr>
      </w:pPr>
    </w:p>
    <w:p w14:paraId="0908B5EA" w14:textId="77777777" w:rsidR="000E30BC" w:rsidRPr="00BE0DBF" w:rsidRDefault="000E30BC" w:rsidP="000E30BC">
      <w:pPr>
        <w:spacing w:after="120"/>
        <w:rPr>
          <w:sz w:val="26"/>
          <w:szCs w:val="26"/>
          <w:lang w:val="lv-LV"/>
        </w:rPr>
      </w:pPr>
    </w:p>
    <w:p w14:paraId="5D56DA27" w14:textId="77777777" w:rsidR="000E30BC" w:rsidRPr="00BE0DBF" w:rsidRDefault="000E30BC" w:rsidP="000E30BC">
      <w:pPr>
        <w:spacing w:after="120"/>
        <w:rPr>
          <w:sz w:val="26"/>
          <w:szCs w:val="26"/>
          <w:lang w:val="lv-LV"/>
        </w:rPr>
      </w:pPr>
    </w:p>
    <w:p w14:paraId="3632BD19" w14:textId="77777777" w:rsidR="000E30BC" w:rsidRPr="00BE0DBF" w:rsidRDefault="000E30BC" w:rsidP="000E30BC">
      <w:pPr>
        <w:spacing w:after="120"/>
        <w:rPr>
          <w:sz w:val="26"/>
          <w:szCs w:val="26"/>
          <w:lang w:val="lv-LV"/>
        </w:rPr>
      </w:pPr>
    </w:p>
    <w:p w14:paraId="009F04F7" w14:textId="77777777" w:rsidR="000E30BC" w:rsidRPr="00BE0DBF" w:rsidRDefault="000E30BC" w:rsidP="000E30BC">
      <w:pPr>
        <w:spacing w:after="120"/>
        <w:rPr>
          <w:sz w:val="26"/>
          <w:szCs w:val="26"/>
          <w:lang w:val="lv-LV"/>
        </w:rPr>
      </w:pPr>
    </w:p>
    <w:p w14:paraId="3A97E053" w14:textId="77777777" w:rsidR="000E30BC" w:rsidRPr="00BE0DBF" w:rsidRDefault="000E30BC" w:rsidP="000E30BC">
      <w:pPr>
        <w:spacing w:after="120"/>
        <w:rPr>
          <w:sz w:val="26"/>
          <w:szCs w:val="26"/>
          <w:lang w:val="lv-LV"/>
        </w:rPr>
      </w:pPr>
    </w:p>
    <w:p w14:paraId="6323ECF9" w14:textId="77777777" w:rsidR="000E30BC" w:rsidRPr="00BE0DBF" w:rsidRDefault="000E30BC" w:rsidP="000E30BC">
      <w:pPr>
        <w:spacing w:after="120"/>
        <w:rPr>
          <w:sz w:val="26"/>
          <w:szCs w:val="26"/>
          <w:lang w:val="lv-LV"/>
        </w:rPr>
      </w:pPr>
    </w:p>
    <w:p w14:paraId="6B7BAC19" w14:textId="77777777" w:rsidR="000E30BC" w:rsidRPr="00BE0DBF" w:rsidRDefault="000E30BC" w:rsidP="000E30BC">
      <w:pPr>
        <w:spacing w:after="120"/>
        <w:rPr>
          <w:sz w:val="26"/>
          <w:szCs w:val="26"/>
          <w:lang w:val="lv-LV"/>
        </w:rPr>
      </w:pPr>
    </w:p>
    <w:p w14:paraId="139D418D" w14:textId="77777777" w:rsidR="000E30BC" w:rsidRPr="00BE0DBF" w:rsidRDefault="000E30BC" w:rsidP="000E30BC">
      <w:pPr>
        <w:spacing w:after="120"/>
        <w:rPr>
          <w:sz w:val="26"/>
          <w:szCs w:val="26"/>
          <w:lang w:val="lv-LV"/>
        </w:rPr>
      </w:pPr>
    </w:p>
    <w:p w14:paraId="30E44991" w14:textId="77777777" w:rsidR="000E30BC" w:rsidRPr="00BE0DBF" w:rsidRDefault="000E30BC" w:rsidP="000E30BC">
      <w:pPr>
        <w:spacing w:after="120"/>
        <w:rPr>
          <w:sz w:val="26"/>
          <w:szCs w:val="26"/>
          <w:lang w:val="lv-LV"/>
        </w:rPr>
      </w:pPr>
    </w:p>
    <w:p w14:paraId="45128300" w14:textId="77777777" w:rsidR="000E30BC" w:rsidRPr="00BE0DBF" w:rsidRDefault="000E30BC" w:rsidP="000E30BC">
      <w:pPr>
        <w:spacing w:after="120"/>
        <w:rPr>
          <w:sz w:val="26"/>
          <w:szCs w:val="26"/>
          <w:lang w:val="lv-LV"/>
        </w:rPr>
      </w:pPr>
    </w:p>
    <w:tbl>
      <w:tblPr>
        <w:tblW w:w="10769" w:type="dxa"/>
        <w:shd w:val="clear" w:color="auto" w:fill="196B24" w:themeFill="accent3"/>
        <w:tblLayout w:type="fixed"/>
        <w:tblCellMar>
          <w:left w:w="0" w:type="dxa"/>
          <w:right w:w="0" w:type="dxa"/>
        </w:tblCellMar>
        <w:tblLook w:val="0600" w:firstRow="0" w:lastRow="0" w:firstColumn="0" w:lastColumn="0" w:noHBand="1" w:noVBand="1"/>
      </w:tblPr>
      <w:tblGrid>
        <w:gridCol w:w="421"/>
        <w:gridCol w:w="4912"/>
        <w:gridCol w:w="5015"/>
        <w:gridCol w:w="421"/>
      </w:tblGrid>
      <w:tr w:rsidR="007E5DFB" w:rsidRPr="00387441" w14:paraId="1BDFC683" w14:textId="77777777" w:rsidTr="26F39E02">
        <w:trPr>
          <w:trHeight w:val="441"/>
        </w:trPr>
        <w:tc>
          <w:tcPr>
            <w:tcW w:w="421" w:type="dxa"/>
            <w:shd w:val="clear" w:color="auto" w:fill="DAE9F7" w:themeFill="text2" w:themeFillTint="1A"/>
          </w:tcPr>
          <w:p w14:paraId="5B63BF1A" w14:textId="5BCBF70B" w:rsidR="007E5DFB" w:rsidRPr="00BE0DBF" w:rsidRDefault="007E5DFB" w:rsidP="00510C90">
            <w:pPr>
              <w:rPr>
                <w:lang w:val="lv-LV"/>
              </w:rPr>
            </w:pPr>
            <w:bookmarkStart w:id="18" w:name="_Toc128581402"/>
            <w:bookmarkStart w:id="19" w:name="_Toc128581752"/>
            <w:bookmarkStart w:id="20" w:name="_Toc128581984"/>
            <w:bookmarkStart w:id="21" w:name="_Toc129695791"/>
            <w:r w:rsidRPr="00BE0DBF">
              <w:rPr>
                <w:lang w:val="lv-LV"/>
              </w:rPr>
              <w:lastRenderedPageBreak/>
              <w:br w:type="page"/>
            </w:r>
            <w:r w:rsidRPr="00BE0DBF">
              <w:rPr>
                <w:lang w:val="lv-LV"/>
              </w:rPr>
              <w:br w:type="page"/>
            </w:r>
          </w:p>
        </w:tc>
        <w:tc>
          <w:tcPr>
            <w:tcW w:w="4912" w:type="dxa"/>
            <w:shd w:val="clear" w:color="auto" w:fill="DAE9F7" w:themeFill="text2" w:themeFillTint="1A"/>
          </w:tcPr>
          <w:p w14:paraId="1CA71F24" w14:textId="77777777" w:rsidR="007E5DFB" w:rsidRPr="00BE0DBF" w:rsidRDefault="007E5DFB" w:rsidP="00510C90">
            <w:pPr>
              <w:rPr>
                <w:lang w:val="lv-LV"/>
              </w:rPr>
            </w:pPr>
          </w:p>
        </w:tc>
        <w:tc>
          <w:tcPr>
            <w:tcW w:w="5015" w:type="dxa"/>
            <w:shd w:val="clear" w:color="auto" w:fill="DAE9F7" w:themeFill="text2" w:themeFillTint="1A"/>
          </w:tcPr>
          <w:p w14:paraId="5262619F" w14:textId="77777777" w:rsidR="007E5DFB" w:rsidRPr="00BE0DBF" w:rsidRDefault="007E5DFB" w:rsidP="00510C90">
            <w:pPr>
              <w:rPr>
                <w:lang w:val="lv-LV"/>
              </w:rPr>
            </w:pPr>
          </w:p>
        </w:tc>
        <w:tc>
          <w:tcPr>
            <w:tcW w:w="421" w:type="dxa"/>
            <w:shd w:val="clear" w:color="auto" w:fill="DAE9F7" w:themeFill="text2" w:themeFillTint="1A"/>
          </w:tcPr>
          <w:p w14:paraId="2347FDC9" w14:textId="77777777" w:rsidR="007E5DFB" w:rsidRPr="00BE0DBF" w:rsidRDefault="007E5DFB" w:rsidP="00510C90">
            <w:pPr>
              <w:rPr>
                <w:lang w:val="lv-LV"/>
              </w:rPr>
            </w:pPr>
          </w:p>
        </w:tc>
      </w:tr>
      <w:tr w:rsidR="007E5DFB" w:rsidRPr="00387441" w14:paraId="671A637F" w14:textId="77777777" w:rsidTr="26F39E02">
        <w:trPr>
          <w:trHeight w:val="119"/>
        </w:trPr>
        <w:tc>
          <w:tcPr>
            <w:tcW w:w="421" w:type="dxa"/>
            <w:shd w:val="clear" w:color="auto" w:fill="DAE9F7" w:themeFill="text2" w:themeFillTint="1A"/>
          </w:tcPr>
          <w:p w14:paraId="72CF55CB" w14:textId="77777777" w:rsidR="007E5DFB" w:rsidRPr="00BE0DBF" w:rsidRDefault="007E5DFB" w:rsidP="00510C90">
            <w:pPr>
              <w:rPr>
                <w:lang w:val="lv-LV"/>
              </w:rPr>
            </w:pPr>
          </w:p>
        </w:tc>
        <w:tc>
          <w:tcPr>
            <w:tcW w:w="9927" w:type="dxa"/>
            <w:gridSpan w:val="2"/>
            <w:shd w:val="clear" w:color="auto" w:fill="DAE9F7" w:themeFill="text2" w:themeFillTint="1A"/>
          </w:tcPr>
          <w:p w14:paraId="171B5485" w14:textId="77777777" w:rsidR="007E5DFB" w:rsidRPr="00387441" w:rsidRDefault="007E5DFB" w:rsidP="004B4C65">
            <w:pPr>
              <w:pStyle w:val="Heading3"/>
            </w:pPr>
            <w:bookmarkStart w:id="22" w:name="_Toc192753089"/>
            <w:r w:rsidRPr="00387441">
              <w:t>KOPSAVILKUMS</w:t>
            </w:r>
            <w:bookmarkEnd w:id="22"/>
          </w:p>
          <w:p w14:paraId="18F1AD36" w14:textId="77777777" w:rsidR="00214333" w:rsidRPr="00387441" w:rsidRDefault="007E5DFB" w:rsidP="00214333">
            <w:pPr>
              <w:pStyle w:val="ListParagraph"/>
              <w:numPr>
                <w:ilvl w:val="0"/>
                <w:numId w:val="21"/>
              </w:numPr>
              <w:spacing w:after="120"/>
              <w:rPr>
                <w:sz w:val="26"/>
                <w:szCs w:val="26"/>
                <w:lang w:val="lv-LV"/>
              </w:rPr>
            </w:pPr>
            <w:r w:rsidRPr="00387441">
              <w:rPr>
                <w:sz w:val="26"/>
                <w:szCs w:val="26"/>
                <w:lang w:val="lv-LV"/>
              </w:rPr>
              <w:t xml:space="preserve">2024. gadā tika </w:t>
            </w:r>
            <w:r w:rsidRPr="00387441">
              <w:rPr>
                <w:b/>
                <w:bCs/>
                <w:sz w:val="26"/>
                <w:szCs w:val="26"/>
                <w:lang w:val="lv-LV"/>
              </w:rPr>
              <w:t>apstiprināta AFCOS Stratēģija un Pasākumu plāns 2024.-2026. gadam</w:t>
            </w:r>
            <w:r w:rsidRPr="00387441">
              <w:rPr>
                <w:sz w:val="26"/>
                <w:szCs w:val="26"/>
                <w:lang w:val="lv-LV"/>
              </w:rPr>
              <w:t xml:space="preserve">, kas ir jau trešā AFCOS Stratēģija. Šīs  Stratēģijas rīcības virzieni izvēlēti atbilstoši krāpšanas apkarošanas ciklam, </w:t>
            </w:r>
            <w:r w:rsidRPr="00387441">
              <w:rPr>
                <w:b/>
                <w:bCs/>
                <w:sz w:val="26"/>
                <w:szCs w:val="26"/>
                <w:lang w:val="lv-LV"/>
              </w:rPr>
              <w:t xml:space="preserve">aptverot visus </w:t>
            </w:r>
            <w:r w:rsidR="00BB2BE8" w:rsidRPr="00387441">
              <w:rPr>
                <w:b/>
                <w:bCs/>
                <w:sz w:val="26"/>
                <w:szCs w:val="26"/>
                <w:lang w:val="lv-LV"/>
              </w:rPr>
              <w:t xml:space="preserve">šī cikla četrus </w:t>
            </w:r>
            <w:r w:rsidRPr="00387441">
              <w:rPr>
                <w:b/>
                <w:bCs/>
                <w:sz w:val="26"/>
                <w:szCs w:val="26"/>
                <w:lang w:val="lv-LV"/>
              </w:rPr>
              <w:t xml:space="preserve">posmus: </w:t>
            </w:r>
            <w:proofErr w:type="spellStart"/>
            <w:r w:rsidRPr="00387441">
              <w:rPr>
                <w:b/>
                <w:bCs/>
                <w:sz w:val="26"/>
                <w:szCs w:val="26"/>
                <w:lang w:val="lv-LV"/>
              </w:rPr>
              <w:t>prevencija</w:t>
            </w:r>
            <w:proofErr w:type="spellEnd"/>
            <w:r w:rsidRPr="00387441">
              <w:rPr>
                <w:b/>
                <w:bCs/>
                <w:sz w:val="26"/>
                <w:szCs w:val="26"/>
                <w:lang w:val="lv-LV"/>
              </w:rPr>
              <w:t xml:space="preserve"> – atklāšana – izmeklēšana – korektīvie pasākumi</w:t>
            </w:r>
            <w:r w:rsidR="005070DE" w:rsidRPr="00387441">
              <w:rPr>
                <w:b/>
                <w:bCs/>
                <w:sz w:val="26"/>
                <w:szCs w:val="26"/>
                <w:lang w:val="lv-LV"/>
              </w:rPr>
              <w:t xml:space="preserve"> </w:t>
            </w:r>
            <w:r w:rsidR="005070DE" w:rsidRPr="00387441">
              <w:rPr>
                <w:sz w:val="26"/>
                <w:szCs w:val="26"/>
                <w:lang w:val="lv-LV"/>
              </w:rPr>
              <w:t>(skatīt sadaļu A.1.).</w:t>
            </w:r>
          </w:p>
          <w:p w14:paraId="0D0718DF" w14:textId="2DCF4EE3" w:rsidR="00214333" w:rsidRPr="00387441" w:rsidRDefault="00214333" w:rsidP="00214333">
            <w:pPr>
              <w:pStyle w:val="ListParagraph"/>
              <w:numPr>
                <w:ilvl w:val="0"/>
                <w:numId w:val="21"/>
              </w:numPr>
              <w:spacing w:after="120"/>
              <w:rPr>
                <w:sz w:val="26"/>
                <w:szCs w:val="26"/>
                <w:lang w:val="lv-LV"/>
              </w:rPr>
            </w:pPr>
            <w:r w:rsidRPr="00387441">
              <w:rPr>
                <w:sz w:val="26"/>
                <w:szCs w:val="26"/>
                <w:lang w:val="lv-LV"/>
              </w:rPr>
              <w:t xml:space="preserve">2024. gadā tika organizētas </w:t>
            </w:r>
            <w:r w:rsidRPr="00387441">
              <w:rPr>
                <w:b/>
                <w:bCs/>
                <w:sz w:val="26"/>
                <w:szCs w:val="26"/>
                <w:lang w:val="lv-LV"/>
              </w:rPr>
              <w:t xml:space="preserve">divas diskusijas </w:t>
            </w:r>
            <w:r w:rsidRPr="00387441">
              <w:rPr>
                <w:sz w:val="26"/>
                <w:szCs w:val="26"/>
                <w:lang w:val="lv-LV"/>
              </w:rPr>
              <w:t xml:space="preserve">par AFCOS sadarbības tīklā iesaistīto iestāžu aktuālajām tēmām – </w:t>
            </w:r>
            <w:r w:rsidR="008123A8" w:rsidRPr="003B4D0C">
              <w:rPr>
                <w:sz w:val="26"/>
                <w:szCs w:val="26"/>
                <w:lang w:val="lv-LV"/>
              </w:rPr>
              <w:t>par</w:t>
            </w:r>
            <w:r w:rsidR="008123A8">
              <w:rPr>
                <w:sz w:val="26"/>
                <w:szCs w:val="26"/>
                <w:lang w:val="lv-LV"/>
              </w:rPr>
              <w:t xml:space="preserve"> </w:t>
            </w:r>
            <w:r w:rsidRPr="00387441">
              <w:rPr>
                <w:sz w:val="26"/>
                <w:szCs w:val="26"/>
                <w:lang w:val="lv-LV"/>
              </w:rPr>
              <w:t>(1) ES fondu administrējošo iestāžu praksi rīcībai, ja tiek konstatētas aizdomas par krāpšanu un ietekmi uz turpmāko projekta īstenošanu un (2) finanšu līdzekļu atgūšanas no privāto tiesību subjektiem efektivizēšanu (skatīt sadaļu A.2.).</w:t>
            </w:r>
          </w:p>
          <w:p w14:paraId="5EA70B85" w14:textId="534F361A" w:rsidR="007E5DFB" w:rsidRPr="00387441" w:rsidRDefault="00F65B16" w:rsidP="00510C90">
            <w:pPr>
              <w:pStyle w:val="ListParagraph"/>
              <w:numPr>
                <w:ilvl w:val="0"/>
                <w:numId w:val="21"/>
              </w:numPr>
              <w:spacing w:after="120"/>
              <w:rPr>
                <w:b/>
                <w:sz w:val="26"/>
                <w:szCs w:val="26"/>
                <w:lang w:val="lv-LV"/>
              </w:rPr>
            </w:pPr>
            <w:r w:rsidRPr="00387441">
              <w:rPr>
                <w:sz w:val="26"/>
                <w:szCs w:val="26"/>
                <w:lang w:val="lv-LV"/>
              </w:rPr>
              <w:t>Kā vien</w:t>
            </w:r>
            <w:r w:rsidR="00725005" w:rsidRPr="00387441">
              <w:rPr>
                <w:sz w:val="26"/>
                <w:szCs w:val="26"/>
                <w:lang w:val="lv-LV"/>
              </w:rPr>
              <w:t>s</w:t>
            </w:r>
            <w:r w:rsidRPr="00387441">
              <w:rPr>
                <w:sz w:val="26"/>
                <w:szCs w:val="26"/>
                <w:lang w:val="lv-LV"/>
              </w:rPr>
              <w:t xml:space="preserve"> no AFCOS </w:t>
            </w:r>
            <w:r w:rsidR="00725005" w:rsidRPr="00387441">
              <w:rPr>
                <w:sz w:val="26"/>
                <w:szCs w:val="26"/>
                <w:lang w:val="lv-LV"/>
              </w:rPr>
              <w:t xml:space="preserve">stratēģijas pasākumiem </w:t>
            </w:r>
            <w:r w:rsidR="007E5DFB" w:rsidRPr="00387441">
              <w:rPr>
                <w:sz w:val="26"/>
                <w:szCs w:val="26"/>
                <w:lang w:val="lv-LV"/>
              </w:rPr>
              <w:t>2024.</w:t>
            </w:r>
            <w:r w:rsidR="002C2F7B" w:rsidRPr="00387441">
              <w:rPr>
                <w:sz w:val="26"/>
                <w:szCs w:val="26"/>
                <w:lang w:val="lv-LV"/>
              </w:rPr>
              <w:t xml:space="preserve"> </w:t>
            </w:r>
            <w:r w:rsidR="007E5DFB" w:rsidRPr="00387441">
              <w:rPr>
                <w:sz w:val="26"/>
                <w:szCs w:val="26"/>
                <w:lang w:val="lv-LV"/>
              </w:rPr>
              <w:t xml:space="preserve">gadā tika organizēta </w:t>
            </w:r>
            <w:r w:rsidR="007E5DFB" w:rsidRPr="00387441">
              <w:rPr>
                <w:b/>
                <w:sz w:val="26"/>
                <w:szCs w:val="26"/>
                <w:lang w:val="lv-LV"/>
              </w:rPr>
              <w:t>AFCOS ēnošanas aktivitāte</w:t>
            </w:r>
            <w:r w:rsidR="007E5DFB" w:rsidRPr="00387441">
              <w:rPr>
                <w:sz w:val="26"/>
                <w:szCs w:val="26"/>
                <w:lang w:val="lv-LV"/>
              </w:rPr>
              <w:t xml:space="preserve"> - 3 mēnešu periodā </w:t>
            </w:r>
            <w:r w:rsidR="001609B5" w:rsidRPr="00387441">
              <w:rPr>
                <w:sz w:val="26"/>
                <w:szCs w:val="26"/>
                <w:lang w:val="lv-LV"/>
              </w:rPr>
              <w:t>no</w:t>
            </w:r>
            <w:r w:rsidR="007E5DFB" w:rsidRPr="00387441">
              <w:rPr>
                <w:sz w:val="26"/>
                <w:szCs w:val="26"/>
                <w:lang w:val="lv-LV"/>
              </w:rPr>
              <w:t xml:space="preserve">tika </w:t>
            </w:r>
            <w:r w:rsidR="007E5DFB" w:rsidRPr="00387441">
              <w:rPr>
                <w:b/>
                <w:sz w:val="26"/>
                <w:szCs w:val="26"/>
                <w:lang w:val="lv-LV"/>
              </w:rPr>
              <w:t>13</w:t>
            </w:r>
            <w:r w:rsidR="001609B5" w:rsidRPr="00387441">
              <w:rPr>
                <w:b/>
                <w:sz w:val="26"/>
                <w:szCs w:val="26"/>
                <w:lang w:val="lv-LV"/>
              </w:rPr>
              <w:t xml:space="preserve"> pieredzes apmaiņas</w:t>
            </w:r>
            <w:r w:rsidR="007E5DFB" w:rsidRPr="00387441">
              <w:rPr>
                <w:b/>
                <w:sz w:val="26"/>
                <w:szCs w:val="26"/>
                <w:lang w:val="lv-LV"/>
              </w:rPr>
              <w:t xml:space="preserve"> pasākumi, kurus apmeklēja 127 dalībnieki. </w:t>
            </w:r>
            <w:r w:rsidR="007E5DFB" w:rsidRPr="00387441">
              <w:rPr>
                <w:sz w:val="26"/>
                <w:szCs w:val="26"/>
                <w:lang w:val="lv-LV"/>
              </w:rPr>
              <w:t xml:space="preserve">Pamatojoties uz dalībnieku pozitīvo novērtējumu, aktivitāti plānots turpināt </w:t>
            </w:r>
            <w:r w:rsidR="00393FF2" w:rsidRPr="00387441">
              <w:rPr>
                <w:sz w:val="26"/>
                <w:szCs w:val="26"/>
                <w:lang w:val="lv-LV"/>
              </w:rPr>
              <w:t xml:space="preserve">arī </w:t>
            </w:r>
            <w:r w:rsidR="007E5DFB" w:rsidRPr="00387441">
              <w:rPr>
                <w:sz w:val="26"/>
                <w:szCs w:val="26"/>
                <w:lang w:val="lv-LV"/>
              </w:rPr>
              <w:t>2025.</w:t>
            </w:r>
            <w:r w:rsidR="00393FF2" w:rsidRPr="00387441">
              <w:rPr>
                <w:sz w:val="26"/>
                <w:szCs w:val="26"/>
                <w:lang w:val="lv-LV"/>
              </w:rPr>
              <w:t xml:space="preserve"> </w:t>
            </w:r>
            <w:r w:rsidR="007E5DFB" w:rsidRPr="00387441">
              <w:rPr>
                <w:sz w:val="26"/>
                <w:szCs w:val="26"/>
                <w:lang w:val="lv-LV"/>
              </w:rPr>
              <w:t>gadā</w:t>
            </w:r>
            <w:r w:rsidR="005070DE" w:rsidRPr="00387441">
              <w:rPr>
                <w:sz w:val="26"/>
                <w:szCs w:val="26"/>
                <w:lang w:val="lv-LV"/>
              </w:rPr>
              <w:t xml:space="preserve"> (skatīt sadaļu A.3.)</w:t>
            </w:r>
            <w:r w:rsidR="007E5DFB" w:rsidRPr="00387441">
              <w:rPr>
                <w:sz w:val="26"/>
                <w:szCs w:val="26"/>
                <w:lang w:val="lv-LV"/>
              </w:rPr>
              <w:t>.</w:t>
            </w:r>
          </w:p>
          <w:p w14:paraId="4971CBA7" w14:textId="28C110F6" w:rsidR="007E5DFB" w:rsidRPr="00387441" w:rsidRDefault="007E5DFB" w:rsidP="6F7FBBDE">
            <w:pPr>
              <w:pStyle w:val="ListParagraph"/>
              <w:numPr>
                <w:ilvl w:val="0"/>
                <w:numId w:val="21"/>
              </w:numPr>
              <w:spacing w:after="120"/>
              <w:rPr>
                <w:b/>
                <w:sz w:val="26"/>
                <w:szCs w:val="26"/>
                <w:lang w:val="lv-LV"/>
              </w:rPr>
            </w:pPr>
            <w:r w:rsidRPr="00387441" w:rsidDel="007E5DFB">
              <w:rPr>
                <w:b/>
                <w:sz w:val="26"/>
                <w:szCs w:val="26"/>
                <w:lang w:val="lv-LV"/>
              </w:rPr>
              <w:t xml:space="preserve">EPPO izvērtēja </w:t>
            </w:r>
            <w:r w:rsidRPr="00387441">
              <w:rPr>
                <w:b/>
                <w:bCs/>
                <w:sz w:val="26"/>
                <w:szCs w:val="26"/>
                <w:lang w:val="lv-LV"/>
              </w:rPr>
              <w:t>krimināltiesisko regulējumu</w:t>
            </w:r>
            <w:r w:rsidR="162C57A0" w:rsidRPr="00387441">
              <w:rPr>
                <w:sz w:val="26"/>
                <w:szCs w:val="26"/>
                <w:lang w:val="lv-LV"/>
              </w:rPr>
              <w:t xml:space="preserve"> </w:t>
            </w:r>
            <w:r w:rsidRPr="00387441" w:rsidDel="007E5DFB">
              <w:rPr>
                <w:sz w:val="26"/>
                <w:szCs w:val="26"/>
                <w:lang w:val="lv-LV"/>
              </w:rPr>
              <w:t xml:space="preserve">un </w:t>
            </w:r>
            <w:r w:rsidRPr="00387441" w:rsidDel="007E5DFB">
              <w:rPr>
                <w:b/>
                <w:sz w:val="26"/>
                <w:szCs w:val="26"/>
                <w:lang w:val="lv-LV"/>
              </w:rPr>
              <w:t>vērsa uzmanību uz vairākiem trūkumiem</w:t>
            </w:r>
            <w:r w:rsidRPr="00387441" w:rsidDel="007E5DFB">
              <w:rPr>
                <w:sz w:val="26"/>
                <w:szCs w:val="26"/>
                <w:lang w:val="lv-LV"/>
              </w:rPr>
              <w:t>, kurus nepieciešams papildus izvērtēt, lai pārliecinātos par nacionālā regulējuma</w:t>
            </w:r>
            <w:r w:rsidRPr="00387441">
              <w:rPr>
                <w:sz w:val="26"/>
                <w:szCs w:val="26"/>
                <w:lang w:val="lv-LV"/>
              </w:rPr>
              <w:t xml:space="preserve"> atbilstību PIF direktīvai</w:t>
            </w:r>
            <w:r w:rsidR="005070DE" w:rsidRPr="00387441">
              <w:rPr>
                <w:sz w:val="26"/>
                <w:szCs w:val="26"/>
                <w:lang w:val="lv-LV"/>
              </w:rPr>
              <w:t xml:space="preserve"> (skatīt sadaļu A.4.).</w:t>
            </w:r>
          </w:p>
          <w:p w14:paraId="76500516" w14:textId="31B2F956" w:rsidR="00060FB6" w:rsidRPr="00387441" w:rsidRDefault="00060FB6" w:rsidP="00D56467">
            <w:pPr>
              <w:pStyle w:val="ListParagraph"/>
              <w:numPr>
                <w:ilvl w:val="0"/>
                <w:numId w:val="21"/>
              </w:numPr>
              <w:spacing w:after="120"/>
              <w:rPr>
                <w:sz w:val="26"/>
                <w:szCs w:val="26"/>
                <w:lang w:val="lv-LV"/>
              </w:rPr>
            </w:pPr>
            <w:r w:rsidRPr="00387441">
              <w:rPr>
                <w:sz w:val="26"/>
                <w:szCs w:val="26"/>
                <w:lang w:val="lv-LV"/>
              </w:rPr>
              <w:t>2024. gadā konstatētās neatbilstīb</w:t>
            </w:r>
            <w:r w:rsidR="000A0414" w:rsidRPr="00387441">
              <w:rPr>
                <w:sz w:val="26"/>
                <w:szCs w:val="26"/>
                <w:lang w:val="lv-LV"/>
              </w:rPr>
              <w:t xml:space="preserve">as: </w:t>
            </w:r>
            <w:r w:rsidRPr="00387441">
              <w:rPr>
                <w:sz w:val="26"/>
                <w:szCs w:val="26"/>
                <w:lang w:val="lv-LV"/>
              </w:rPr>
              <w:t xml:space="preserve">2014.-2020. gada plānošanas periodā: </w:t>
            </w:r>
            <w:r w:rsidRPr="00387441">
              <w:rPr>
                <w:b/>
                <w:sz w:val="26"/>
                <w:szCs w:val="26"/>
                <w:lang w:val="lv-LV"/>
              </w:rPr>
              <w:t xml:space="preserve">449 </w:t>
            </w:r>
            <w:r w:rsidR="000A0414" w:rsidRPr="00387441">
              <w:rPr>
                <w:b/>
                <w:sz w:val="26"/>
                <w:szCs w:val="26"/>
                <w:lang w:val="lv-LV"/>
              </w:rPr>
              <w:t xml:space="preserve">neatbilstības </w:t>
            </w:r>
            <w:r w:rsidRPr="00387441">
              <w:rPr>
                <w:b/>
                <w:sz w:val="26"/>
                <w:szCs w:val="26"/>
                <w:lang w:val="lv-LV"/>
              </w:rPr>
              <w:t xml:space="preserve">ar kopējo summu </w:t>
            </w:r>
            <w:r w:rsidR="002D348B" w:rsidRPr="00387441">
              <w:rPr>
                <w:b/>
                <w:bCs/>
                <w:sz w:val="26"/>
                <w:szCs w:val="26"/>
                <w:lang w:val="lv-LV"/>
              </w:rPr>
              <w:t xml:space="preserve">EUR </w:t>
            </w:r>
            <w:r w:rsidR="000A0414" w:rsidRPr="00387441">
              <w:rPr>
                <w:b/>
                <w:sz w:val="26"/>
                <w:szCs w:val="26"/>
                <w:lang w:val="lv-LV"/>
              </w:rPr>
              <w:t>29</w:t>
            </w:r>
            <w:r w:rsidR="00253D63" w:rsidRPr="00387441">
              <w:rPr>
                <w:b/>
                <w:sz w:val="26"/>
                <w:szCs w:val="26"/>
                <w:lang w:val="lv-LV"/>
              </w:rPr>
              <w:t>,2</w:t>
            </w:r>
            <w:r w:rsidR="000A0414" w:rsidRPr="00387441">
              <w:rPr>
                <w:b/>
                <w:sz w:val="26"/>
                <w:szCs w:val="26"/>
                <w:lang w:val="lv-LV"/>
              </w:rPr>
              <w:t xml:space="preserve"> milj.</w:t>
            </w:r>
            <w:r w:rsidR="009837E6">
              <w:rPr>
                <w:b/>
                <w:sz w:val="26"/>
                <w:szCs w:val="26"/>
                <w:lang w:val="lv-LV"/>
              </w:rPr>
              <w:t>;</w:t>
            </w:r>
            <w:r w:rsidR="000A0414" w:rsidRPr="00387441">
              <w:rPr>
                <w:sz w:val="26"/>
                <w:szCs w:val="26"/>
                <w:lang w:val="lv-LV"/>
              </w:rPr>
              <w:t xml:space="preserve"> </w:t>
            </w:r>
            <w:r w:rsidRPr="00387441">
              <w:rPr>
                <w:sz w:val="26"/>
                <w:szCs w:val="26"/>
                <w:lang w:val="lv-LV"/>
              </w:rPr>
              <w:t xml:space="preserve">2021.-2027. gada plānošanas periodā: </w:t>
            </w:r>
            <w:r w:rsidRPr="00387441">
              <w:rPr>
                <w:b/>
                <w:sz w:val="26"/>
                <w:szCs w:val="26"/>
                <w:lang w:val="lv-LV"/>
              </w:rPr>
              <w:t xml:space="preserve">733 neatbilstības ar kopējo summu </w:t>
            </w:r>
            <w:r w:rsidR="002D348B" w:rsidRPr="00387441">
              <w:rPr>
                <w:b/>
                <w:bCs/>
                <w:sz w:val="26"/>
                <w:szCs w:val="26"/>
                <w:lang w:val="lv-LV"/>
              </w:rPr>
              <w:t xml:space="preserve">EUR </w:t>
            </w:r>
            <w:r w:rsidR="00F53C41" w:rsidRPr="00387441">
              <w:rPr>
                <w:b/>
                <w:sz w:val="26"/>
                <w:szCs w:val="26"/>
                <w:lang w:val="lv-LV"/>
              </w:rPr>
              <w:t>0</w:t>
            </w:r>
            <w:r w:rsidR="009837E6">
              <w:rPr>
                <w:b/>
                <w:sz w:val="26"/>
                <w:szCs w:val="26"/>
                <w:lang w:val="lv-LV"/>
              </w:rPr>
              <w:t>,</w:t>
            </w:r>
            <w:r w:rsidR="00F53C41" w:rsidRPr="00387441">
              <w:rPr>
                <w:b/>
                <w:sz w:val="26"/>
                <w:szCs w:val="26"/>
                <w:lang w:val="lv-LV"/>
              </w:rPr>
              <w:t xml:space="preserve">6 milj. </w:t>
            </w:r>
            <w:r w:rsidR="00FF125F" w:rsidRPr="00387441">
              <w:rPr>
                <w:sz w:val="26"/>
                <w:szCs w:val="26"/>
                <w:lang w:val="lv-LV"/>
              </w:rPr>
              <w:t>(skatīt sadaļu B.1.).</w:t>
            </w:r>
          </w:p>
          <w:p w14:paraId="064E9180" w14:textId="1C008F89" w:rsidR="00536AE4" w:rsidRPr="00BE0DBF" w:rsidRDefault="68F2BF11" w:rsidP="00D56467">
            <w:pPr>
              <w:pStyle w:val="ListParagraph"/>
              <w:numPr>
                <w:ilvl w:val="0"/>
                <w:numId w:val="21"/>
              </w:numPr>
              <w:spacing w:after="120"/>
              <w:rPr>
                <w:sz w:val="26"/>
                <w:szCs w:val="26"/>
                <w:lang w:val="lv-LV"/>
              </w:rPr>
            </w:pPr>
            <w:r w:rsidRPr="00BE0DBF">
              <w:rPr>
                <w:sz w:val="26"/>
                <w:szCs w:val="26"/>
                <w:lang w:val="lv-LV"/>
              </w:rPr>
              <w:t>2024.</w:t>
            </w:r>
            <w:r w:rsidR="6CE1E016" w:rsidRPr="00BE0DBF">
              <w:rPr>
                <w:sz w:val="26"/>
                <w:szCs w:val="26"/>
                <w:lang w:val="lv-LV"/>
              </w:rPr>
              <w:t xml:space="preserve"> </w:t>
            </w:r>
            <w:r w:rsidRPr="00BE0DBF">
              <w:rPr>
                <w:sz w:val="26"/>
                <w:szCs w:val="26"/>
                <w:lang w:val="lv-LV"/>
              </w:rPr>
              <w:t>gadā</w:t>
            </w:r>
            <w:r w:rsidR="37D4C2FF" w:rsidRPr="00BE0DBF">
              <w:rPr>
                <w:sz w:val="26"/>
                <w:szCs w:val="26"/>
                <w:lang w:val="lv-LV"/>
              </w:rPr>
              <w:t xml:space="preserve"> </w:t>
            </w:r>
            <w:r w:rsidR="1F16D03E" w:rsidRPr="00BE0DBF">
              <w:rPr>
                <w:sz w:val="26"/>
                <w:szCs w:val="26"/>
                <w:lang w:val="lv-LV"/>
              </w:rPr>
              <w:t xml:space="preserve">kopumā tika konstatēti </w:t>
            </w:r>
            <w:r w:rsidR="1F16D03E" w:rsidRPr="00BE0DBF">
              <w:rPr>
                <w:b/>
                <w:bCs/>
                <w:sz w:val="26"/>
                <w:szCs w:val="26"/>
                <w:lang w:val="lv-LV"/>
              </w:rPr>
              <w:t>19</w:t>
            </w:r>
            <w:r w:rsidR="1F16D03E" w:rsidRPr="00BE0DBF">
              <w:rPr>
                <w:sz w:val="26"/>
                <w:szCs w:val="26"/>
                <w:lang w:val="lv-LV"/>
              </w:rPr>
              <w:t xml:space="preserve"> </w:t>
            </w:r>
            <w:r w:rsidR="1F16D03E" w:rsidRPr="00BE0DBF">
              <w:rPr>
                <w:b/>
                <w:sz w:val="26"/>
                <w:szCs w:val="26"/>
                <w:lang w:val="lv-LV"/>
              </w:rPr>
              <w:t xml:space="preserve">krāpšanas / aizdomas par krāpšanu gadījumi: </w:t>
            </w:r>
            <w:r w:rsidR="37D4C2FF" w:rsidRPr="00BE0DBF">
              <w:rPr>
                <w:sz w:val="26"/>
                <w:szCs w:val="26"/>
                <w:lang w:val="lv-LV"/>
              </w:rPr>
              <w:t>2014.-2020. gada plānošanas period</w:t>
            </w:r>
            <w:r w:rsidR="16815965" w:rsidRPr="00BE0DBF">
              <w:rPr>
                <w:sz w:val="26"/>
                <w:szCs w:val="26"/>
                <w:lang w:val="lv-LV"/>
              </w:rPr>
              <w:t xml:space="preserve">ā - </w:t>
            </w:r>
            <w:r w:rsidR="52169A9D" w:rsidRPr="00BE0DBF">
              <w:rPr>
                <w:b/>
                <w:sz w:val="26"/>
                <w:szCs w:val="26"/>
                <w:lang w:val="lv-LV"/>
              </w:rPr>
              <w:t xml:space="preserve"> 6</w:t>
            </w:r>
            <w:r w:rsidR="44DB57DE" w:rsidRPr="00BE0DBF">
              <w:rPr>
                <w:b/>
                <w:sz w:val="26"/>
                <w:szCs w:val="26"/>
                <w:lang w:val="lv-LV"/>
              </w:rPr>
              <w:t xml:space="preserve"> gadījumi  </w:t>
            </w:r>
            <w:r w:rsidR="44DB57DE" w:rsidRPr="00BE0DBF">
              <w:rPr>
                <w:sz w:val="26"/>
                <w:szCs w:val="26"/>
                <w:lang w:val="lv-LV"/>
              </w:rPr>
              <w:t xml:space="preserve">un </w:t>
            </w:r>
            <w:r w:rsidR="52169A9D" w:rsidRPr="00BE0DBF">
              <w:rPr>
                <w:sz w:val="26"/>
                <w:szCs w:val="26"/>
                <w:lang w:val="lv-LV"/>
              </w:rPr>
              <w:t xml:space="preserve"> 2021.-2027. gada plānošanas period</w:t>
            </w:r>
            <w:r w:rsidR="37D4C2FF" w:rsidRPr="00BE0DBF">
              <w:rPr>
                <w:sz w:val="26"/>
                <w:szCs w:val="26"/>
                <w:lang w:val="lv-LV"/>
              </w:rPr>
              <w:t>a ietvaros</w:t>
            </w:r>
            <w:r w:rsidR="5845DFC6" w:rsidRPr="00BE0DBF">
              <w:rPr>
                <w:sz w:val="26"/>
                <w:szCs w:val="26"/>
                <w:lang w:val="lv-LV"/>
              </w:rPr>
              <w:t xml:space="preserve"> – </w:t>
            </w:r>
            <w:r w:rsidR="5845DFC6" w:rsidRPr="00BE0DBF">
              <w:rPr>
                <w:b/>
                <w:sz w:val="26"/>
                <w:szCs w:val="26"/>
                <w:lang w:val="lv-LV"/>
              </w:rPr>
              <w:t>13</w:t>
            </w:r>
            <w:r w:rsidR="5845DFC6" w:rsidRPr="00BE0DBF">
              <w:rPr>
                <w:sz w:val="26"/>
                <w:szCs w:val="26"/>
                <w:lang w:val="lv-LV"/>
              </w:rPr>
              <w:t xml:space="preserve"> gadījumi</w:t>
            </w:r>
            <w:r w:rsidR="00C620F7" w:rsidRPr="00BE0DBF">
              <w:rPr>
                <w:sz w:val="26"/>
                <w:szCs w:val="26"/>
                <w:lang w:val="lv-LV"/>
              </w:rPr>
              <w:t xml:space="preserve"> ( skatīt sadaļu</w:t>
            </w:r>
            <w:r w:rsidR="00D77335" w:rsidRPr="00BE0DBF">
              <w:rPr>
                <w:sz w:val="26"/>
                <w:szCs w:val="26"/>
                <w:lang w:val="lv-LV"/>
              </w:rPr>
              <w:t xml:space="preserve"> </w:t>
            </w:r>
            <w:r w:rsidR="00D82092" w:rsidRPr="00BE0DBF">
              <w:rPr>
                <w:sz w:val="26"/>
                <w:szCs w:val="26"/>
                <w:lang w:val="lv-LV"/>
              </w:rPr>
              <w:t xml:space="preserve">B.2.3. </w:t>
            </w:r>
            <w:r w:rsidR="00D77335" w:rsidRPr="00BE0DBF">
              <w:rPr>
                <w:sz w:val="26"/>
                <w:szCs w:val="26"/>
                <w:lang w:val="lv-LV"/>
              </w:rPr>
              <w:t xml:space="preserve">un </w:t>
            </w:r>
            <w:r w:rsidR="00D82092" w:rsidRPr="00BE0DBF">
              <w:rPr>
                <w:sz w:val="26"/>
                <w:szCs w:val="26"/>
                <w:lang w:val="lv-LV"/>
              </w:rPr>
              <w:t>B.3.)</w:t>
            </w:r>
          </w:p>
          <w:p w14:paraId="0FC6E22E" w14:textId="6A35ABFE" w:rsidR="00DE23FD" w:rsidRPr="00F92206" w:rsidRDefault="10AF7EC3" w:rsidP="00D56467">
            <w:pPr>
              <w:pStyle w:val="ListParagraph"/>
              <w:numPr>
                <w:ilvl w:val="0"/>
                <w:numId w:val="21"/>
              </w:numPr>
              <w:spacing w:after="120"/>
              <w:rPr>
                <w:sz w:val="26"/>
                <w:szCs w:val="26"/>
                <w:lang w:val="lv-LV"/>
              </w:rPr>
            </w:pPr>
            <w:r w:rsidRPr="00BE0DBF">
              <w:rPr>
                <w:sz w:val="26"/>
                <w:szCs w:val="26"/>
                <w:lang w:val="lv-LV"/>
              </w:rPr>
              <w:t>2021.-2027. gada plānošanas periodā attiecināmo izdevumu summas atsevišķos fondos, piemēram, ELGF, EJZAF un ESF</w:t>
            </w:r>
            <w:r w:rsidR="5CF98A60" w:rsidRPr="00BE0DBF">
              <w:rPr>
                <w:sz w:val="26"/>
                <w:szCs w:val="26"/>
                <w:lang w:val="lv-LV"/>
              </w:rPr>
              <w:t>+</w:t>
            </w:r>
            <w:r w:rsidR="1E01F866" w:rsidRPr="00BE0DBF">
              <w:rPr>
                <w:sz w:val="26"/>
                <w:szCs w:val="26"/>
                <w:lang w:val="lv-LV"/>
              </w:rPr>
              <w:t>,</w:t>
            </w:r>
            <w:r w:rsidRPr="00BE0DBF">
              <w:rPr>
                <w:sz w:val="26"/>
                <w:szCs w:val="26"/>
                <w:lang w:val="lv-LV"/>
              </w:rPr>
              <w:t xml:space="preserve"> ir augstākas, nekā iepriekšējā plānošanas perioda ceturtajā ieviešanas gadā pielīdzinā</w:t>
            </w:r>
            <w:r w:rsidR="457F41AB" w:rsidRPr="00BE0DBF">
              <w:rPr>
                <w:sz w:val="26"/>
                <w:szCs w:val="26"/>
                <w:lang w:val="lv-LV"/>
              </w:rPr>
              <w:t>mos</w:t>
            </w:r>
            <w:r w:rsidRPr="00BE0DBF">
              <w:rPr>
                <w:sz w:val="26"/>
                <w:szCs w:val="26"/>
                <w:lang w:val="lv-LV"/>
              </w:rPr>
              <w:t xml:space="preserve"> fond</w:t>
            </w:r>
            <w:r w:rsidR="457F41AB" w:rsidRPr="00BE0DBF">
              <w:rPr>
                <w:sz w:val="26"/>
                <w:szCs w:val="26"/>
                <w:lang w:val="lv-LV"/>
              </w:rPr>
              <w:t>os</w:t>
            </w:r>
            <w:r w:rsidRPr="00BE0DBF">
              <w:rPr>
                <w:sz w:val="26"/>
                <w:szCs w:val="26"/>
                <w:lang w:val="lv-LV"/>
              </w:rPr>
              <w:t xml:space="preserve">, taču lielākajā daļā fondu naudas apguve </w:t>
            </w:r>
            <w:r w:rsidR="5A8FC733" w:rsidRPr="00BE0DBF">
              <w:rPr>
                <w:sz w:val="26"/>
                <w:szCs w:val="26"/>
                <w:lang w:val="lv-LV"/>
              </w:rPr>
              <w:t xml:space="preserve">attiecīgajā periodā </w:t>
            </w:r>
            <w:r w:rsidRPr="00BE0DBF">
              <w:rPr>
                <w:sz w:val="26"/>
                <w:szCs w:val="26"/>
                <w:lang w:val="lv-LV"/>
              </w:rPr>
              <w:t xml:space="preserve">nesasniedz vai ir zemāka </w:t>
            </w:r>
            <w:r w:rsidR="457F41AB" w:rsidRPr="00BE0DBF">
              <w:rPr>
                <w:sz w:val="26"/>
                <w:szCs w:val="26"/>
                <w:lang w:val="lv-LV"/>
              </w:rPr>
              <w:t xml:space="preserve">par </w:t>
            </w:r>
            <w:r w:rsidRPr="00BE0DBF">
              <w:rPr>
                <w:sz w:val="26"/>
                <w:szCs w:val="26"/>
                <w:lang w:val="lv-LV"/>
              </w:rPr>
              <w:t>2014.-2020.</w:t>
            </w:r>
            <w:r w:rsidR="009837E6">
              <w:rPr>
                <w:sz w:val="26"/>
                <w:szCs w:val="26"/>
                <w:lang w:val="lv-LV"/>
              </w:rPr>
              <w:t xml:space="preserve"> </w:t>
            </w:r>
            <w:r w:rsidR="009837E6" w:rsidRPr="00F92206">
              <w:rPr>
                <w:sz w:val="26"/>
                <w:szCs w:val="26"/>
                <w:lang w:val="lv-LV"/>
              </w:rPr>
              <w:t>gada plānošanas</w:t>
            </w:r>
            <w:r w:rsidR="05E0245A" w:rsidRPr="00F92206">
              <w:rPr>
                <w:sz w:val="26"/>
                <w:szCs w:val="26"/>
                <w:lang w:val="lv-LV"/>
              </w:rPr>
              <w:t xml:space="preserve"> </w:t>
            </w:r>
            <w:r w:rsidRPr="00F92206">
              <w:rPr>
                <w:sz w:val="26"/>
                <w:szCs w:val="26"/>
                <w:lang w:val="lv-LV"/>
              </w:rPr>
              <w:t>perioda rādītāji</w:t>
            </w:r>
            <w:r w:rsidR="457F41AB" w:rsidRPr="00F92206">
              <w:rPr>
                <w:sz w:val="26"/>
                <w:szCs w:val="26"/>
                <w:lang w:val="lv-LV"/>
              </w:rPr>
              <w:t>em</w:t>
            </w:r>
            <w:r w:rsidR="00F92206">
              <w:rPr>
                <w:sz w:val="26"/>
                <w:szCs w:val="26"/>
                <w:lang w:val="lv-LV"/>
              </w:rPr>
              <w:t xml:space="preserve"> </w:t>
            </w:r>
            <w:r w:rsidR="00F92206" w:rsidRPr="00BE0DBF">
              <w:rPr>
                <w:sz w:val="26"/>
                <w:szCs w:val="26"/>
                <w:lang w:val="lv-LV"/>
              </w:rPr>
              <w:t xml:space="preserve">( skatīt sadaļu </w:t>
            </w:r>
            <w:r w:rsidR="00F92206">
              <w:rPr>
                <w:sz w:val="26"/>
                <w:szCs w:val="26"/>
                <w:lang w:val="lv-LV"/>
              </w:rPr>
              <w:t>B</w:t>
            </w:r>
            <w:r w:rsidR="00F92206" w:rsidRPr="00BE0DBF">
              <w:rPr>
                <w:sz w:val="26"/>
                <w:szCs w:val="26"/>
                <w:lang w:val="lv-LV"/>
              </w:rPr>
              <w:t>.1.</w:t>
            </w:r>
            <w:r w:rsidR="00770222">
              <w:rPr>
                <w:sz w:val="26"/>
                <w:szCs w:val="26"/>
                <w:lang w:val="lv-LV"/>
              </w:rPr>
              <w:t>3.</w:t>
            </w:r>
            <w:r w:rsidR="00F92206" w:rsidRPr="00BE0DBF">
              <w:rPr>
                <w:sz w:val="26"/>
                <w:szCs w:val="26"/>
                <w:lang w:val="lv-LV"/>
              </w:rPr>
              <w:t>).</w:t>
            </w:r>
          </w:p>
          <w:p w14:paraId="74363F44" w14:textId="53ABEFCE" w:rsidR="0046401F" w:rsidRPr="00BE0DBF" w:rsidRDefault="007301AB" w:rsidP="00D56467">
            <w:pPr>
              <w:pStyle w:val="ListParagraph"/>
              <w:numPr>
                <w:ilvl w:val="0"/>
                <w:numId w:val="21"/>
              </w:numPr>
              <w:tabs>
                <w:tab w:val="left" w:pos="852"/>
              </w:tabs>
              <w:spacing w:after="120"/>
              <w:ind w:hanging="435"/>
              <w:rPr>
                <w:sz w:val="26"/>
                <w:szCs w:val="26"/>
                <w:lang w:val="lv-LV"/>
              </w:rPr>
            </w:pPr>
            <w:r w:rsidRPr="00BE0DBF">
              <w:rPr>
                <w:b/>
                <w:sz w:val="26"/>
                <w:szCs w:val="26"/>
                <w:lang w:val="lv-LV"/>
              </w:rPr>
              <w:t>V</w:t>
            </w:r>
            <w:r w:rsidR="00FB1139" w:rsidRPr="00BE0DBF">
              <w:rPr>
                <w:b/>
                <w:sz w:val="26"/>
                <w:szCs w:val="26"/>
                <w:lang w:val="lv-LV"/>
              </w:rPr>
              <w:t>alsts policijā</w:t>
            </w:r>
            <w:r w:rsidR="00FB1139" w:rsidRPr="00BE0DBF">
              <w:rPr>
                <w:sz w:val="26"/>
                <w:szCs w:val="26"/>
                <w:lang w:val="lv-LV"/>
              </w:rPr>
              <w:t xml:space="preserve"> </w:t>
            </w:r>
            <w:r w:rsidR="00FB1139" w:rsidRPr="00BE0DBF">
              <w:rPr>
                <w:b/>
                <w:sz w:val="26"/>
                <w:szCs w:val="26"/>
                <w:lang w:val="lv-LV"/>
              </w:rPr>
              <w:t>2024. gadā ierosināti 15 jauni kriminālprocesi</w:t>
            </w:r>
            <w:r w:rsidR="00DE23FD" w:rsidRPr="00BE0DBF">
              <w:rPr>
                <w:sz w:val="26"/>
                <w:szCs w:val="26"/>
                <w:lang w:val="lv-LV"/>
              </w:rPr>
              <w:t xml:space="preserve">, savukārt </w:t>
            </w:r>
            <w:r w:rsidR="00DE23FD" w:rsidRPr="00BE0DBF">
              <w:rPr>
                <w:b/>
                <w:sz w:val="26"/>
                <w:szCs w:val="26"/>
                <w:lang w:val="lv-LV"/>
              </w:rPr>
              <w:t>KNAB</w:t>
            </w:r>
            <w:r w:rsidR="003538E7" w:rsidRPr="00BE0DBF">
              <w:rPr>
                <w:b/>
                <w:sz w:val="26"/>
                <w:szCs w:val="26"/>
                <w:lang w:val="lv-LV"/>
              </w:rPr>
              <w:t xml:space="preserve"> –</w:t>
            </w:r>
            <w:r w:rsidR="00DE23FD" w:rsidRPr="00BE0DBF">
              <w:rPr>
                <w:b/>
                <w:sz w:val="26"/>
                <w:szCs w:val="26"/>
                <w:lang w:val="lv-LV"/>
              </w:rPr>
              <w:t xml:space="preserve"> 2</w:t>
            </w:r>
            <w:r w:rsidR="003538E7" w:rsidRPr="00BE0DBF">
              <w:rPr>
                <w:b/>
                <w:sz w:val="26"/>
                <w:szCs w:val="26"/>
                <w:lang w:val="lv-LV"/>
              </w:rPr>
              <w:t xml:space="preserve"> </w:t>
            </w:r>
            <w:r w:rsidR="00DE23FD" w:rsidRPr="00BE0DBF">
              <w:rPr>
                <w:b/>
                <w:sz w:val="26"/>
                <w:szCs w:val="26"/>
                <w:lang w:val="lv-LV"/>
              </w:rPr>
              <w:t xml:space="preserve"> jauni kriminālprocesi</w:t>
            </w:r>
            <w:r w:rsidR="00DE23FD" w:rsidRPr="00BE0DBF">
              <w:rPr>
                <w:sz w:val="26"/>
                <w:szCs w:val="26"/>
                <w:lang w:val="lv-LV"/>
              </w:rPr>
              <w:t xml:space="preserve"> </w:t>
            </w:r>
            <w:r w:rsidR="00FB1139" w:rsidRPr="00BE0DBF">
              <w:rPr>
                <w:sz w:val="26"/>
                <w:szCs w:val="26"/>
                <w:lang w:val="lv-LV"/>
              </w:rPr>
              <w:t>saistībā ar iespējamām krāpnieciskām darbībām ES līdzfinansētajos projektos</w:t>
            </w:r>
            <w:r w:rsidR="00D77335" w:rsidRPr="00BE0DBF">
              <w:rPr>
                <w:sz w:val="26"/>
                <w:szCs w:val="26"/>
                <w:lang w:val="lv-LV"/>
              </w:rPr>
              <w:t xml:space="preserve"> ( skatīt sadaļu C.1.).</w:t>
            </w:r>
          </w:p>
          <w:p w14:paraId="78789942" w14:textId="17B8F42D" w:rsidR="00D77335" w:rsidRPr="00BE0DBF" w:rsidRDefault="0046401F" w:rsidP="00D77335">
            <w:pPr>
              <w:pStyle w:val="ListParagraph"/>
              <w:numPr>
                <w:ilvl w:val="0"/>
                <w:numId w:val="21"/>
              </w:numPr>
              <w:tabs>
                <w:tab w:val="left" w:pos="852"/>
              </w:tabs>
              <w:spacing w:after="120"/>
              <w:ind w:hanging="435"/>
              <w:rPr>
                <w:sz w:val="26"/>
                <w:szCs w:val="26"/>
                <w:lang w:val="lv-LV"/>
              </w:rPr>
            </w:pPr>
            <w:r w:rsidRPr="00BE0DBF">
              <w:rPr>
                <w:sz w:val="26"/>
                <w:szCs w:val="26"/>
                <w:lang w:val="lv-LV"/>
              </w:rPr>
              <w:lastRenderedPageBreak/>
              <w:t xml:space="preserve">2024. gadā tika saņemti </w:t>
            </w:r>
            <w:r w:rsidRPr="00BE0DBF">
              <w:rPr>
                <w:b/>
                <w:sz w:val="26"/>
                <w:szCs w:val="26"/>
                <w:lang w:val="lv-LV"/>
              </w:rPr>
              <w:t>2 OLAF pieprasījumi ar lūgumu izgūt kredītiestāžu rīcībā esošās neizpaužamās ziņas</w:t>
            </w:r>
            <w:r w:rsidRPr="00BE0DBF">
              <w:rPr>
                <w:sz w:val="26"/>
                <w:szCs w:val="26"/>
                <w:lang w:val="lv-LV"/>
              </w:rPr>
              <w:t>. Minētie pieprasījumi tika izpildīti sekmīgi un bez liekas kavēšanās, apliecinot OLAF atbalsta likumā iekļautā regulējuma</w:t>
            </w:r>
            <w:r w:rsidR="00C957AF" w:rsidRPr="00BE0DBF">
              <w:rPr>
                <w:sz w:val="26"/>
                <w:szCs w:val="26"/>
                <w:lang w:val="lv-LV"/>
              </w:rPr>
              <w:t xml:space="preserve"> efektīvu</w:t>
            </w:r>
            <w:r w:rsidR="002F6D37" w:rsidRPr="00BE0DBF">
              <w:rPr>
                <w:sz w:val="26"/>
                <w:szCs w:val="26"/>
                <w:lang w:val="lv-LV"/>
              </w:rPr>
              <w:t xml:space="preserve"> </w:t>
            </w:r>
            <w:r w:rsidR="00C966D7" w:rsidRPr="00BE0DBF">
              <w:rPr>
                <w:sz w:val="26"/>
                <w:szCs w:val="26"/>
                <w:lang w:val="lv-LV"/>
              </w:rPr>
              <w:t>darbīb</w:t>
            </w:r>
            <w:r w:rsidR="00C957AF" w:rsidRPr="00BE0DBF">
              <w:rPr>
                <w:sz w:val="26"/>
                <w:szCs w:val="26"/>
                <w:lang w:val="lv-LV"/>
              </w:rPr>
              <w:t>u praksē</w:t>
            </w:r>
            <w:r w:rsidRPr="00BE0DBF" w:rsidDel="00C957AF">
              <w:rPr>
                <w:sz w:val="26"/>
                <w:szCs w:val="26"/>
                <w:lang w:val="lv-LV"/>
              </w:rPr>
              <w:t xml:space="preserve"> </w:t>
            </w:r>
            <w:r w:rsidR="00D77335" w:rsidRPr="00BE0DBF">
              <w:rPr>
                <w:sz w:val="26"/>
                <w:szCs w:val="26"/>
                <w:lang w:val="lv-LV"/>
              </w:rPr>
              <w:t>( skatīt sadaļu C.2.).</w:t>
            </w:r>
          </w:p>
          <w:p w14:paraId="0353F9A8" w14:textId="459C798E" w:rsidR="0046401F" w:rsidRPr="00BE0DBF" w:rsidRDefault="0046401F" w:rsidP="00D77335">
            <w:pPr>
              <w:pStyle w:val="ListParagraph"/>
              <w:tabs>
                <w:tab w:val="left" w:pos="852"/>
              </w:tabs>
              <w:spacing w:after="120"/>
              <w:ind w:firstLine="0"/>
              <w:rPr>
                <w:sz w:val="26"/>
                <w:szCs w:val="26"/>
                <w:highlight w:val="yellow"/>
                <w:lang w:val="lv-LV"/>
              </w:rPr>
            </w:pPr>
          </w:p>
          <w:p w14:paraId="7E7D8C5E" w14:textId="77777777" w:rsidR="0046401F" w:rsidRPr="00BE0DBF" w:rsidRDefault="0046401F" w:rsidP="0046401F">
            <w:pPr>
              <w:pStyle w:val="ListParagraph"/>
              <w:tabs>
                <w:tab w:val="left" w:pos="852"/>
              </w:tabs>
              <w:spacing w:after="120"/>
              <w:ind w:right="284" w:firstLine="0"/>
              <w:rPr>
                <w:sz w:val="32"/>
                <w:szCs w:val="32"/>
                <w:lang w:val="lv-LV"/>
              </w:rPr>
            </w:pPr>
          </w:p>
          <w:p w14:paraId="378B44B9" w14:textId="77777777" w:rsidR="007E5DFB" w:rsidRPr="00BE0DBF" w:rsidRDefault="007E5DFB" w:rsidP="00510C90">
            <w:pPr>
              <w:tabs>
                <w:tab w:val="left" w:pos="9783"/>
              </w:tabs>
              <w:spacing w:after="120"/>
              <w:ind w:right="284" w:firstLine="0"/>
              <w:rPr>
                <w:lang w:val="lv-LV"/>
              </w:rPr>
            </w:pPr>
          </w:p>
          <w:p w14:paraId="74D82B8B" w14:textId="77777777" w:rsidR="007E5DFB" w:rsidRPr="00BE0DBF" w:rsidRDefault="007E5DFB" w:rsidP="00510C90">
            <w:pPr>
              <w:tabs>
                <w:tab w:val="left" w:pos="9783"/>
              </w:tabs>
              <w:spacing w:after="120"/>
              <w:ind w:right="284" w:firstLine="0"/>
              <w:rPr>
                <w:lang w:val="lv-LV"/>
              </w:rPr>
            </w:pPr>
          </w:p>
        </w:tc>
        <w:tc>
          <w:tcPr>
            <w:tcW w:w="421" w:type="dxa"/>
            <w:shd w:val="clear" w:color="auto" w:fill="DAE9F7" w:themeFill="text2" w:themeFillTint="1A"/>
          </w:tcPr>
          <w:p w14:paraId="71CD986C" w14:textId="77777777" w:rsidR="007E5DFB" w:rsidRPr="00BE0DBF" w:rsidRDefault="007E5DFB">
            <w:pPr>
              <w:rPr>
                <w:lang w:val="lv-LV"/>
              </w:rPr>
            </w:pPr>
          </w:p>
          <w:p w14:paraId="240B787F" w14:textId="77777777" w:rsidR="007E5DFB" w:rsidRPr="00BE0DBF" w:rsidRDefault="007E5DFB" w:rsidP="00510C90">
            <w:pPr>
              <w:rPr>
                <w:lang w:val="lv-LV"/>
              </w:rPr>
            </w:pPr>
          </w:p>
        </w:tc>
      </w:tr>
    </w:tbl>
    <w:p w14:paraId="7A67E449" w14:textId="77777777" w:rsidR="007E5DFB" w:rsidRPr="00387441" w:rsidRDefault="007E5DFB" w:rsidP="004B4C65">
      <w:pPr>
        <w:pStyle w:val="Heading3"/>
      </w:pPr>
    </w:p>
    <w:p w14:paraId="1EA40E9F" w14:textId="16D1A69B" w:rsidR="007E5DFB" w:rsidRPr="00BE0DBF" w:rsidRDefault="007E5DFB">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5B556DD5" w14:textId="77777777" w:rsidR="00C476BC" w:rsidRPr="00BE0DBF" w:rsidRDefault="00C476BC">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60BCBFFF" w14:textId="77777777" w:rsidR="00C476BC" w:rsidRPr="00BE0DBF" w:rsidRDefault="00C476BC">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0D863742" w14:textId="77777777" w:rsidR="00C476BC" w:rsidRPr="00BE0DBF" w:rsidRDefault="00C476BC">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2EC64600" w14:textId="77777777" w:rsidR="00D56467" w:rsidRPr="00BE0DBF" w:rsidRDefault="00D56467">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30205017" w14:textId="77777777" w:rsidR="00750B41" w:rsidRPr="00BE0DBF" w:rsidRDefault="00750B41">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4B948679" w14:textId="77777777" w:rsidR="00750B41" w:rsidRPr="00BE0DBF" w:rsidRDefault="00750B41">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7234246B" w14:textId="77777777" w:rsidR="00750B41" w:rsidRPr="00BE0DBF" w:rsidRDefault="00750B41">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642050BB" w14:textId="77777777" w:rsidR="00750B41" w:rsidRPr="00BE0DBF" w:rsidRDefault="00750B41">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02635631" w14:textId="77777777" w:rsidR="00750B41" w:rsidRPr="00BE0DBF" w:rsidRDefault="00750B41">
      <w:pPr>
        <w:spacing w:after="160" w:line="278" w:lineRule="auto"/>
        <w:ind w:firstLine="0"/>
        <w:jc w:val="left"/>
        <w:rPr>
          <w:rFonts w:asciiTheme="majorHAnsi" w:eastAsiaTheme="majorEastAsia" w:hAnsiTheme="majorHAnsi" w:cstheme="majorBidi"/>
          <w:b/>
          <w:color w:val="0F4761" w:themeColor="accent1" w:themeShade="BF"/>
          <w:sz w:val="40"/>
          <w:szCs w:val="40"/>
          <w:lang w:val="lv-LV"/>
        </w:rPr>
      </w:pPr>
    </w:p>
    <w:p w14:paraId="6BC3E53A" w14:textId="5936994D" w:rsidR="00766B83" w:rsidRPr="00387441" w:rsidRDefault="00766B83" w:rsidP="00AC6E58">
      <w:pPr>
        <w:pStyle w:val="Heading1"/>
      </w:pPr>
      <w:bookmarkStart w:id="23" w:name="_Toc192753090"/>
      <w:r w:rsidRPr="00387441">
        <w:lastRenderedPageBreak/>
        <w:t>A daļa</w:t>
      </w:r>
      <w:bookmarkEnd w:id="16"/>
      <w:bookmarkEnd w:id="18"/>
      <w:bookmarkEnd w:id="19"/>
      <w:bookmarkEnd w:id="20"/>
      <w:bookmarkEnd w:id="21"/>
      <w:bookmarkEnd w:id="23"/>
    </w:p>
    <w:p w14:paraId="6B3A5B88" w14:textId="634B45A8" w:rsidR="00E42968" w:rsidRPr="00BE0DBF" w:rsidRDefault="00766B83" w:rsidP="00017956">
      <w:pPr>
        <w:pStyle w:val="Heading2"/>
        <w:rPr>
          <w:lang w:val="lv-LV"/>
        </w:rPr>
      </w:pPr>
      <w:bookmarkStart w:id="24" w:name="_Toc192753091"/>
      <w:r w:rsidRPr="00BE0DBF">
        <w:rPr>
          <w:lang w:val="lv-LV"/>
        </w:rPr>
        <w:t xml:space="preserve">AFCOS </w:t>
      </w:r>
      <w:r w:rsidR="006B7144" w:rsidRPr="00BE0DBF">
        <w:rPr>
          <w:lang w:val="lv-LV"/>
        </w:rPr>
        <w:t>VEIKTIE KRĀPŠANAS APKAROŠANAS UN ES FINANŠU INTEREŠU AIZSARDZĪBAS PASĀKUMI</w:t>
      </w:r>
      <w:r w:rsidR="00462EA5" w:rsidRPr="00BE0DBF">
        <w:rPr>
          <w:lang w:val="lv-LV"/>
        </w:rPr>
        <w:t xml:space="preserve"> 2024.</w:t>
      </w:r>
      <w:r w:rsidR="004F788B" w:rsidRPr="00BE0DBF">
        <w:rPr>
          <w:lang w:val="lv-LV"/>
        </w:rPr>
        <w:t xml:space="preserve"> </w:t>
      </w:r>
      <w:r w:rsidR="00462EA5" w:rsidRPr="00BE0DBF">
        <w:rPr>
          <w:lang w:val="lv-LV"/>
        </w:rPr>
        <w:t>GADĀ</w:t>
      </w:r>
      <w:bookmarkEnd w:id="24"/>
    </w:p>
    <w:p w14:paraId="2BCA00FC" w14:textId="187EC7BA" w:rsidR="006C5848" w:rsidRPr="00387441" w:rsidRDefault="006C5848" w:rsidP="004B4C65">
      <w:pPr>
        <w:pStyle w:val="Heading3"/>
      </w:pPr>
      <w:bookmarkStart w:id="25" w:name="_Toc192753092"/>
      <w:r w:rsidRPr="00387441">
        <w:t>A.1. AFCOS stratēģija</w:t>
      </w:r>
      <w:bookmarkEnd w:id="25"/>
    </w:p>
    <w:p w14:paraId="3FA045E3" w14:textId="351080FA" w:rsidR="00766B83" w:rsidRPr="00387441" w:rsidRDefault="00A437D9" w:rsidP="00BC1140">
      <w:pPr>
        <w:spacing w:after="120"/>
        <w:rPr>
          <w:lang w:val="lv-LV"/>
        </w:rPr>
      </w:pPr>
      <w:r w:rsidRPr="00387441">
        <w:rPr>
          <w:lang w:val="lv-LV"/>
        </w:rPr>
        <w:t>2024. gadā tika veikta virkne pasākumu</w:t>
      </w:r>
      <w:r w:rsidR="008E2068" w:rsidRPr="00387441">
        <w:rPr>
          <w:lang w:val="lv-LV"/>
        </w:rPr>
        <w:t xml:space="preserve"> ar mērķi aizsargāt</w:t>
      </w:r>
      <w:r w:rsidRPr="00387441">
        <w:rPr>
          <w:lang w:val="lv-LV"/>
        </w:rPr>
        <w:t xml:space="preserve"> ES finanšu inter</w:t>
      </w:r>
      <w:r w:rsidR="008E2068" w:rsidRPr="00387441">
        <w:rPr>
          <w:lang w:val="lv-LV"/>
        </w:rPr>
        <w:t>eses. Kā būtiskāko jāmin</w:t>
      </w:r>
      <w:r w:rsidR="00962AAE" w:rsidRPr="00387441">
        <w:rPr>
          <w:lang w:val="lv-LV"/>
        </w:rPr>
        <w:t xml:space="preserve"> </w:t>
      </w:r>
      <w:r w:rsidR="00F11C23" w:rsidRPr="00387441">
        <w:rPr>
          <w:lang w:val="lv-LV"/>
        </w:rPr>
        <w:t>apstiprināto</w:t>
      </w:r>
      <w:r w:rsidR="00850002" w:rsidRPr="00387441">
        <w:rPr>
          <w:lang w:val="lv-LV"/>
        </w:rPr>
        <w:t xml:space="preserve"> </w:t>
      </w:r>
      <w:r w:rsidR="00703951" w:rsidRPr="00387441">
        <w:rPr>
          <w:b/>
          <w:lang w:val="lv-LV"/>
        </w:rPr>
        <w:t>AFCOS</w:t>
      </w:r>
      <w:r w:rsidR="00766B83" w:rsidRPr="00387441">
        <w:rPr>
          <w:b/>
          <w:lang w:val="lv-LV"/>
        </w:rPr>
        <w:t xml:space="preserve"> stratēģij</w:t>
      </w:r>
      <w:r w:rsidR="00814281" w:rsidRPr="00387441">
        <w:rPr>
          <w:b/>
          <w:lang w:val="lv-LV"/>
        </w:rPr>
        <w:t>u</w:t>
      </w:r>
      <w:r w:rsidR="00064751" w:rsidRPr="00387441">
        <w:rPr>
          <w:b/>
          <w:lang w:val="lv-LV"/>
        </w:rPr>
        <w:t xml:space="preserve"> un </w:t>
      </w:r>
      <w:r w:rsidR="00E57167" w:rsidRPr="00387441">
        <w:rPr>
          <w:b/>
          <w:lang w:val="lv-LV"/>
        </w:rPr>
        <w:t>pasākumu</w:t>
      </w:r>
      <w:r w:rsidR="00064751" w:rsidRPr="00387441">
        <w:rPr>
          <w:b/>
          <w:lang w:val="lv-LV"/>
        </w:rPr>
        <w:t xml:space="preserve"> plān</w:t>
      </w:r>
      <w:r w:rsidR="00814281" w:rsidRPr="00387441">
        <w:rPr>
          <w:b/>
          <w:lang w:val="lv-LV"/>
        </w:rPr>
        <w:t>u</w:t>
      </w:r>
      <w:r w:rsidR="00E57167" w:rsidRPr="00387441">
        <w:rPr>
          <w:b/>
          <w:lang w:val="lv-LV"/>
        </w:rPr>
        <w:t xml:space="preserve"> 2024.</w:t>
      </w:r>
      <w:r w:rsidR="0093147B" w:rsidRPr="00387441">
        <w:rPr>
          <w:b/>
          <w:lang w:val="lv-LV"/>
        </w:rPr>
        <w:t xml:space="preserve">- </w:t>
      </w:r>
      <w:r w:rsidR="00E57167" w:rsidRPr="00387441">
        <w:rPr>
          <w:b/>
          <w:lang w:val="lv-LV"/>
        </w:rPr>
        <w:t>2026.</w:t>
      </w:r>
      <w:r w:rsidR="0067668F" w:rsidRPr="00387441">
        <w:rPr>
          <w:b/>
          <w:bCs/>
          <w:lang w:val="lv-LV"/>
        </w:rPr>
        <w:t xml:space="preserve"> </w:t>
      </w:r>
      <w:r w:rsidR="00E57167" w:rsidRPr="00387441">
        <w:rPr>
          <w:b/>
          <w:lang w:val="lv-LV"/>
        </w:rPr>
        <w:t>gadam</w:t>
      </w:r>
      <w:r w:rsidR="00766B83" w:rsidRPr="00387441">
        <w:rPr>
          <w:rStyle w:val="FootnoteReference"/>
          <w:lang w:val="lv-LV"/>
        </w:rPr>
        <w:footnoteReference w:id="2"/>
      </w:r>
      <w:r w:rsidR="0014094B" w:rsidRPr="00387441">
        <w:rPr>
          <w:lang w:val="lv-LV"/>
        </w:rPr>
        <w:t>, kas</w:t>
      </w:r>
      <w:r w:rsidR="00B14722" w:rsidRPr="00387441">
        <w:rPr>
          <w:lang w:val="lv-LV"/>
        </w:rPr>
        <w:t xml:space="preserve"> ir</w:t>
      </w:r>
      <w:r w:rsidR="0014094B" w:rsidRPr="00387441">
        <w:rPr>
          <w:lang w:val="lv-LV"/>
        </w:rPr>
        <w:t xml:space="preserve"> jau trešā AFCOS izstrādātā Stratēģija</w:t>
      </w:r>
      <w:r w:rsidR="00766B83" w:rsidRPr="00387441">
        <w:rPr>
          <w:lang w:val="lv-LV"/>
        </w:rPr>
        <w:t>.</w:t>
      </w:r>
      <w:r w:rsidR="0058495F" w:rsidRPr="00387441">
        <w:rPr>
          <w:lang w:val="lv-LV"/>
        </w:rPr>
        <w:t xml:space="preserve"> </w:t>
      </w:r>
      <w:r w:rsidR="0018456E" w:rsidRPr="00387441">
        <w:rPr>
          <w:lang w:val="lv-LV"/>
        </w:rPr>
        <w:t>Stratēģijas izstrāde ir dalībvalsts iniciatīva, taču EK vairākkārtīgi</w:t>
      </w:r>
      <w:r w:rsidR="0018456E" w:rsidRPr="00387441">
        <w:rPr>
          <w:rStyle w:val="FootnoteReference"/>
          <w:lang w:val="lv-LV"/>
        </w:rPr>
        <w:footnoteReference w:id="3"/>
      </w:r>
      <w:r w:rsidR="0018456E" w:rsidRPr="00387441">
        <w:rPr>
          <w:lang w:val="lv-LV"/>
        </w:rPr>
        <w:t xml:space="preserve"> ir uzsvērusi, ka nacionālās pret-krāpšanas stratēģijas izstrāde, lai arī nav obligāta, tomēr ir ieteicama dalībvalstīm.</w:t>
      </w:r>
    </w:p>
    <w:p w14:paraId="3D936633" w14:textId="2D702FFB" w:rsidR="00AD12C8" w:rsidRPr="00387441" w:rsidRDefault="00271B12" w:rsidP="00AD12C8">
      <w:pPr>
        <w:spacing w:after="120"/>
        <w:rPr>
          <w:lang w:val="lv-LV"/>
        </w:rPr>
      </w:pPr>
      <w:r w:rsidRPr="00387441">
        <w:rPr>
          <w:lang w:val="lv-LV"/>
        </w:rPr>
        <w:t xml:space="preserve">AFCOS </w:t>
      </w:r>
      <w:r w:rsidR="00B14722" w:rsidRPr="00387441">
        <w:rPr>
          <w:lang w:val="lv-LV"/>
        </w:rPr>
        <w:t>s</w:t>
      </w:r>
      <w:r w:rsidRPr="00387441">
        <w:rPr>
          <w:lang w:val="lv-LV"/>
        </w:rPr>
        <w:t xml:space="preserve">tratēģijā identificētie rīcības virzieni ir balstīti uz krāpšanas apkarošanas ciklu un </w:t>
      </w:r>
      <w:r w:rsidRPr="00387441">
        <w:rPr>
          <w:b/>
          <w:lang w:val="lv-LV"/>
        </w:rPr>
        <w:t xml:space="preserve">aptver visus šī cikla četrus posmus: </w:t>
      </w:r>
      <w:proofErr w:type="spellStart"/>
      <w:r w:rsidRPr="00387441">
        <w:rPr>
          <w:b/>
          <w:lang w:val="lv-LV"/>
        </w:rPr>
        <w:t>prevencija</w:t>
      </w:r>
      <w:proofErr w:type="spellEnd"/>
      <w:r w:rsidRPr="00387441">
        <w:rPr>
          <w:b/>
          <w:lang w:val="lv-LV"/>
        </w:rPr>
        <w:t xml:space="preserve"> – atklāšana – izmeklēšana – korektīvie pasākumi.</w:t>
      </w:r>
      <w:r w:rsidRPr="00387441">
        <w:rPr>
          <w:lang w:val="lv-LV"/>
        </w:rPr>
        <w:t xml:space="preserve"> Katrā virzienā </w:t>
      </w:r>
      <w:r w:rsidR="00D2494C" w:rsidRPr="00387441">
        <w:rPr>
          <w:lang w:val="lv-LV"/>
        </w:rPr>
        <w:t>iezīmējot galvenos plānotos uzdevumus un sasniedzamos rezultātus.</w:t>
      </w:r>
    </w:p>
    <w:p w14:paraId="023204CC" w14:textId="26F09779" w:rsidR="00533987" w:rsidRPr="00387441" w:rsidRDefault="00533987" w:rsidP="00533987">
      <w:pPr>
        <w:spacing w:after="120"/>
        <w:jc w:val="right"/>
        <w:rPr>
          <w:rFonts w:eastAsia="Times New Roman"/>
          <w:i/>
          <w:sz w:val="22"/>
          <w:szCs w:val="22"/>
          <w:lang w:val="lv-LV" w:eastAsia="lv-LV"/>
        </w:rPr>
      </w:pPr>
      <w:r w:rsidRPr="00387441">
        <w:rPr>
          <w:b/>
          <w:i/>
          <w:sz w:val="22"/>
          <w:szCs w:val="22"/>
          <w:lang w:val="lv-LV"/>
        </w:rPr>
        <w:t>Attēls Nr.1</w:t>
      </w:r>
      <w:r w:rsidRPr="00387441">
        <w:rPr>
          <w:i/>
          <w:sz w:val="22"/>
          <w:szCs w:val="22"/>
          <w:lang w:val="lv-LV"/>
        </w:rPr>
        <w:t xml:space="preserve"> AFCOS stratēģijā identificētie rīcības virzieni</w:t>
      </w:r>
    </w:p>
    <w:p w14:paraId="5B59B9A0" w14:textId="138D50F6" w:rsidR="006C5848" w:rsidRPr="00BE0DBF" w:rsidRDefault="00AD12C8" w:rsidP="00C7473F">
      <w:pPr>
        <w:spacing w:after="120"/>
        <w:ind w:firstLine="0"/>
        <w:rPr>
          <w:sz w:val="23"/>
          <w:szCs w:val="23"/>
          <w:lang w:val="lv-LV"/>
        </w:rPr>
      </w:pPr>
      <w:r w:rsidRPr="00BE0DBF">
        <w:rPr>
          <w:rFonts w:eastAsia="Times New Roman"/>
          <w:noProof/>
          <w:lang w:val="lv-LV" w:eastAsia="lv-LV"/>
        </w:rPr>
        <w:drawing>
          <wp:inline distT="0" distB="0" distL="0" distR="0" wp14:anchorId="0948A1AD" wp14:editId="13958417">
            <wp:extent cx="6883938" cy="3634548"/>
            <wp:effectExtent l="0" t="0" r="0" b="4445"/>
            <wp:docPr id="2004165089" name="Picture 3" descr="A blue circle with white squar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65089" name="Picture 3" descr="A blue circle with white squares and black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0841" cy="3685710"/>
                    </a:xfrm>
                    <a:prstGeom prst="rect">
                      <a:avLst/>
                    </a:prstGeom>
                    <a:noFill/>
                  </pic:spPr>
                </pic:pic>
              </a:graphicData>
            </a:graphic>
          </wp:inline>
        </w:drawing>
      </w:r>
    </w:p>
    <w:p w14:paraId="36FF5FB8" w14:textId="77777777" w:rsidR="00C7473F" w:rsidRPr="00BE0DBF" w:rsidRDefault="00C7473F" w:rsidP="00C7473F">
      <w:pPr>
        <w:spacing w:after="120"/>
        <w:ind w:firstLine="0"/>
        <w:rPr>
          <w:sz w:val="23"/>
          <w:szCs w:val="23"/>
          <w:lang w:val="lv-LV"/>
        </w:rPr>
      </w:pPr>
    </w:p>
    <w:p w14:paraId="05998052" w14:textId="48BE3982" w:rsidR="006C5848" w:rsidRPr="00387441" w:rsidRDefault="006C5848" w:rsidP="004B4C65">
      <w:pPr>
        <w:pStyle w:val="Heading3"/>
      </w:pPr>
      <w:bookmarkStart w:id="26" w:name="_Toc192753093"/>
      <w:r w:rsidRPr="00387441">
        <w:lastRenderedPageBreak/>
        <w:t xml:space="preserve">A.2. AFCOS </w:t>
      </w:r>
      <w:bookmarkStart w:id="27" w:name="_Hlk189812765"/>
      <w:r w:rsidR="00667C55" w:rsidRPr="00387441">
        <w:t>stratēģijas pasākum</w:t>
      </w:r>
      <w:r w:rsidR="007A0AB9" w:rsidRPr="00387441">
        <w:t xml:space="preserve">a plāns </w:t>
      </w:r>
      <w:bookmarkEnd w:id="27"/>
      <w:r w:rsidR="007A0AB9" w:rsidRPr="00387441">
        <w:t xml:space="preserve">– AFCOS </w:t>
      </w:r>
      <w:r w:rsidRPr="00387441">
        <w:t>diskusijas</w:t>
      </w:r>
      <w:r w:rsidR="00B97B55" w:rsidRPr="00387441">
        <w:t xml:space="preserve"> </w:t>
      </w:r>
      <w:r w:rsidR="00B97B55" w:rsidRPr="0011612D">
        <w:t xml:space="preserve">par </w:t>
      </w:r>
      <w:r w:rsidR="00B97B55" w:rsidRPr="00387441">
        <w:t>juridiski piemērotāko rīcību neatbilstību vai aizdomu par krāpšanu gadījumos</w:t>
      </w:r>
      <w:bookmarkEnd w:id="26"/>
    </w:p>
    <w:p w14:paraId="69B53555" w14:textId="77777777" w:rsidR="007462D3" w:rsidRPr="00387441" w:rsidRDefault="00072CC5" w:rsidP="00F632D2">
      <w:pPr>
        <w:spacing w:after="120" w:line="276" w:lineRule="auto"/>
        <w:rPr>
          <w:lang w:val="lv-LV"/>
        </w:rPr>
      </w:pPr>
      <w:r w:rsidRPr="00387441">
        <w:rPr>
          <w:lang w:val="lv-LV"/>
        </w:rPr>
        <w:t>2024. gadā t</w:t>
      </w:r>
      <w:r w:rsidR="00E33F76" w:rsidRPr="00387441">
        <w:rPr>
          <w:lang w:val="lv-LV"/>
        </w:rPr>
        <w:t xml:space="preserve">ika organizētas </w:t>
      </w:r>
      <w:r w:rsidR="00E33F76" w:rsidRPr="00387441">
        <w:rPr>
          <w:b/>
          <w:lang w:val="lv-LV"/>
        </w:rPr>
        <w:t xml:space="preserve">divas diskusijas </w:t>
      </w:r>
      <w:r w:rsidR="00E33F76" w:rsidRPr="00387441">
        <w:rPr>
          <w:lang w:val="lv-LV"/>
        </w:rPr>
        <w:t xml:space="preserve">par AFCOS sadarbības tīklā iesaistīto iestāžu aktuālajām tēmām </w:t>
      </w:r>
      <w:r w:rsidR="000B2665" w:rsidRPr="00387441">
        <w:rPr>
          <w:lang w:val="lv-LV"/>
        </w:rPr>
        <w:t>–</w:t>
      </w:r>
      <w:r w:rsidR="00574466" w:rsidRPr="00387441">
        <w:rPr>
          <w:lang w:val="lv-LV"/>
        </w:rPr>
        <w:t xml:space="preserve"> (1)</w:t>
      </w:r>
      <w:r w:rsidR="00BF77F3" w:rsidRPr="00387441">
        <w:rPr>
          <w:lang w:val="lv-LV"/>
        </w:rPr>
        <w:t xml:space="preserve"> </w:t>
      </w:r>
      <w:r w:rsidR="00C22EFB" w:rsidRPr="00387441">
        <w:rPr>
          <w:lang w:val="lv-LV"/>
        </w:rPr>
        <w:t xml:space="preserve">ES </w:t>
      </w:r>
      <w:r w:rsidR="009B2770" w:rsidRPr="00387441">
        <w:rPr>
          <w:lang w:val="lv-LV"/>
        </w:rPr>
        <w:t xml:space="preserve">fondu administrējošo </w:t>
      </w:r>
      <w:r w:rsidR="0015665C" w:rsidRPr="00387441">
        <w:rPr>
          <w:lang w:val="lv-LV"/>
        </w:rPr>
        <w:t>iestāžu praksi</w:t>
      </w:r>
      <w:r w:rsidR="00355EE1" w:rsidRPr="00387441">
        <w:rPr>
          <w:lang w:val="lv-LV"/>
        </w:rPr>
        <w:t xml:space="preserve"> rīcībai, ja tiek konstatētas aizdomas par krāpšanu un ietekmi uz turpmāko projekta īstenošanu</w:t>
      </w:r>
      <w:r w:rsidR="00BF77F3" w:rsidRPr="00387441">
        <w:rPr>
          <w:lang w:val="lv-LV"/>
        </w:rPr>
        <w:t xml:space="preserve"> un </w:t>
      </w:r>
      <w:r w:rsidR="00574466" w:rsidRPr="00387441">
        <w:rPr>
          <w:lang w:val="lv-LV"/>
        </w:rPr>
        <w:t xml:space="preserve">(2) </w:t>
      </w:r>
      <w:r w:rsidR="00BF77F3" w:rsidRPr="00387441">
        <w:rPr>
          <w:lang w:val="lv-LV"/>
        </w:rPr>
        <w:t>finanšu līdzekļu atgūšanas no privāto tiesību subjektiem efektivizēšan</w:t>
      </w:r>
      <w:r w:rsidR="003A21F9" w:rsidRPr="00387441">
        <w:rPr>
          <w:lang w:val="lv-LV"/>
        </w:rPr>
        <w:t>u</w:t>
      </w:r>
      <w:r w:rsidR="00BF77F3" w:rsidRPr="00387441">
        <w:rPr>
          <w:lang w:val="lv-LV"/>
        </w:rPr>
        <w:t>.</w:t>
      </w:r>
      <w:r w:rsidR="00574466" w:rsidRPr="00387441">
        <w:rPr>
          <w:lang w:val="lv-LV"/>
        </w:rPr>
        <w:t xml:space="preserve"> </w:t>
      </w:r>
    </w:p>
    <w:p w14:paraId="01556133" w14:textId="48263876" w:rsidR="007462D3" w:rsidRPr="00387441" w:rsidRDefault="008509E0" w:rsidP="00F632D2">
      <w:pPr>
        <w:spacing w:after="120" w:line="276" w:lineRule="auto"/>
        <w:rPr>
          <w:lang w:val="lv-LV"/>
        </w:rPr>
      </w:pPr>
      <w:r w:rsidRPr="00387441">
        <w:rPr>
          <w:lang w:val="lv-LV"/>
        </w:rPr>
        <w:t>Gadījumos, kad tiek konstatētas neatbilstības par aizdomām par krāpšanos un izmeklēšanas iestādes vēl nav pabeigušas attiecīgā projekta izmeklēšanas darbības, lai izvairītos no ilgstoša finansējuma apturēšanas</w:t>
      </w:r>
      <w:r w:rsidR="00F02ED7" w:rsidRPr="00387441">
        <w:rPr>
          <w:lang w:val="lv-LV"/>
        </w:rPr>
        <w:t>,</w:t>
      </w:r>
      <w:r w:rsidRPr="00387441">
        <w:rPr>
          <w:lang w:val="lv-LV"/>
        </w:rPr>
        <w:t xml:space="preserve"> tika izskatītas iespējas pilnveidot ES fondus uzraugoš</w:t>
      </w:r>
      <w:r w:rsidR="009D5983">
        <w:rPr>
          <w:lang w:val="lv-LV"/>
        </w:rPr>
        <w:t>o</w:t>
      </w:r>
      <w:r w:rsidRPr="00387441">
        <w:rPr>
          <w:lang w:val="lv-LV"/>
        </w:rPr>
        <w:t xml:space="preserve"> iestā</w:t>
      </w:r>
      <w:r w:rsidR="009D5983">
        <w:rPr>
          <w:lang w:val="lv-LV"/>
        </w:rPr>
        <w:t>žu</w:t>
      </w:r>
      <w:r w:rsidRPr="00387441">
        <w:rPr>
          <w:lang w:val="lv-LV"/>
        </w:rPr>
        <w:t xml:space="preserve"> neatbilstību lēmumu pieņemšanas procesu un pamatojumu.</w:t>
      </w:r>
      <w:r w:rsidR="004D1505" w:rsidRPr="00387441">
        <w:rPr>
          <w:lang w:val="lv-LV"/>
        </w:rPr>
        <w:t xml:space="preserve"> </w:t>
      </w:r>
      <w:r w:rsidR="00574466" w:rsidRPr="00387441">
        <w:rPr>
          <w:lang w:val="lv-LV"/>
        </w:rPr>
        <w:t xml:space="preserve">Pirmās diskusijas laikā tika uzsvērtas atšķirības starp </w:t>
      </w:r>
      <w:r w:rsidR="003420A7" w:rsidRPr="00387441">
        <w:rPr>
          <w:lang w:val="lv-LV"/>
        </w:rPr>
        <w:t>ES fondu administrējošo iestāžu</w:t>
      </w:r>
      <w:r w:rsidR="00155182" w:rsidRPr="00387441">
        <w:rPr>
          <w:lang w:val="lv-LV"/>
        </w:rPr>
        <w:t xml:space="preserve"> -</w:t>
      </w:r>
      <w:r w:rsidR="003420A7" w:rsidRPr="00387441">
        <w:rPr>
          <w:lang w:val="lv-LV"/>
        </w:rPr>
        <w:t xml:space="preserve"> LAD un CFLA </w:t>
      </w:r>
      <w:r w:rsidR="00146A38" w:rsidRPr="00387441">
        <w:rPr>
          <w:lang w:val="lv-LV"/>
        </w:rPr>
        <w:t>lēmumu pieņemšanas procesu</w:t>
      </w:r>
      <w:r w:rsidR="00B80647" w:rsidRPr="00387441">
        <w:rPr>
          <w:lang w:val="lv-LV"/>
        </w:rPr>
        <w:t xml:space="preserve"> un formātu</w:t>
      </w:r>
      <w:r w:rsidR="00146A38" w:rsidRPr="00387441">
        <w:rPr>
          <w:lang w:val="lv-LV"/>
        </w:rPr>
        <w:t xml:space="preserve">, proti, LAD </w:t>
      </w:r>
      <w:r w:rsidR="00793673" w:rsidRPr="00387441">
        <w:rPr>
          <w:lang w:val="lv-LV"/>
        </w:rPr>
        <w:t>ar finansējuma saņēmēju slēdz administratīvo līgumu</w:t>
      </w:r>
      <w:r w:rsidR="00D2757C" w:rsidRPr="00387441">
        <w:rPr>
          <w:lang w:val="lv-LV"/>
        </w:rPr>
        <w:t xml:space="preserve"> un </w:t>
      </w:r>
      <w:r w:rsidR="00D2757C" w:rsidRPr="00387441">
        <w:rPr>
          <w:b/>
          <w:lang w:val="lv-LV"/>
        </w:rPr>
        <w:t xml:space="preserve">neatbilstību lēmumus pieņem </w:t>
      </w:r>
      <w:r w:rsidR="00146A38" w:rsidRPr="00387441">
        <w:rPr>
          <w:b/>
          <w:lang w:val="lv-LV"/>
        </w:rPr>
        <w:t>administratīvā procesa kārtībā</w:t>
      </w:r>
      <w:r w:rsidR="00146A38" w:rsidRPr="00387441">
        <w:rPr>
          <w:lang w:val="lv-LV"/>
        </w:rPr>
        <w:t xml:space="preserve">, </w:t>
      </w:r>
      <w:r w:rsidR="00D2757C" w:rsidRPr="00387441">
        <w:rPr>
          <w:lang w:val="lv-LV"/>
        </w:rPr>
        <w:t>t.i.,</w:t>
      </w:r>
      <w:r w:rsidR="00916857" w:rsidRPr="00387441">
        <w:rPr>
          <w:lang w:val="lv-LV"/>
        </w:rPr>
        <w:t xml:space="preserve"> izdodot </w:t>
      </w:r>
      <w:r w:rsidR="00146A38" w:rsidRPr="00387441">
        <w:rPr>
          <w:lang w:val="lv-LV"/>
        </w:rPr>
        <w:t xml:space="preserve">administratīvo aktu. </w:t>
      </w:r>
      <w:r w:rsidR="00916857" w:rsidRPr="00387441">
        <w:rPr>
          <w:lang w:val="lv-LV"/>
        </w:rPr>
        <w:t>Savukārt</w:t>
      </w:r>
      <w:r w:rsidR="00146A38" w:rsidRPr="00387441">
        <w:rPr>
          <w:lang w:val="lv-LV"/>
        </w:rPr>
        <w:t xml:space="preserve">, CFLA </w:t>
      </w:r>
      <w:r w:rsidR="00EC20E8" w:rsidRPr="00387441">
        <w:rPr>
          <w:lang w:val="lv-LV"/>
        </w:rPr>
        <w:t>ar finansējuma saņēmēju slēdz civiltiesiskos līgumus</w:t>
      </w:r>
      <w:r w:rsidR="007462D3" w:rsidRPr="00387441">
        <w:rPr>
          <w:lang w:val="lv-LV"/>
        </w:rPr>
        <w:t>,</w:t>
      </w:r>
      <w:r w:rsidR="00EC20E8" w:rsidRPr="00387441">
        <w:rPr>
          <w:lang w:val="lv-LV"/>
        </w:rPr>
        <w:t xml:space="preserve"> līdz ar to </w:t>
      </w:r>
      <w:r w:rsidR="00EC20E8" w:rsidRPr="00387441">
        <w:rPr>
          <w:b/>
          <w:lang w:val="lv-LV"/>
        </w:rPr>
        <w:t>neatbilstību lēmumi tiek</w:t>
      </w:r>
      <w:r w:rsidR="00EB6F8B" w:rsidRPr="00387441">
        <w:rPr>
          <w:b/>
          <w:lang w:val="lv-LV"/>
        </w:rPr>
        <w:t xml:space="preserve"> pieņemti un</w:t>
      </w:r>
      <w:r w:rsidR="00EC20E8" w:rsidRPr="00387441">
        <w:rPr>
          <w:b/>
          <w:lang w:val="lv-LV"/>
        </w:rPr>
        <w:t xml:space="preserve"> izskatīti civiltiesiskā kārtībā.</w:t>
      </w:r>
      <w:r w:rsidR="00EB6F8B" w:rsidRPr="00387441">
        <w:rPr>
          <w:b/>
          <w:lang w:val="lv-LV"/>
        </w:rPr>
        <w:t xml:space="preserve"> </w:t>
      </w:r>
      <w:r w:rsidR="00B571DD" w:rsidRPr="00387441">
        <w:rPr>
          <w:lang w:val="lv-LV"/>
        </w:rPr>
        <w:t>Papildus</w:t>
      </w:r>
      <w:r w:rsidR="00B571DD" w:rsidRPr="00387441">
        <w:rPr>
          <w:b/>
          <w:lang w:val="lv-LV"/>
        </w:rPr>
        <w:t xml:space="preserve"> </w:t>
      </w:r>
      <w:r w:rsidR="00B571DD" w:rsidRPr="00387441">
        <w:rPr>
          <w:lang w:val="lv-LV"/>
        </w:rPr>
        <w:t xml:space="preserve">tika </w:t>
      </w:r>
      <w:r w:rsidR="002D6CC0" w:rsidRPr="00387441">
        <w:rPr>
          <w:lang w:val="lv-LV"/>
        </w:rPr>
        <w:t>izskatīta esošā tiesu prakse</w:t>
      </w:r>
      <w:r w:rsidR="003B7233" w:rsidRPr="00387441">
        <w:rPr>
          <w:lang w:val="lv-LV"/>
        </w:rPr>
        <w:t xml:space="preserve">, lai identificētu veiksmīgākos </w:t>
      </w:r>
      <w:r w:rsidR="00F15958" w:rsidRPr="00387441">
        <w:rPr>
          <w:lang w:val="lv-LV"/>
        </w:rPr>
        <w:t xml:space="preserve">sadarbības veidus ar </w:t>
      </w:r>
      <w:r w:rsidR="00CA0A4C" w:rsidRPr="00387441">
        <w:rPr>
          <w:lang w:val="lv-LV"/>
        </w:rPr>
        <w:t>izmeklēšanas</w:t>
      </w:r>
      <w:r w:rsidR="00F15958" w:rsidRPr="00387441">
        <w:rPr>
          <w:lang w:val="lv-LV"/>
        </w:rPr>
        <w:t xml:space="preserve"> iestādēm pirmstiesas izmeklēšanas </w:t>
      </w:r>
      <w:r w:rsidR="00CA0A4C" w:rsidRPr="00387441">
        <w:rPr>
          <w:lang w:val="lv-LV"/>
        </w:rPr>
        <w:t>posmā.</w:t>
      </w:r>
    </w:p>
    <w:p w14:paraId="0A8CFD17" w14:textId="4C20483A" w:rsidR="00D2494C" w:rsidRPr="00387441" w:rsidRDefault="00EB6F8B" w:rsidP="00F632D2">
      <w:pPr>
        <w:spacing w:after="120" w:line="276" w:lineRule="auto"/>
        <w:rPr>
          <w:lang w:val="lv-LV"/>
        </w:rPr>
      </w:pPr>
      <w:r w:rsidRPr="00387441">
        <w:rPr>
          <w:lang w:val="lv-LV"/>
        </w:rPr>
        <w:t xml:space="preserve">Diskusijas rezultātā secināts, ka </w:t>
      </w:r>
      <w:r w:rsidR="004F696A" w:rsidRPr="00387441">
        <w:rPr>
          <w:lang w:val="lv-LV"/>
        </w:rPr>
        <w:t xml:space="preserve">jāpilnveido </w:t>
      </w:r>
      <w:r w:rsidRPr="00387441">
        <w:rPr>
          <w:lang w:val="lv-LV"/>
        </w:rPr>
        <w:t>komunikācija ar EPPO un tiesībaizsardzības iestādēm</w:t>
      </w:r>
      <w:r w:rsidR="007462D3" w:rsidRPr="00387441">
        <w:rPr>
          <w:lang w:val="lv-LV"/>
        </w:rPr>
        <w:t xml:space="preserve">. Sazinoties ar izmeklēšanas iestādēm, jāuzdod jautājumi </w:t>
      </w:r>
      <w:r w:rsidR="00CA3BD5" w:rsidRPr="00387441">
        <w:rPr>
          <w:lang w:val="lv-LV"/>
        </w:rPr>
        <w:t>par konkrētiem faktiem</w:t>
      </w:r>
      <w:r w:rsidR="00B97658" w:rsidRPr="00387441">
        <w:rPr>
          <w:lang w:val="lv-LV"/>
        </w:rPr>
        <w:t xml:space="preserve">, kas ir / varētu būt būtiski </w:t>
      </w:r>
      <w:r w:rsidR="00CA3BD5" w:rsidRPr="00387441">
        <w:rPr>
          <w:lang w:val="lv-LV"/>
        </w:rPr>
        <w:t>neatbilstību lēmumu</w:t>
      </w:r>
      <w:r w:rsidR="00B97658" w:rsidRPr="00387441">
        <w:rPr>
          <w:lang w:val="lv-LV"/>
        </w:rPr>
        <w:t xml:space="preserve"> pieņemšanas / maksājumu apturēšanas procesā.</w:t>
      </w:r>
    </w:p>
    <w:p w14:paraId="09C7D8F0" w14:textId="3359D5DA" w:rsidR="00C7473F" w:rsidRPr="00387441" w:rsidRDefault="00FA41BC" w:rsidP="00F632D2">
      <w:pPr>
        <w:spacing w:after="120" w:line="276" w:lineRule="auto"/>
        <w:rPr>
          <w:b/>
          <w:lang w:val="lv-LV"/>
        </w:rPr>
      </w:pPr>
      <w:r w:rsidRPr="00387441">
        <w:rPr>
          <w:lang w:val="lv-LV"/>
        </w:rPr>
        <w:t>Otrā diskusija tika veltīta jautājumiem par to</w:t>
      </w:r>
      <w:r w:rsidR="00CE6E70">
        <w:rPr>
          <w:lang w:val="lv-LV"/>
        </w:rPr>
        <w:t>,</w:t>
      </w:r>
      <w:r w:rsidRPr="00387441">
        <w:rPr>
          <w:lang w:val="lv-LV"/>
        </w:rPr>
        <w:t xml:space="preserve"> kā efektivizēt </w:t>
      </w:r>
      <w:bookmarkStart w:id="28" w:name="_Toc128581403"/>
      <w:bookmarkStart w:id="29" w:name="_Toc128581753"/>
      <w:bookmarkStart w:id="30" w:name="_Toc128581985"/>
      <w:bookmarkStart w:id="31" w:name="_Toc129695792"/>
      <w:r w:rsidRPr="00387441">
        <w:rPr>
          <w:lang w:val="lv-LV"/>
        </w:rPr>
        <w:t>finanšu līdzekļu atgūšanu no privāto tiesību subjektiem</w:t>
      </w:r>
      <w:r w:rsidR="00C6461C" w:rsidRPr="00387441">
        <w:rPr>
          <w:lang w:val="lv-LV"/>
        </w:rPr>
        <w:t xml:space="preserve">. </w:t>
      </w:r>
      <w:r w:rsidR="003B5127" w:rsidRPr="00387441">
        <w:rPr>
          <w:lang w:val="lv-LV"/>
        </w:rPr>
        <w:t xml:space="preserve">Rezultātā </w:t>
      </w:r>
      <w:r w:rsidR="005861BB" w:rsidRPr="00387441">
        <w:rPr>
          <w:lang w:val="lv-LV"/>
        </w:rPr>
        <w:t>apskatīt</w:t>
      </w:r>
      <w:r w:rsidR="009624E1" w:rsidRPr="00387441">
        <w:rPr>
          <w:lang w:val="lv-LV"/>
        </w:rPr>
        <w:t>as</w:t>
      </w:r>
      <w:r w:rsidR="005861BB" w:rsidRPr="00387441">
        <w:rPr>
          <w:lang w:val="lv-LV"/>
        </w:rPr>
        <w:t xml:space="preserve"> vairāk</w:t>
      </w:r>
      <w:r w:rsidR="00BE05FC" w:rsidRPr="00387441">
        <w:rPr>
          <w:lang w:val="lv-LV"/>
        </w:rPr>
        <w:t>as idejas, kas papildus</w:t>
      </w:r>
      <w:r w:rsidR="006174B8" w:rsidRPr="00387441">
        <w:rPr>
          <w:lang w:val="lv-LV"/>
        </w:rPr>
        <w:t xml:space="preserve"> kat</w:t>
      </w:r>
      <w:r w:rsidR="007A1920" w:rsidRPr="00387441">
        <w:rPr>
          <w:lang w:val="lv-LV"/>
        </w:rPr>
        <w:t xml:space="preserve">ras iestādes vajadzībām </w:t>
      </w:r>
      <w:r w:rsidR="00DD6961" w:rsidRPr="00387441">
        <w:rPr>
          <w:lang w:val="lv-LV"/>
        </w:rPr>
        <w:t>ir</w:t>
      </w:r>
      <w:r w:rsidR="00BE05FC" w:rsidRPr="00387441">
        <w:rPr>
          <w:lang w:val="lv-LV"/>
        </w:rPr>
        <w:t xml:space="preserve"> jāizvērtē</w:t>
      </w:r>
      <w:r w:rsidR="009624E1" w:rsidRPr="00387441">
        <w:rPr>
          <w:lang w:val="lv-LV"/>
        </w:rPr>
        <w:t>. Pi</w:t>
      </w:r>
      <w:r w:rsidR="00BE05FC" w:rsidRPr="00387441">
        <w:rPr>
          <w:lang w:val="lv-LV"/>
        </w:rPr>
        <w:t xml:space="preserve">emēram, </w:t>
      </w:r>
      <w:r w:rsidR="008423D4" w:rsidRPr="00387441">
        <w:rPr>
          <w:b/>
          <w:lang w:val="lv-LV"/>
        </w:rPr>
        <w:t>parādu piedziņa</w:t>
      </w:r>
      <w:r w:rsidR="001E4FB4" w:rsidRPr="00387441">
        <w:rPr>
          <w:b/>
          <w:lang w:val="lv-LV"/>
        </w:rPr>
        <w:t xml:space="preserve"> uzņēmuma pārejas </w:t>
      </w:r>
      <w:r w:rsidR="006262A9" w:rsidRPr="00387441">
        <w:rPr>
          <w:b/>
          <w:lang w:val="lv-LV"/>
        </w:rPr>
        <w:t>gadījumā,</w:t>
      </w:r>
      <w:r w:rsidR="00BE05FC" w:rsidRPr="00387441">
        <w:rPr>
          <w:lang w:val="lv-LV"/>
        </w:rPr>
        <w:t xml:space="preserve"> </w:t>
      </w:r>
      <w:r w:rsidR="002416B6" w:rsidRPr="00387441">
        <w:rPr>
          <w:b/>
          <w:bCs/>
          <w:lang w:val="lv-LV"/>
        </w:rPr>
        <w:t>vēršan</w:t>
      </w:r>
      <w:r w:rsidR="00024CD3" w:rsidRPr="00387441">
        <w:rPr>
          <w:b/>
          <w:bCs/>
          <w:lang w:val="lv-LV"/>
        </w:rPr>
        <w:t>ā</w:t>
      </w:r>
      <w:r w:rsidR="002416B6" w:rsidRPr="00387441">
        <w:rPr>
          <w:b/>
          <w:bCs/>
          <w:lang w:val="lv-LV"/>
        </w:rPr>
        <w:t>s</w:t>
      </w:r>
      <w:r w:rsidR="002416B6" w:rsidRPr="00387441">
        <w:rPr>
          <w:b/>
          <w:lang w:val="lv-LV"/>
        </w:rPr>
        <w:t xml:space="preserve"> tiesā par zaudējumu segšanu / parādu piedziņu no maksātnespējīgo / likvidēto uzņēmumu valdes locekļiem,</w:t>
      </w:r>
      <w:r w:rsidR="002416B6" w:rsidRPr="00387441">
        <w:rPr>
          <w:lang w:val="lv-LV"/>
        </w:rPr>
        <w:t xml:space="preserve"> </w:t>
      </w:r>
      <w:r w:rsidR="008E5127" w:rsidRPr="00387441">
        <w:rPr>
          <w:b/>
          <w:lang w:val="lv-LV"/>
        </w:rPr>
        <w:t xml:space="preserve">Lursoft </w:t>
      </w:r>
      <w:proofErr w:type="spellStart"/>
      <w:r w:rsidR="008E5127" w:rsidRPr="00387441">
        <w:rPr>
          <w:b/>
          <w:lang w:val="lv-LV"/>
        </w:rPr>
        <w:t>monitorēšanas</w:t>
      </w:r>
      <w:proofErr w:type="spellEnd"/>
      <w:r w:rsidR="008E5127" w:rsidRPr="00387441">
        <w:rPr>
          <w:b/>
          <w:lang w:val="lv-LV"/>
        </w:rPr>
        <w:t xml:space="preserve"> rīk</w:t>
      </w:r>
      <w:r w:rsidR="00A9193D" w:rsidRPr="00387441">
        <w:rPr>
          <w:b/>
          <w:lang w:val="lv-LV"/>
        </w:rPr>
        <w:t>a</w:t>
      </w:r>
      <w:r w:rsidR="00A9193D" w:rsidRPr="00387441">
        <w:rPr>
          <w:lang w:val="lv-LV"/>
        </w:rPr>
        <w:t xml:space="preserve"> </w:t>
      </w:r>
      <w:r w:rsidR="00A9193D" w:rsidRPr="00387441">
        <w:rPr>
          <w:b/>
          <w:lang w:val="lv-LV"/>
        </w:rPr>
        <w:t>abonēšana</w:t>
      </w:r>
      <w:r w:rsidR="00A9193D" w:rsidRPr="00387441">
        <w:rPr>
          <w:lang w:val="lv-LV"/>
        </w:rPr>
        <w:t xml:space="preserve">, </w:t>
      </w:r>
      <w:r w:rsidR="009624E1" w:rsidRPr="00387441">
        <w:rPr>
          <w:b/>
          <w:lang w:val="lv-LV"/>
        </w:rPr>
        <w:t>sadarbības</w:t>
      </w:r>
      <w:r w:rsidR="00A9193D" w:rsidRPr="00387441">
        <w:rPr>
          <w:b/>
          <w:lang w:val="lv-LV"/>
        </w:rPr>
        <w:t xml:space="preserve"> ar Kredītu informācijas biroju</w:t>
      </w:r>
      <w:r w:rsidR="009624E1" w:rsidRPr="00387441">
        <w:rPr>
          <w:b/>
          <w:lang w:val="lv-LV"/>
        </w:rPr>
        <w:t xml:space="preserve"> izveidošana</w:t>
      </w:r>
      <w:r w:rsidR="00E723DC" w:rsidRPr="00387441">
        <w:rPr>
          <w:b/>
          <w:lang w:val="lv-LV"/>
        </w:rPr>
        <w:t xml:space="preserve">, labas reputācijas saraksta </w:t>
      </w:r>
      <w:r w:rsidR="00AE776C" w:rsidRPr="00387441">
        <w:rPr>
          <w:b/>
          <w:bCs/>
          <w:lang w:val="lv-LV"/>
        </w:rPr>
        <w:t>izveidošana</w:t>
      </w:r>
      <w:r w:rsidR="00E723DC" w:rsidRPr="00387441">
        <w:rPr>
          <w:b/>
          <w:lang w:val="lv-LV"/>
        </w:rPr>
        <w:t>, garantiju fonda izveid</w:t>
      </w:r>
      <w:r w:rsidR="009624E1" w:rsidRPr="00387441">
        <w:rPr>
          <w:b/>
          <w:lang w:val="lv-LV"/>
        </w:rPr>
        <w:t>e</w:t>
      </w:r>
      <w:r w:rsidR="007413B6" w:rsidRPr="00387441">
        <w:rPr>
          <w:b/>
          <w:lang w:val="lv-LV"/>
        </w:rPr>
        <w:t xml:space="preserve"> u.c.</w:t>
      </w:r>
    </w:p>
    <w:p w14:paraId="6E216780" w14:textId="4A7BFB98" w:rsidR="007413B6" w:rsidRPr="00387441" w:rsidRDefault="007413B6" w:rsidP="0059228D">
      <w:pPr>
        <w:spacing w:after="120"/>
        <w:rPr>
          <w:sz w:val="23"/>
          <w:szCs w:val="23"/>
          <w:lang w:val="lv-LV"/>
        </w:rPr>
      </w:pPr>
    </w:p>
    <w:p w14:paraId="15036A59" w14:textId="0E5B3A9E" w:rsidR="00C7473F" w:rsidRPr="00387441" w:rsidRDefault="00C7473F" w:rsidP="004B4C65">
      <w:pPr>
        <w:pStyle w:val="Heading3"/>
      </w:pPr>
      <w:bookmarkStart w:id="32" w:name="_Toc192753094"/>
      <w:r w:rsidRPr="00387441">
        <w:t>A.</w:t>
      </w:r>
      <w:r w:rsidR="004C0B93" w:rsidRPr="00387441">
        <w:t>3</w:t>
      </w:r>
      <w:r w:rsidRPr="00387441">
        <w:t xml:space="preserve">. AFCOS </w:t>
      </w:r>
      <w:r w:rsidR="007A0AB9" w:rsidRPr="00387441">
        <w:t xml:space="preserve">stratēģijas pasākuma plāns – </w:t>
      </w:r>
      <w:r w:rsidR="004C0B93" w:rsidRPr="00387441">
        <w:t>ēnošanas</w:t>
      </w:r>
      <w:r w:rsidR="007A0AB9" w:rsidRPr="00387441">
        <w:t xml:space="preserve"> </w:t>
      </w:r>
      <w:r w:rsidR="004C0B93" w:rsidRPr="00387441">
        <w:t>aktivitāte</w:t>
      </w:r>
      <w:bookmarkEnd w:id="32"/>
    </w:p>
    <w:p w14:paraId="13EBFE0D" w14:textId="39DBCCBC" w:rsidR="00304C08" w:rsidRPr="00387441" w:rsidRDefault="00304C08" w:rsidP="000F192A">
      <w:pPr>
        <w:spacing w:after="120"/>
        <w:rPr>
          <w:b/>
          <w:lang w:val="lv-LV"/>
        </w:rPr>
      </w:pPr>
      <w:r w:rsidRPr="00387441">
        <w:rPr>
          <w:lang w:val="lv-LV"/>
        </w:rPr>
        <w:t xml:space="preserve">Viens no </w:t>
      </w:r>
      <w:proofErr w:type="spellStart"/>
      <w:r w:rsidRPr="00387441">
        <w:rPr>
          <w:lang w:val="lv-LV"/>
        </w:rPr>
        <w:t>prevencijas</w:t>
      </w:r>
      <w:proofErr w:type="spellEnd"/>
      <w:r w:rsidRPr="00387441">
        <w:rPr>
          <w:lang w:val="lv-LV"/>
        </w:rPr>
        <w:t xml:space="preserve"> pasākumiem, kas iekļauts AFCOS stratēģijā ir regulāras apmācības un pieredzes apmaiņas pasākumi</w:t>
      </w:r>
      <w:r w:rsidR="00600B5F" w:rsidRPr="00387441">
        <w:rPr>
          <w:lang w:val="lv-LV"/>
        </w:rPr>
        <w:t xml:space="preserve"> darbiniekiem, k</w:t>
      </w:r>
      <w:r w:rsidR="003A7497" w:rsidRPr="00387441">
        <w:rPr>
          <w:lang w:val="lv-LV"/>
        </w:rPr>
        <w:t>uri</w:t>
      </w:r>
      <w:r w:rsidR="00600B5F" w:rsidRPr="00387441">
        <w:rPr>
          <w:lang w:val="lv-LV"/>
        </w:rPr>
        <w:t xml:space="preserve"> iesaistīti ES finanšu interešu </w:t>
      </w:r>
      <w:r w:rsidR="00F22C47" w:rsidRPr="00387441">
        <w:rPr>
          <w:lang w:val="lv-LV"/>
        </w:rPr>
        <w:t xml:space="preserve">aizsardzībā. 2024. gadā AFCOS </w:t>
      </w:r>
      <w:r w:rsidR="009007D1" w:rsidRPr="00387441">
        <w:rPr>
          <w:lang w:val="lv-LV"/>
        </w:rPr>
        <w:t>organizēja ēnošanas aktivitāti</w:t>
      </w:r>
      <w:r w:rsidR="00C1503E" w:rsidRPr="00387441">
        <w:rPr>
          <w:lang w:val="lv-LV"/>
        </w:rPr>
        <w:t>.</w:t>
      </w:r>
      <w:r w:rsidR="009007D1" w:rsidRPr="00387441">
        <w:rPr>
          <w:lang w:val="lv-LV"/>
        </w:rPr>
        <w:t xml:space="preserve"> AFCOS sadarbības tīklā esošās iestādes piedāvā</w:t>
      </w:r>
      <w:r w:rsidR="000C44F5" w:rsidRPr="00387441">
        <w:rPr>
          <w:lang w:val="lv-LV"/>
        </w:rPr>
        <w:t>ja</w:t>
      </w:r>
      <w:r w:rsidR="009007D1" w:rsidRPr="00387441">
        <w:rPr>
          <w:lang w:val="lv-LV"/>
        </w:rPr>
        <w:t xml:space="preserve"> </w:t>
      </w:r>
      <w:r w:rsidR="000C44F5" w:rsidRPr="00387441">
        <w:rPr>
          <w:lang w:val="lv-LV"/>
        </w:rPr>
        <w:t>pasākumus</w:t>
      </w:r>
      <w:r w:rsidR="00DC4D20" w:rsidRPr="00387441">
        <w:rPr>
          <w:lang w:val="lv-LV"/>
        </w:rPr>
        <w:t xml:space="preserve"> (prezentācijas, diskusijas, pārbaudes uz vietas</w:t>
      </w:r>
      <w:r w:rsidR="00F12EDE" w:rsidRPr="00387441">
        <w:rPr>
          <w:lang w:val="lv-LV"/>
        </w:rPr>
        <w:t xml:space="preserve"> projektu īstenošanas vietās</w:t>
      </w:r>
      <w:r w:rsidR="008B297E" w:rsidRPr="00387441">
        <w:rPr>
          <w:lang w:val="lv-LV"/>
        </w:rPr>
        <w:t xml:space="preserve"> u.c.</w:t>
      </w:r>
      <w:r w:rsidR="00873A7C" w:rsidRPr="00387441">
        <w:rPr>
          <w:lang w:val="lv-LV"/>
        </w:rPr>
        <w:t xml:space="preserve">), kurus apmeklēja kolēģi no citām iestādēm. </w:t>
      </w:r>
      <w:r w:rsidR="00873A7C" w:rsidRPr="00387441">
        <w:rPr>
          <w:b/>
          <w:lang w:val="lv-LV"/>
        </w:rPr>
        <w:t xml:space="preserve">3 mēnešu periodā tika organizēti </w:t>
      </w:r>
      <w:r w:rsidR="00575572" w:rsidRPr="00387441">
        <w:rPr>
          <w:b/>
          <w:lang w:val="lv-LV"/>
        </w:rPr>
        <w:t>13 pasākumi, kurus apmeklēja 127 dalībnieki.</w:t>
      </w:r>
    </w:p>
    <w:p w14:paraId="51402164" w14:textId="6B784ED0" w:rsidR="00575572" w:rsidRPr="00387441" w:rsidRDefault="003E2A65" w:rsidP="000F192A">
      <w:pPr>
        <w:spacing w:after="120"/>
        <w:rPr>
          <w:lang w:val="lv-LV"/>
        </w:rPr>
      </w:pPr>
      <w:r w:rsidRPr="00387441">
        <w:rPr>
          <w:lang w:val="lv-LV"/>
        </w:rPr>
        <w:t xml:space="preserve">Pasākumu laikā dalībniekiem bija iespēja iepazīties ar LAD, KNAB, IDB, CFLA, IUB, FM </w:t>
      </w:r>
      <w:r w:rsidR="00447C86" w:rsidRPr="00387441">
        <w:rPr>
          <w:lang w:val="lv-LV"/>
        </w:rPr>
        <w:t>Revīzijas iestādes un FID darba specifiku un lomu ES finanšu interešu aizsardzībā.</w:t>
      </w:r>
      <w:r w:rsidR="00BA7ACC" w:rsidRPr="00387441">
        <w:rPr>
          <w:lang w:val="lv-LV"/>
        </w:rPr>
        <w:t xml:space="preserve"> Pasākumu dalībnieki </w:t>
      </w:r>
      <w:r w:rsidR="007C6E94" w:rsidRPr="00387441">
        <w:rPr>
          <w:lang w:val="lv-LV"/>
        </w:rPr>
        <w:t xml:space="preserve">AFCOS </w:t>
      </w:r>
      <w:r w:rsidR="007C6E94" w:rsidRPr="00387441">
        <w:rPr>
          <w:lang w:val="lv-LV"/>
        </w:rPr>
        <w:lastRenderedPageBreak/>
        <w:t>ēnošana</w:t>
      </w:r>
      <w:r w:rsidR="008A0680" w:rsidRPr="00387441">
        <w:rPr>
          <w:lang w:val="lv-LV"/>
        </w:rPr>
        <w:t>s</w:t>
      </w:r>
      <w:r w:rsidR="007C6E94" w:rsidRPr="00387441">
        <w:rPr>
          <w:lang w:val="lv-LV"/>
        </w:rPr>
        <w:t xml:space="preserve"> aktivitāti </w:t>
      </w:r>
      <w:r w:rsidR="000C40B0" w:rsidRPr="00387441">
        <w:rPr>
          <w:lang w:val="lv-LV"/>
        </w:rPr>
        <w:t xml:space="preserve">atzina </w:t>
      </w:r>
      <w:r w:rsidR="00AC351A" w:rsidRPr="00387441">
        <w:rPr>
          <w:lang w:val="lv-LV"/>
        </w:rPr>
        <w:t xml:space="preserve">kā </w:t>
      </w:r>
      <w:r w:rsidR="000C40B0" w:rsidRPr="00387441">
        <w:rPr>
          <w:lang w:val="lv-LV"/>
        </w:rPr>
        <w:t xml:space="preserve">veiksmīgu un lietderīgu </w:t>
      </w:r>
      <w:r w:rsidR="007C6E94" w:rsidRPr="00387441">
        <w:rPr>
          <w:lang w:val="lv-LV"/>
        </w:rPr>
        <w:t xml:space="preserve">ar </w:t>
      </w:r>
      <w:r w:rsidR="007C6E94" w:rsidRPr="00387441">
        <w:rPr>
          <w:b/>
          <w:lang w:val="lv-LV"/>
        </w:rPr>
        <w:t>vidējo vērtējumu 4</w:t>
      </w:r>
      <w:r w:rsidR="00402BE2">
        <w:rPr>
          <w:b/>
          <w:lang w:val="lv-LV"/>
        </w:rPr>
        <w:t>,</w:t>
      </w:r>
      <w:r w:rsidR="007C6E94" w:rsidRPr="00387441">
        <w:rPr>
          <w:b/>
          <w:lang w:val="lv-LV"/>
        </w:rPr>
        <w:t>81 (no 5)</w:t>
      </w:r>
      <w:r w:rsidR="009B7F25" w:rsidRPr="00BE0DBF">
        <w:rPr>
          <w:rStyle w:val="FootnoteReference"/>
          <w:b/>
          <w:lang w:val="lv-LV"/>
        </w:rPr>
        <w:footnoteReference w:id="4"/>
      </w:r>
      <w:r w:rsidR="009B7F25" w:rsidRPr="00387441">
        <w:rPr>
          <w:b/>
          <w:lang w:val="lv-LV"/>
        </w:rPr>
        <w:t xml:space="preserve">. </w:t>
      </w:r>
      <w:r w:rsidR="009B7F25" w:rsidRPr="00387441">
        <w:rPr>
          <w:lang w:val="lv-LV"/>
        </w:rPr>
        <w:t>Ņemot vērā minēto</w:t>
      </w:r>
      <w:r w:rsidR="006F1E7F" w:rsidRPr="00387441">
        <w:rPr>
          <w:lang w:val="lv-LV"/>
        </w:rPr>
        <w:t>,</w:t>
      </w:r>
      <w:r w:rsidR="009B7F25" w:rsidRPr="00387441">
        <w:rPr>
          <w:lang w:val="lv-LV"/>
        </w:rPr>
        <w:t xml:space="preserve"> AFCOS padomes sēdē</w:t>
      </w:r>
      <w:r w:rsidR="009B7F25" w:rsidRPr="00BE0DBF">
        <w:rPr>
          <w:rStyle w:val="FootnoteReference"/>
          <w:lang w:val="lv-LV"/>
        </w:rPr>
        <w:footnoteReference w:id="5"/>
      </w:r>
      <w:r w:rsidR="009B7F25" w:rsidRPr="00387441">
        <w:rPr>
          <w:lang w:val="lv-LV"/>
        </w:rPr>
        <w:t xml:space="preserve"> </w:t>
      </w:r>
      <w:r w:rsidR="009B7F25" w:rsidRPr="00387441" w:rsidDel="00BC0FCF">
        <w:rPr>
          <w:lang w:val="lv-LV"/>
        </w:rPr>
        <w:t xml:space="preserve">tika </w:t>
      </w:r>
      <w:r w:rsidR="009B7F25" w:rsidRPr="00387441" w:rsidDel="0092006B">
        <w:rPr>
          <w:lang w:val="lv-LV"/>
        </w:rPr>
        <w:t>nolemts</w:t>
      </w:r>
      <w:r w:rsidR="009B7F25" w:rsidRPr="00387441">
        <w:rPr>
          <w:lang w:val="lv-LV"/>
        </w:rPr>
        <w:t xml:space="preserve"> turpināt AFCOS ēnošanas aktivitāti arī 2025.</w:t>
      </w:r>
      <w:r w:rsidR="007E4514" w:rsidRPr="00387441">
        <w:rPr>
          <w:lang w:val="lv-LV"/>
        </w:rPr>
        <w:t xml:space="preserve"> </w:t>
      </w:r>
      <w:r w:rsidR="009B7F25" w:rsidRPr="00387441">
        <w:rPr>
          <w:lang w:val="lv-LV"/>
        </w:rPr>
        <w:t>gadā.</w:t>
      </w:r>
    </w:p>
    <w:p w14:paraId="01067A8A" w14:textId="77777777" w:rsidR="006F1E7F" w:rsidRPr="00387441" w:rsidRDefault="006F1E7F" w:rsidP="000F192A">
      <w:pPr>
        <w:spacing w:after="120"/>
        <w:rPr>
          <w:lang w:val="lv-LV"/>
        </w:rPr>
      </w:pPr>
    </w:p>
    <w:p w14:paraId="5135E43F" w14:textId="36B217CD" w:rsidR="00AD5AB1" w:rsidRPr="00387441" w:rsidRDefault="00AD5AB1" w:rsidP="004B4C65">
      <w:pPr>
        <w:pStyle w:val="Heading3"/>
      </w:pPr>
      <w:bookmarkStart w:id="33" w:name="_Toc192753095"/>
      <w:r w:rsidRPr="00387441">
        <w:t>A.</w:t>
      </w:r>
      <w:r w:rsidR="0068310D" w:rsidRPr="00387441">
        <w:t>4</w:t>
      </w:r>
      <w:r w:rsidRPr="00387441">
        <w:t>.</w:t>
      </w:r>
      <w:r w:rsidR="0098631B" w:rsidRPr="00387441">
        <w:t xml:space="preserve"> AFCOS stratēģijas pasākuma plāns</w:t>
      </w:r>
      <w:r w:rsidR="000A7B00" w:rsidRPr="00387441">
        <w:t xml:space="preserve"> - k</w:t>
      </w:r>
      <w:r w:rsidR="00BB3FD5" w:rsidRPr="00387441">
        <w:t>rimināltiesiskā regulējuma izvērtējums</w:t>
      </w:r>
      <w:bookmarkEnd w:id="33"/>
    </w:p>
    <w:p w14:paraId="436BA75D" w14:textId="77777777" w:rsidR="00DB1DD7" w:rsidRPr="00387441" w:rsidRDefault="002D2932" w:rsidP="00F632D2">
      <w:pPr>
        <w:pStyle w:val="Nodaasvirsraksts"/>
        <w:spacing w:before="0" w:after="120" w:line="276" w:lineRule="auto"/>
        <w:jc w:val="both"/>
        <w:rPr>
          <w:rFonts w:asciiTheme="minorHAnsi" w:hAnsiTheme="minorHAnsi"/>
          <w:b w:val="0"/>
          <w:bCs w:val="0"/>
          <w:color w:val="auto"/>
          <w:sz w:val="24"/>
          <w:szCs w:val="22"/>
        </w:rPr>
      </w:pPr>
      <w:r w:rsidRPr="00387441">
        <w:rPr>
          <w:rFonts w:asciiTheme="minorHAnsi" w:hAnsiTheme="minorHAnsi"/>
          <w:b w:val="0"/>
          <w:bCs w:val="0"/>
          <w:color w:val="auto"/>
          <w:sz w:val="24"/>
          <w:szCs w:val="22"/>
        </w:rPr>
        <w:t>Eiropas deleģētie prokurori Latvijā izvērtēja spēkā esošo krimināltiesisko regulējumu ar mērķi efektivizēt EPPO darbu Latvijā</w:t>
      </w:r>
      <w:r w:rsidR="003D5FA6" w:rsidRPr="00387441">
        <w:rPr>
          <w:rFonts w:asciiTheme="minorHAnsi" w:hAnsiTheme="minorHAnsi"/>
          <w:b w:val="0"/>
          <w:bCs w:val="0"/>
          <w:color w:val="auto"/>
          <w:sz w:val="24"/>
          <w:szCs w:val="22"/>
        </w:rPr>
        <w:t xml:space="preserve">, secinot, ka </w:t>
      </w:r>
      <w:r w:rsidR="003D5FA6" w:rsidRPr="00387441">
        <w:rPr>
          <w:rFonts w:asciiTheme="minorHAnsi" w:hAnsiTheme="minorHAnsi"/>
          <w:color w:val="auto"/>
          <w:sz w:val="24"/>
          <w:szCs w:val="22"/>
        </w:rPr>
        <w:t xml:space="preserve">šā brīža </w:t>
      </w:r>
      <w:r w:rsidR="006A07AB" w:rsidRPr="00387441">
        <w:rPr>
          <w:rFonts w:asciiTheme="minorHAnsi" w:hAnsiTheme="minorHAnsi"/>
          <w:color w:val="auto"/>
          <w:sz w:val="24"/>
          <w:szCs w:val="22"/>
        </w:rPr>
        <w:t>krimināltiesiskais regulējums</w:t>
      </w:r>
      <w:r w:rsidR="0087075F" w:rsidRPr="00387441">
        <w:rPr>
          <w:rFonts w:asciiTheme="minorHAnsi" w:hAnsiTheme="minorHAnsi"/>
          <w:color w:val="auto"/>
          <w:sz w:val="24"/>
          <w:szCs w:val="22"/>
        </w:rPr>
        <w:t xml:space="preserve"> pilnībā</w:t>
      </w:r>
      <w:r w:rsidR="006A07AB" w:rsidRPr="00387441">
        <w:rPr>
          <w:rFonts w:asciiTheme="minorHAnsi" w:hAnsiTheme="minorHAnsi"/>
          <w:color w:val="auto"/>
          <w:sz w:val="24"/>
          <w:szCs w:val="22"/>
        </w:rPr>
        <w:t xml:space="preserve"> neaptver </w:t>
      </w:r>
      <w:r w:rsidR="0087075F" w:rsidRPr="00387441">
        <w:rPr>
          <w:rFonts w:asciiTheme="minorHAnsi" w:hAnsiTheme="minorHAnsi"/>
          <w:color w:val="auto"/>
          <w:sz w:val="24"/>
          <w:szCs w:val="22"/>
        </w:rPr>
        <w:t>visus krāpšanas gadījumus, kādi tiek definēti PIF direktīvā</w:t>
      </w:r>
      <w:r w:rsidR="00DA14C4" w:rsidRPr="00387441">
        <w:rPr>
          <w:rFonts w:asciiTheme="minorHAnsi" w:hAnsiTheme="minorHAnsi"/>
          <w:b w:val="0"/>
          <w:bCs w:val="0"/>
          <w:color w:val="auto"/>
          <w:sz w:val="24"/>
          <w:szCs w:val="22"/>
        </w:rPr>
        <w:t xml:space="preserve">, līdz ar to </w:t>
      </w:r>
      <w:r w:rsidR="00D400DD" w:rsidRPr="00387441">
        <w:rPr>
          <w:rFonts w:asciiTheme="minorHAnsi" w:hAnsiTheme="minorHAnsi"/>
          <w:b w:val="0"/>
          <w:bCs w:val="0"/>
          <w:color w:val="auto"/>
          <w:sz w:val="24"/>
          <w:szCs w:val="22"/>
        </w:rPr>
        <w:t>konstatē</w:t>
      </w:r>
      <w:r w:rsidR="00DB1DD7" w:rsidRPr="00387441">
        <w:rPr>
          <w:rFonts w:asciiTheme="minorHAnsi" w:hAnsiTheme="minorHAnsi"/>
          <w:b w:val="0"/>
          <w:bCs w:val="0"/>
          <w:color w:val="auto"/>
          <w:sz w:val="24"/>
          <w:szCs w:val="22"/>
        </w:rPr>
        <w:t>ta</w:t>
      </w:r>
      <w:r w:rsidR="00BE1A0E" w:rsidRPr="00387441">
        <w:rPr>
          <w:rFonts w:asciiTheme="minorHAnsi" w:hAnsiTheme="minorHAnsi"/>
          <w:b w:val="0"/>
          <w:bCs w:val="0"/>
          <w:color w:val="auto"/>
          <w:sz w:val="24"/>
          <w:szCs w:val="22"/>
        </w:rPr>
        <w:t xml:space="preserve"> problemātik</w:t>
      </w:r>
      <w:r w:rsidR="00DB1DD7" w:rsidRPr="00387441">
        <w:rPr>
          <w:rFonts w:asciiTheme="minorHAnsi" w:hAnsiTheme="minorHAnsi"/>
          <w:b w:val="0"/>
          <w:bCs w:val="0"/>
          <w:color w:val="auto"/>
          <w:sz w:val="24"/>
          <w:szCs w:val="22"/>
        </w:rPr>
        <w:t>a</w:t>
      </w:r>
      <w:r w:rsidR="00CB6C91" w:rsidRPr="00387441">
        <w:rPr>
          <w:rFonts w:asciiTheme="minorHAnsi" w:hAnsiTheme="minorHAnsi"/>
          <w:b w:val="0"/>
          <w:bCs w:val="0"/>
          <w:color w:val="auto"/>
          <w:sz w:val="24"/>
          <w:szCs w:val="22"/>
        </w:rPr>
        <w:t xml:space="preserve"> noziedzīgu nodarījumu kvalifikācijā</w:t>
      </w:r>
      <w:r w:rsidR="00600095" w:rsidRPr="00387441">
        <w:rPr>
          <w:rFonts w:asciiTheme="minorHAnsi" w:hAnsiTheme="minorHAnsi"/>
          <w:b w:val="0"/>
          <w:bCs w:val="0"/>
          <w:color w:val="auto"/>
          <w:sz w:val="24"/>
          <w:szCs w:val="22"/>
        </w:rPr>
        <w:t>.</w:t>
      </w:r>
      <w:r w:rsidR="00B456AB" w:rsidRPr="00387441">
        <w:rPr>
          <w:rFonts w:asciiTheme="minorHAnsi" w:hAnsiTheme="minorHAnsi"/>
          <w:b w:val="0"/>
          <w:bCs w:val="0"/>
          <w:color w:val="auto"/>
          <w:sz w:val="24"/>
          <w:szCs w:val="22"/>
        </w:rPr>
        <w:t xml:space="preserve"> </w:t>
      </w:r>
    </w:p>
    <w:p w14:paraId="5D2BFB3F" w14:textId="20D62170" w:rsidR="00600095" w:rsidRPr="00387441" w:rsidRDefault="00B456AB" w:rsidP="00F632D2">
      <w:pPr>
        <w:pStyle w:val="Nodaasvirsraksts"/>
        <w:spacing w:before="0" w:after="120" w:line="276" w:lineRule="auto"/>
        <w:jc w:val="both"/>
        <w:rPr>
          <w:rFonts w:asciiTheme="minorHAnsi" w:hAnsiTheme="minorHAnsi"/>
          <w:color w:val="auto"/>
          <w:sz w:val="24"/>
          <w:szCs w:val="22"/>
        </w:rPr>
      </w:pPr>
      <w:r w:rsidRPr="00387441">
        <w:rPr>
          <w:rFonts w:asciiTheme="minorHAnsi" w:hAnsiTheme="minorHAnsi"/>
          <w:b w:val="0"/>
          <w:bCs w:val="0"/>
          <w:color w:val="auto"/>
          <w:sz w:val="24"/>
          <w:szCs w:val="22"/>
        </w:rPr>
        <w:t xml:space="preserve">EPPO </w:t>
      </w:r>
      <w:r w:rsidRPr="00387441">
        <w:rPr>
          <w:rFonts w:asciiTheme="minorHAnsi" w:hAnsiTheme="minorHAnsi"/>
          <w:b w:val="0"/>
          <w:color w:val="auto"/>
          <w:sz w:val="24"/>
          <w:szCs w:val="22"/>
        </w:rPr>
        <w:t>kompetencē</w:t>
      </w:r>
      <w:r w:rsidRPr="00387441">
        <w:rPr>
          <w:rFonts w:asciiTheme="minorHAnsi" w:hAnsiTheme="minorHAnsi"/>
          <w:b w:val="0"/>
          <w:bCs w:val="0"/>
          <w:color w:val="auto"/>
          <w:sz w:val="24"/>
          <w:szCs w:val="22"/>
        </w:rPr>
        <w:t xml:space="preserve"> ir vairāki Krimināllikuma panti, tostarp, </w:t>
      </w:r>
      <w:r w:rsidRPr="00387441">
        <w:rPr>
          <w:rFonts w:asciiTheme="minorHAnsi" w:hAnsiTheme="minorHAnsi"/>
          <w:color w:val="auto"/>
          <w:sz w:val="24"/>
          <w:szCs w:val="22"/>
        </w:rPr>
        <w:t>177. pants un 210. pants</w:t>
      </w:r>
      <w:r w:rsidR="00DB1DD7" w:rsidRPr="00387441">
        <w:rPr>
          <w:rStyle w:val="FootnoteReference"/>
          <w:rFonts w:asciiTheme="minorHAnsi" w:hAnsiTheme="minorHAnsi"/>
          <w:color w:val="auto"/>
          <w:sz w:val="24"/>
          <w:szCs w:val="22"/>
        </w:rPr>
        <w:footnoteReference w:id="6"/>
      </w:r>
      <w:r w:rsidRPr="00387441">
        <w:rPr>
          <w:rFonts w:asciiTheme="minorHAnsi" w:hAnsiTheme="minorHAnsi"/>
          <w:b w:val="0"/>
          <w:bCs w:val="0"/>
          <w:color w:val="auto"/>
          <w:sz w:val="24"/>
          <w:szCs w:val="22"/>
        </w:rPr>
        <w:t xml:space="preserve">. </w:t>
      </w:r>
      <w:r w:rsidR="00351CB1" w:rsidRPr="00387441">
        <w:rPr>
          <w:rFonts w:asciiTheme="minorHAnsi" w:hAnsiTheme="minorHAnsi"/>
          <w:b w:val="0"/>
          <w:bCs w:val="0"/>
          <w:color w:val="auto"/>
          <w:sz w:val="24"/>
          <w:szCs w:val="22"/>
        </w:rPr>
        <w:t>P</w:t>
      </w:r>
      <w:r w:rsidRPr="00387441">
        <w:rPr>
          <w:rFonts w:asciiTheme="minorHAnsi" w:hAnsiTheme="minorHAnsi"/>
          <w:b w:val="0"/>
          <w:bCs w:val="0"/>
          <w:color w:val="auto"/>
          <w:sz w:val="24"/>
          <w:szCs w:val="22"/>
        </w:rPr>
        <w:t xml:space="preserve">amatojoties tieši uz šiem diviem Krimināllikuma pantiem, </w:t>
      </w:r>
      <w:r w:rsidRPr="00387441">
        <w:rPr>
          <w:rFonts w:asciiTheme="minorHAnsi" w:hAnsiTheme="minorHAnsi"/>
          <w:color w:val="auto"/>
          <w:sz w:val="24"/>
          <w:szCs w:val="22"/>
        </w:rPr>
        <w:t xml:space="preserve">visbiežāk tiek uzsāktas EPPO </w:t>
      </w:r>
      <w:r w:rsidR="00653138" w:rsidRPr="00387441">
        <w:rPr>
          <w:rFonts w:asciiTheme="minorHAnsi" w:hAnsiTheme="minorHAnsi"/>
          <w:color w:val="auto"/>
          <w:sz w:val="24"/>
          <w:szCs w:val="22"/>
        </w:rPr>
        <w:t>uzraudzībā</w:t>
      </w:r>
      <w:r w:rsidRPr="00387441">
        <w:rPr>
          <w:rFonts w:asciiTheme="minorHAnsi" w:hAnsiTheme="minorHAnsi"/>
          <w:color w:val="auto"/>
          <w:sz w:val="24"/>
          <w:szCs w:val="22"/>
        </w:rPr>
        <w:t xml:space="preserve"> esošās</w:t>
      </w:r>
      <w:r w:rsidR="0067524C" w:rsidRPr="00387441">
        <w:rPr>
          <w:rFonts w:asciiTheme="minorHAnsi" w:hAnsiTheme="minorHAnsi"/>
          <w:color w:val="auto"/>
          <w:sz w:val="24"/>
          <w:szCs w:val="22"/>
        </w:rPr>
        <w:t xml:space="preserve"> izmeklēšanas</w:t>
      </w:r>
      <w:r w:rsidRPr="00387441">
        <w:rPr>
          <w:rFonts w:asciiTheme="minorHAnsi" w:hAnsiTheme="minorHAnsi"/>
          <w:color w:val="auto"/>
          <w:sz w:val="24"/>
          <w:szCs w:val="22"/>
        </w:rPr>
        <w:t xml:space="preserve"> lietas Latvijā.</w:t>
      </w:r>
    </w:p>
    <w:p w14:paraId="5AE7D7FF" w14:textId="0A3233FE" w:rsidR="001E36AD" w:rsidRPr="00387441" w:rsidRDefault="00EF359A" w:rsidP="00F632D2">
      <w:pPr>
        <w:pStyle w:val="Nodaasvirsraksts"/>
        <w:spacing w:before="0" w:after="120" w:line="276" w:lineRule="auto"/>
        <w:jc w:val="both"/>
        <w:rPr>
          <w:rFonts w:asciiTheme="minorHAnsi" w:hAnsiTheme="minorHAnsi"/>
          <w:b w:val="0"/>
          <w:bCs w:val="0"/>
          <w:color w:val="auto"/>
          <w:sz w:val="24"/>
          <w:szCs w:val="22"/>
        </w:rPr>
      </w:pPr>
      <w:r w:rsidRPr="00387441">
        <w:rPr>
          <w:rFonts w:asciiTheme="minorHAnsi" w:hAnsiTheme="minorHAnsi"/>
          <w:b w:val="0"/>
          <w:bCs w:val="0"/>
          <w:color w:val="auto"/>
          <w:sz w:val="24"/>
          <w:szCs w:val="22"/>
        </w:rPr>
        <w:t xml:space="preserve">Izvērtējumā secināts, ka </w:t>
      </w:r>
      <w:r w:rsidR="0041420F" w:rsidRPr="00387441">
        <w:rPr>
          <w:rFonts w:asciiTheme="minorHAnsi" w:hAnsiTheme="minorHAnsi"/>
          <w:b w:val="0"/>
          <w:bCs w:val="0"/>
          <w:color w:val="auto"/>
          <w:sz w:val="24"/>
          <w:szCs w:val="22"/>
        </w:rPr>
        <w:t>Krimināllikuma 2</w:t>
      </w:r>
      <w:r w:rsidR="00D55C64" w:rsidRPr="00387441">
        <w:rPr>
          <w:rFonts w:asciiTheme="minorHAnsi" w:hAnsiTheme="minorHAnsi"/>
          <w:b w:val="0"/>
          <w:bCs w:val="0"/>
          <w:color w:val="auto"/>
          <w:sz w:val="24"/>
          <w:szCs w:val="22"/>
        </w:rPr>
        <w:t>10</w:t>
      </w:r>
      <w:r w:rsidR="0041420F" w:rsidRPr="00387441">
        <w:rPr>
          <w:rFonts w:asciiTheme="minorHAnsi" w:hAnsiTheme="minorHAnsi"/>
          <w:b w:val="0"/>
          <w:bCs w:val="0"/>
          <w:color w:val="auto"/>
          <w:sz w:val="24"/>
          <w:szCs w:val="22"/>
        </w:rPr>
        <w:t>. pant</w:t>
      </w:r>
      <w:r w:rsidR="00B856EF" w:rsidRPr="00387441">
        <w:rPr>
          <w:rFonts w:asciiTheme="minorHAnsi" w:hAnsiTheme="minorHAnsi"/>
          <w:b w:val="0"/>
          <w:bCs w:val="0"/>
          <w:color w:val="auto"/>
          <w:sz w:val="24"/>
          <w:szCs w:val="22"/>
        </w:rPr>
        <w:t xml:space="preserve">a objektīvā puse paredz aktīvu darbību </w:t>
      </w:r>
      <w:r w:rsidR="00F37695" w:rsidRPr="00387441">
        <w:rPr>
          <w:rFonts w:asciiTheme="minorHAnsi" w:hAnsiTheme="minorHAnsi"/>
          <w:b w:val="0"/>
          <w:bCs w:val="0"/>
          <w:color w:val="auto"/>
          <w:sz w:val="24"/>
          <w:szCs w:val="22"/>
        </w:rPr>
        <w:t xml:space="preserve">– apzināti nepatiesu ziņu sniegšanu, taču </w:t>
      </w:r>
      <w:r w:rsidR="00F37695" w:rsidRPr="00387441">
        <w:rPr>
          <w:rFonts w:asciiTheme="minorHAnsi" w:hAnsiTheme="minorHAnsi"/>
          <w:color w:val="auto"/>
          <w:sz w:val="24"/>
          <w:szCs w:val="22"/>
        </w:rPr>
        <w:t>neaptver bezdarbību – informācijas neizpaušanu</w:t>
      </w:r>
      <w:r w:rsidR="00FC5514" w:rsidRPr="00387441">
        <w:rPr>
          <w:rFonts w:asciiTheme="minorHAnsi" w:hAnsiTheme="minorHAnsi"/>
          <w:color w:val="auto"/>
          <w:sz w:val="24"/>
          <w:szCs w:val="22"/>
        </w:rPr>
        <w:t xml:space="preserve"> </w:t>
      </w:r>
      <w:r w:rsidR="00F37695" w:rsidRPr="00387441">
        <w:rPr>
          <w:rFonts w:asciiTheme="minorHAnsi" w:hAnsiTheme="minorHAnsi"/>
          <w:color w:val="auto"/>
          <w:sz w:val="24"/>
          <w:szCs w:val="22"/>
        </w:rPr>
        <w:t>/ noklusēšanu</w:t>
      </w:r>
      <w:r w:rsidR="00F37695" w:rsidRPr="00387441">
        <w:rPr>
          <w:rFonts w:asciiTheme="minorHAnsi" w:hAnsiTheme="minorHAnsi"/>
          <w:b w:val="0"/>
          <w:bCs w:val="0"/>
          <w:color w:val="auto"/>
          <w:sz w:val="24"/>
          <w:szCs w:val="22"/>
        </w:rPr>
        <w:t>, kas</w:t>
      </w:r>
      <w:r w:rsidR="00093328" w:rsidRPr="00387441">
        <w:rPr>
          <w:rFonts w:asciiTheme="minorHAnsi" w:hAnsiTheme="minorHAnsi"/>
          <w:b w:val="0"/>
          <w:bCs w:val="0"/>
          <w:color w:val="auto"/>
          <w:sz w:val="24"/>
          <w:szCs w:val="22"/>
        </w:rPr>
        <w:t xml:space="preserve">, savukārt, </w:t>
      </w:r>
      <w:r w:rsidR="006809F1" w:rsidRPr="00387441">
        <w:rPr>
          <w:rFonts w:asciiTheme="minorHAnsi" w:hAnsiTheme="minorHAnsi"/>
          <w:b w:val="0"/>
          <w:bCs w:val="0"/>
          <w:color w:val="auto"/>
          <w:sz w:val="24"/>
          <w:szCs w:val="22"/>
        </w:rPr>
        <w:t xml:space="preserve">neatbilst PIF direktīvas tvērumam. </w:t>
      </w:r>
    </w:p>
    <w:p w14:paraId="075F0703" w14:textId="6A81FDAE" w:rsidR="00C370E1" w:rsidRPr="00387441" w:rsidRDefault="001E36AD" w:rsidP="00F632D2">
      <w:pPr>
        <w:pStyle w:val="Nodaasvirsraksts"/>
        <w:spacing w:before="0" w:after="120" w:line="276" w:lineRule="auto"/>
        <w:jc w:val="both"/>
        <w:rPr>
          <w:rFonts w:asciiTheme="minorHAnsi" w:hAnsiTheme="minorHAnsi"/>
          <w:color w:val="auto"/>
          <w:sz w:val="24"/>
          <w:szCs w:val="22"/>
        </w:rPr>
      </w:pPr>
      <w:r w:rsidRPr="00387441">
        <w:rPr>
          <w:rFonts w:asciiTheme="minorHAnsi" w:hAnsiTheme="minorHAnsi"/>
          <w:b w:val="0"/>
          <w:bCs w:val="0"/>
          <w:color w:val="auto"/>
          <w:sz w:val="24"/>
          <w:szCs w:val="22"/>
        </w:rPr>
        <w:t>Tāpat</w:t>
      </w:r>
      <w:r w:rsidR="00EF359A" w:rsidRPr="00387441">
        <w:rPr>
          <w:rFonts w:asciiTheme="minorHAnsi" w:hAnsiTheme="minorHAnsi"/>
          <w:b w:val="0"/>
          <w:bCs w:val="0"/>
          <w:color w:val="auto"/>
          <w:sz w:val="24"/>
          <w:szCs w:val="22"/>
        </w:rPr>
        <w:t xml:space="preserve"> </w:t>
      </w:r>
      <w:r w:rsidR="00C370E1" w:rsidRPr="00387441">
        <w:rPr>
          <w:rFonts w:asciiTheme="minorHAnsi" w:hAnsiTheme="minorHAnsi"/>
          <w:b w:val="0"/>
          <w:bCs w:val="0"/>
          <w:color w:val="auto"/>
          <w:sz w:val="24"/>
          <w:szCs w:val="22"/>
        </w:rPr>
        <w:t>PIF direktīva</w:t>
      </w:r>
      <w:r w:rsidR="00C51D19" w:rsidRPr="00387441">
        <w:rPr>
          <w:rStyle w:val="FootnoteReference"/>
          <w:rFonts w:asciiTheme="minorHAnsi" w:hAnsiTheme="minorHAnsi"/>
          <w:b w:val="0"/>
          <w:bCs w:val="0"/>
          <w:color w:val="auto"/>
          <w:sz w:val="24"/>
          <w:szCs w:val="22"/>
        </w:rPr>
        <w:footnoteReference w:id="7"/>
      </w:r>
      <w:r w:rsidR="00C370E1" w:rsidRPr="00387441">
        <w:rPr>
          <w:rFonts w:asciiTheme="minorHAnsi" w:hAnsiTheme="minorHAnsi"/>
          <w:b w:val="0"/>
          <w:bCs w:val="0"/>
          <w:color w:val="auto"/>
          <w:sz w:val="24"/>
          <w:szCs w:val="22"/>
        </w:rPr>
        <w:t xml:space="preserve"> paredz </w:t>
      </w:r>
      <w:r w:rsidR="00C370E1" w:rsidRPr="00387441">
        <w:rPr>
          <w:rFonts w:asciiTheme="minorHAnsi" w:hAnsiTheme="minorHAnsi"/>
          <w:color w:val="auto"/>
          <w:sz w:val="24"/>
          <w:szCs w:val="22"/>
        </w:rPr>
        <w:t>līdzekļu vai aktīvu nepareizu izmantošanu, kas neatbilst mērķiem, kuriem tie tika sākotnēji piešķirti</w:t>
      </w:r>
      <w:r w:rsidR="00C370E1" w:rsidRPr="00387441">
        <w:rPr>
          <w:rFonts w:asciiTheme="minorHAnsi" w:hAnsiTheme="minorHAnsi"/>
          <w:b w:val="0"/>
          <w:bCs w:val="0"/>
          <w:color w:val="auto"/>
          <w:sz w:val="24"/>
          <w:szCs w:val="22"/>
        </w:rPr>
        <w:t xml:space="preserve">. </w:t>
      </w:r>
      <w:r w:rsidR="00C00C32" w:rsidRPr="00387441">
        <w:rPr>
          <w:rFonts w:asciiTheme="minorHAnsi" w:hAnsiTheme="minorHAnsi"/>
          <w:b w:val="0"/>
          <w:bCs w:val="0"/>
          <w:color w:val="auto"/>
          <w:sz w:val="24"/>
          <w:szCs w:val="22"/>
        </w:rPr>
        <w:t>Š</w:t>
      </w:r>
      <w:r w:rsidR="00C370E1" w:rsidRPr="00387441">
        <w:rPr>
          <w:rFonts w:asciiTheme="minorHAnsi" w:hAnsiTheme="minorHAnsi"/>
          <w:b w:val="0"/>
          <w:bCs w:val="0"/>
          <w:color w:val="auto"/>
          <w:sz w:val="24"/>
          <w:szCs w:val="22"/>
        </w:rPr>
        <w:t>ādas darbības</w:t>
      </w:r>
      <w:r w:rsidRPr="00387441">
        <w:rPr>
          <w:rFonts w:asciiTheme="minorHAnsi" w:hAnsiTheme="minorHAnsi"/>
          <w:b w:val="0"/>
          <w:bCs w:val="0"/>
          <w:color w:val="auto"/>
          <w:sz w:val="24"/>
          <w:szCs w:val="22"/>
        </w:rPr>
        <w:t xml:space="preserve"> </w:t>
      </w:r>
      <w:r w:rsidR="00C00C32" w:rsidRPr="00387441">
        <w:rPr>
          <w:rFonts w:asciiTheme="minorHAnsi" w:hAnsiTheme="minorHAnsi"/>
          <w:b w:val="0"/>
          <w:bCs w:val="0"/>
          <w:color w:val="auto"/>
          <w:sz w:val="24"/>
          <w:szCs w:val="22"/>
        </w:rPr>
        <w:t xml:space="preserve">neaptver arī </w:t>
      </w:r>
      <w:r w:rsidR="00C370E1" w:rsidRPr="00387441">
        <w:rPr>
          <w:rFonts w:asciiTheme="minorHAnsi" w:hAnsiTheme="minorHAnsi"/>
          <w:b w:val="0"/>
          <w:bCs w:val="0"/>
          <w:color w:val="auto"/>
          <w:sz w:val="24"/>
          <w:szCs w:val="22"/>
        </w:rPr>
        <w:t xml:space="preserve">Krimināllikuma 210. pants, </w:t>
      </w:r>
      <w:r w:rsidR="00C370E1" w:rsidRPr="00387441">
        <w:rPr>
          <w:rFonts w:asciiTheme="minorHAnsi" w:hAnsiTheme="minorHAnsi"/>
          <w:color w:val="auto"/>
          <w:sz w:val="24"/>
          <w:szCs w:val="22"/>
        </w:rPr>
        <w:t>neaptver arī Krimināllikuma 177. pants, ja šīs darbības izdarītas pēc projekta īstenošanas</w:t>
      </w:r>
      <w:r w:rsidR="00EA0B8E" w:rsidRPr="00387441">
        <w:rPr>
          <w:rFonts w:asciiTheme="minorHAnsi" w:hAnsiTheme="minorHAnsi"/>
          <w:b w:val="0"/>
          <w:bCs w:val="0"/>
          <w:color w:val="auto"/>
          <w:sz w:val="24"/>
          <w:szCs w:val="22"/>
        </w:rPr>
        <w:t xml:space="preserve">, šādās situācijās EPPO zaudē savu </w:t>
      </w:r>
      <w:proofErr w:type="spellStart"/>
      <w:r w:rsidR="00EA0B8E" w:rsidRPr="00387441">
        <w:rPr>
          <w:rFonts w:asciiTheme="minorHAnsi" w:hAnsiTheme="minorHAnsi"/>
          <w:b w:val="0"/>
          <w:bCs w:val="0"/>
          <w:color w:val="auto"/>
          <w:sz w:val="24"/>
          <w:szCs w:val="22"/>
        </w:rPr>
        <w:t>materiāltiesi</w:t>
      </w:r>
      <w:r w:rsidR="00DA6F9F" w:rsidRPr="00387441">
        <w:rPr>
          <w:rFonts w:asciiTheme="minorHAnsi" w:hAnsiTheme="minorHAnsi"/>
          <w:b w:val="0"/>
          <w:bCs w:val="0"/>
          <w:color w:val="auto"/>
          <w:sz w:val="24"/>
          <w:szCs w:val="22"/>
        </w:rPr>
        <w:t>s</w:t>
      </w:r>
      <w:r w:rsidR="00EA0B8E" w:rsidRPr="00387441">
        <w:rPr>
          <w:rFonts w:asciiTheme="minorHAnsi" w:hAnsiTheme="minorHAnsi"/>
          <w:b w:val="0"/>
          <w:bCs w:val="0"/>
          <w:color w:val="auto"/>
          <w:sz w:val="24"/>
          <w:szCs w:val="22"/>
        </w:rPr>
        <w:t>ko</w:t>
      </w:r>
      <w:proofErr w:type="spellEnd"/>
      <w:r w:rsidR="00EA0B8E" w:rsidRPr="00387441">
        <w:rPr>
          <w:rFonts w:asciiTheme="minorHAnsi" w:hAnsiTheme="minorHAnsi"/>
          <w:b w:val="0"/>
          <w:bCs w:val="0"/>
          <w:color w:val="auto"/>
          <w:sz w:val="24"/>
          <w:szCs w:val="22"/>
        </w:rPr>
        <w:t xml:space="preserve"> kompetenci.</w:t>
      </w:r>
      <w:r w:rsidR="001F5677" w:rsidRPr="00387441">
        <w:rPr>
          <w:rFonts w:asciiTheme="minorHAnsi" w:hAnsiTheme="minorHAnsi"/>
          <w:b w:val="0"/>
          <w:bCs w:val="0"/>
          <w:color w:val="auto"/>
          <w:sz w:val="24"/>
          <w:szCs w:val="22"/>
        </w:rPr>
        <w:t xml:space="preserve"> </w:t>
      </w:r>
      <w:r w:rsidR="00EA0B8E" w:rsidRPr="00387441">
        <w:rPr>
          <w:rFonts w:asciiTheme="minorHAnsi" w:hAnsiTheme="minorHAnsi"/>
          <w:b w:val="0"/>
          <w:bCs w:val="0"/>
          <w:color w:val="auto"/>
          <w:sz w:val="24"/>
          <w:szCs w:val="22"/>
        </w:rPr>
        <w:t>Savukārt, ja šād</w:t>
      </w:r>
      <w:r w:rsidR="009B21B0">
        <w:rPr>
          <w:rFonts w:asciiTheme="minorHAnsi" w:hAnsiTheme="minorHAnsi"/>
          <w:b w:val="0"/>
          <w:bCs w:val="0"/>
          <w:color w:val="auto"/>
          <w:sz w:val="24"/>
          <w:szCs w:val="22"/>
        </w:rPr>
        <w:t>s</w:t>
      </w:r>
      <w:r w:rsidR="00EA0B8E" w:rsidRPr="00387441">
        <w:rPr>
          <w:rFonts w:asciiTheme="minorHAnsi" w:hAnsiTheme="minorHAnsi"/>
          <w:b w:val="0"/>
          <w:bCs w:val="0"/>
          <w:color w:val="auto"/>
          <w:sz w:val="24"/>
          <w:szCs w:val="22"/>
        </w:rPr>
        <w:t xml:space="preserve"> nodarījum</w:t>
      </w:r>
      <w:r w:rsidR="009B21B0">
        <w:rPr>
          <w:rFonts w:asciiTheme="minorHAnsi" w:hAnsiTheme="minorHAnsi"/>
          <w:b w:val="0"/>
          <w:bCs w:val="0"/>
          <w:color w:val="auto"/>
          <w:sz w:val="24"/>
          <w:szCs w:val="22"/>
        </w:rPr>
        <w:t>s</w:t>
      </w:r>
      <w:r w:rsidR="00EA0B8E" w:rsidRPr="00387441">
        <w:rPr>
          <w:rFonts w:asciiTheme="minorHAnsi" w:hAnsiTheme="minorHAnsi"/>
          <w:b w:val="0"/>
          <w:bCs w:val="0"/>
          <w:color w:val="auto"/>
          <w:sz w:val="24"/>
          <w:szCs w:val="22"/>
        </w:rPr>
        <w:t xml:space="preserve"> </w:t>
      </w:r>
      <w:r w:rsidR="009B21B0">
        <w:rPr>
          <w:rFonts w:asciiTheme="minorHAnsi" w:hAnsiTheme="minorHAnsi"/>
          <w:b w:val="0"/>
          <w:bCs w:val="0"/>
          <w:color w:val="auto"/>
          <w:sz w:val="24"/>
          <w:szCs w:val="22"/>
        </w:rPr>
        <w:t xml:space="preserve">tiktu </w:t>
      </w:r>
      <w:r w:rsidR="00EA0B8E" w:rsidRPr="00387441">
        <w:rPr>
          <w:rFonts w:asciiTheme="minorHAnsi" w:hAnsiTheme="minorHAnsi"/>
          <w:b w:val="0"/>
          <w:bCs w:val="0"/>
          <w:color w:val="auto"/>
          <w:sz w:val="24"/>
          <w:szCs w:val="22"/>
        </w:rPr>
        <w:t>kvalificēt</w:t>
      </w:r>
      <w:r w:rsidR="009B21B0">
        <w:rPr>
          <w:rFonts w:asciiTheme="minorHAnsi" w:hAnsiTheme="minorHAnsi"/>
          <w:b w:val="0"/>
          <w:bCs w:val="0"/>
          <w:color w:val="auto"/>
          <w:sz w:val="24"/>
          <w:szCs w:val="22"/>
        </w:rPr>
        <w:t>s</w:t>
      </w:r>
      <w:r w:rsidR="00EA0B8E" w:rsidRPr="00387441">
        <w:rPr>
          <w:rFonts w:asciiTheme="minorHAnsi" w:hAnsiTheme="minorHAnsi"/>
          <w:b w:val="0"/>
          <w:bCs w:val="0"/>
          <w:color w:val="auto"/>
          <w:sz w:val="24"/>
          <w:szCs w:val="22"/>
        </w:rPr>
        <w:t xml:space="preserve"> saskaņā ar Krimināllikuma 220. pantu jeb mantas nobēdzināšanu, tad </w:t>
      </w:r>
      <w:r w:rsidR="00EA0B8E" w:rsidRPr="00387441">
        <w:rPr>
          <w:rFonts w:asciiTheme="minorHAnsi" w:hAnsiTheme="minorHAnsi"/>
          <w:color w:val="auto"/>
          <w:sz w:val="24"/>
          <w:szCs w:val="22"/>
        </w:rPr>
        <w:t>minētā panta sankcija neatbilst PIF direktīvas</w:t>
      </w:r>
      <w:r w:rsidR="0036089A" w:rsidRPr="00387441">
        <w:rPr>
          <w:rStyle w:val="FootnoteReference"/>
          <w:rFonts w:asciiTheme="minorHAnsi" w:hAnsiTheme="minorHAnsi"/>
          <w:color w:val="auto"/>
          <w:sz w:val="24"/>
          <w:szCs w:val="22"/>
        </w:rPr>
        <w:footnoteReference w:id="8"/>
      </w:r>
      <w:r w:rsidR="00EA0B8E" w:rsidRPr="00387441">
        <w:rPr>
          <w:rFonts w:asciiTheme="minorHAnsi" w:hAnsiTheme="minorHAnsi"/>
          <w:color w:val="auto"/>
          <w:sz w:val="24"/>
          <w:szCs w:val="22"/>
        </w:rPr>
        <w:t xml:space="preserve"> prasībām.</w:t>
      </w:r>
    </w:p>
    <w:p w14:paraId="7F2675E5" w14:textId="4CF6A4C3" w:rsidR="00C273F9" w:rsidRPr="00C36322" w:rsidRDefault="00C273F9" w:rsidP="00F632D2">
      <w:pPr>
        <w:pStyle w:val="Nodaasvirsraksts"/>
        <w:spacing w:before="0" w:after="120" w:line="276" w:lineRule="auto"/>
        <w:jc w:val="both"/>
        <w:rPr>
          <w:rFonts w:asciiTheme="minorHAnsi" w:hAnsiTheme="minorHAnsi"/>
          <w:b w:val="0"/>
          <w:bCs w:val="0"/>
          <w:color w:val="auto"/>
          <w:sz w:val="24"/>
          <w:szCs w:val="22"/>
        </w:rPr>
      </w:pPr>
      <w:r w:rsidRPr="00387441">
        <w:rPr>
          <w:rFonts w:asciiTheme="minorHAnsi" w:hAnsiTheme="minorHAnsi"/>
          <w:b w:val="0"/>
          <w:bCs w:val="0"/>
          <w:color w:val="auto"/>
          <w:sz w:val="24"/>
          <w:szCs w:val="22"/>
        </w:rPr>
        <w:t xml:space="preserve">Turklāt EPPO secināja, ka </w:t>
      </w:r>
      <w:r w:rsidR="0024466B" w:rsidRPr="00387441">
        <w:rPr>
          <w:rFonts w:asciiTheme="minorHAnsi" w:hAnsiTheme="minorHAnsi"/>
          <w:b w:val="0"/>
          <w:bCs w:val="0"/>
          <w:color w:val="auto"/>
          <w:sz w:val="24"/>
          <w:szCs w:val="22"/>
        </w:rPr>
        <w:t xml:space="preserve">Krimināllikuma 210.pantā minētie termini </w:t>
      </w:r>
      <w:r w:rsidR="0024466B" w:rsidRPr="00387441">
        <w:rPr>
          <w:rFonts w:asciiTheme="minorHAnsi" w:hAnsiTheme="minorHAnsi"/>
          <w:i/>
          <w:color w:val="auto"/>
          <w:sz w:val="24"/>
          <w:szCs w:val="22"/>
        </w:rPr>
        <w:t>subsīdijas</w:t>
      </w:r>
      <w:r w:rsidR="0024466B" w:rsidRPr="00387441">
        <w:rPr>
          <w:rFonts w:asciiTheme="minorHAnsi" w:hAnsiTheme="minorHAnsi"/>
          <w:color w:val="auto"/>
          <w:sz w:val="24"/>
          <w:szCs w:val="22"/>
        </w:rPr>
        <w:t xml:space="preserve"> un </w:t>
      </w:r>
      <w:r w:rsidR="0024466B" w:rsidRPr="00387441">
        <w:rPr>
          <w:rFonts w:asciiTheme="minorHAnsi" w:hAnsiTheme="minorHAnsi"/>
          <w:i/>
          <w:color w:val="auto"/>
          <w:sz w:val="24"/>
          <w:szCs w:val="22"/>
        </w:rPr>
        <w:t>dotācijas</w:t>
      </w:r>
      <w:r w:rsidR="0024466B" w:rsidRPr="00387441">
        <w:rPr>
          <w:rFonts w:asciiTheme="minorHAnsi" w:hAnsiTheme="minorHAnsi"/>
          <w:color w:val="auto"/>
          <w:sz w:val="24"/>
          <w:szCs w:val="22"/>
        </w:rPr>
        <w:t xml:space="preserve"> var nea</w:t>
      </w:r>
      <w:r w:rsidR="00595DDD" w:rsidRPr="00387441">
        <w:rPr>
          <w:rFonts w:asciiTheme="minorHAnsi" w:hAnsiTheme="minorHAnsi"/>
          <w:color w:val="auto"/>
          <w:sz w:val="24"/>
          <w:szCs w:val="22"/>
        </w:rPr>
        <w:t>p</w:t>
      </w:r>
      <w:r w:rsidR="0024466B" w:rsidRPr="00387441">
        <w:rPr>
          <w:rFonts w:asciiTheme="minorHAnsi" w:hAnsiTheme="minorHAnsi"/>
          <w:color w:val="auto"/>
          <w:sz w:val="24"/>
          <w:szCs w:val="22"/>
        </w:rPr>
        <w:t>tvert visus iespējamos Eiropas Savienības finansējumu veidus</w:t>
      </w:r>
      <w:r w:rsidR="0024466B" w:rsidRPr="00387441">
        <w:rPr>
          <w:rFonts w:asciiTheme="minorHAnsi" w:hAnsiTheme="minorHAnsi"/>
          <w:b w:val="0"/>
          <w:bCs w:val="0"/>
          <w:color w:val="auto"/>
          <w:sz w:val="24"/>
          <w:szCs w:val="22"/>
        </w:rPr>
        <w:t xml:space="preserve">, kā piemēram, finanšu instrumentus. Tāpēc nepieciešama padziļinātāka ES finansējuma veidus reglamentējošo normatīvo aktu </w:t>
      </w:r>
      <w:r w:rsidR="0024466B" w:rsidRPr="00C36322">
        <w:rPr>
          <w:rFonts w:asciiTheme="minorHAnsi" w:hAnsiTheme="minorHAnsi"/>
          <w:b w:val="0"/>
          <w:bCs w:val="0"/>
          <w:color w:val="auto"/>
          <w:sz w:val="24"/>
          <w:szCs w:val="22"/>
        </w:rPr>
        <w:t>izpēte</w:t>
      </w:r>
      <w:r w:rsidR="005371FC" w:rsidRPr="00C36322">
        <w:rPr>
          <w:rFonts w:asciiTheme="minorHAnsi" w:hAnsiTheme="minorHAnsi"/>
          <w:b w:val="0"/>
          <w:bCs w:val="0"/>
          <w:color w:val="auto"/>
          <w:sz w:val="24"/>
          <w:szCs w:val="22"/>
        </w:rPr>
        <w:t>.</w:t>
      </w:r>
    </w:p>
    <w:p w14:paraId="680D8064" w14:textId="5AF0F2DE" w:rsidR="00C36322" w:rsidRPr="00B246B4" w:rsidRDefault="00EE06B6" w:rsidP="00C36322">
      <w:pPr>
        <w:ind w:firstLine="709"/>
        <w:rPr>
          <w:szCs w:val="22"/>
          <w:lang w:val="lv-LV"/>
        </w:rPr>
      </w:pPr>
      <w:r w:rsidRPr="00C36322">
        <w:rPr>
          <w:szCs w:val="22"/>
          <w:lang w:val="lv-LV"/>
        </w:rPr>
        <w:t xml:space="preserve">Minēto </w:t>
      </w:r>
      <w:r w:rsidR="00527E22" w:rsidRPr="00C36322">
        <w:rPr>
          <w:szCs w:val="22"/>
          <w:lang w:val="lv-LV"/>
        </w:rPr>
        <w:t>izvērtējamu</w:t>
      </w:r>
      <w:r w:rsidR="00925668" w:rsidRPr="00C36322">
        <w:rPr>
          <w:szCs w:val="22"/>
          <w:lang w:val="lv-LV"/>
        </w:rPr>
        <w:t xml:space="preserve"> EPPO </w:t>
      </w:r>
      <w:r w:rsidRPr="00C36322">
        <w:rPr>
          <w:szCs w:val="22"/>
          <w:lang w:val="lv-LV"/>
        </w:rPr>
        <w:t>prezentēja AFCOS padomei</w:t>
      </w:r>
      <w:r w:rsidR="00D77B5F" w:rsidRPr="00C36322">
        <w:rPr>
          <w:rStyle w:val="FootnoteReference"/>
          <w:szCs w:val="22"/>
          <w:lang w:val="lv-LV"/>
        </w:rPr>
        <w:footnoteReference w:id="9"/>
      </w:r>
      <w:r w:rsidRPr="00C36322">
        <w:rPr>
          <w:szCs w:val="22"/>
          <w:lang w:val="lv-LV"/>
        </w:rPr>
        <w:t xml:space="preserve"> un saskaņā ar sēdē nolemto</w:t>
      </w:r>
      <w:r w:rsidR="003668FA" w:rsidRPr="00C36322">
        <w:rPr>
          <w:szCs w:val="22"/>
          <w:lang w:val="lv-LV"/>
        </w:rPr>
        <w:t>,</w:t>
      </w:r>
      <w:r w:rsidR="00D254A2" w:rsidRPr="00C36322">
        <w:rPr>
          <w:lang w:val="lv-LV"/>
        </w:rPr>
        <w:t xml:space="preserve"> </w:t>
      </w:r>
      <w:r w:rsidR="00D254A2" w:rsidRPr="00C36322">
        <w:rPr>
          <w:szCs w:val="22"/>
          <w:lang w:val="lv-LV"/>
        </w:rPr>
        <w:t xml:space="preserve">AFCOS </w:t>
      </w:r>
      <w:r w:rsidR="005A4253" w:rsidRPr="00C36322">
        <w:rPr>
          <w:szCs w:val="22"/>
          <w:lang w:val="lv-LV"/>
        </w:rPr>
        <w:t>nosūtīja</w:t>
      </w:r>
      <w:r w:rsidR="00D254A2" w:rsidRPr="00C36322">
        <w:rPr>
          <w:szCs w:val="22"/>
          <w:lang w:val="lv-LV"/>
        </w:rPr>
        <w:t xml:space="preserve"> TM adresētu vēstuli ar lūgumu organizēt sanāksmi, lai izskatītu EPPO konstatēto problemātiku </w:t>
      </w:r>
      <w:r w:rsidR="00D254A2" w:rsidRPr="00B246B4">
        <w:rPr>
          <w:szCs w:val="22"/>
          <w:lang w:val="lv-LV"/>
        </w:rPr>
        <w:t>K</w:t>
      </w:r>
      <w:r w:rsidR="008102EA" w:rsidRPr="00B246B4">
        <w:rPr>
          <w:szCs w:val="22"/>
          <w:lang w:val="lv-LV"/>
        </w:rPr>
        <w:t>rimināllikuma</w:t>
      </w:r>
      <w:r w:rsidR="00D254A2" w:rsidRPr="00B246B4">
        <w:rPr>
          <w:szCs w:val="22"/>
          <w:lang w:val="lv-LV"/>
        </w:rPr>
        <w:t xml:space="preserve"> piemērošanā</w:t>
      </w:r>
      <w:r w:rsidR="00C36322" w:rsidRPr="00B246B4">
        <w:rPr>
          <w:szCs w:val="22"/>
          <w:lang w:val="lv-LV"/>
        </w:rPr>
        <w:t xml:space="preserve">. </w:t>
      </w:r>
    </w:p>
    <w:p w14:paraId="17509E74" w14:textId="1476627A" w:rsidR="000C6B84" w:rsidRDefault="000E3F46" w:rsidP="00C36322">
      <w:pPr>
        <w:ind w:firstLine="709"/>
        <w:rPr>
          <w:szCs w:val="22"/>
          <w:lang w:val="lv-LV"/>
        </w:rPr>
      </w:pPr>
      <w:r w:rsidRPr="00B246B4">
        <w:rPr>
          <w:szCs w:val="22"/>
          <w:lang w:val="lv-LV"/>
        </w:rPr>
        <w:t xml:space="preserve">Attiecībā uz AFCOS 2024. gada 25. novembra sanāksmē izteikto EPPO lūgumu TM 2025. gada 29. janvārī ir organizējusi Pastāvīgās Krimināllikuma darba grupas sēdi, pieaicinot tajā gan tiesību </w:t>
      </w:r>
      <w:r w:rsidRPr="00B246B4">
        <w:rPr>
          <w:szCs w:val="22"/>
          <w:lang w:val="lv-LV"/>
        </w:rPr>
        <w:lastRenderedPageBreak/>
        <w:t>piemērotājus, gan nozares</w:t>
      </w:r>
      <w:r w:rsidR="00D92FBE" w:rsidRPr="00B246B4">
        <w:rPr>
          <w:szCs w:val="22"/>
          <w:lang w:val="lv-LV"/>
        </w:rPr>
        <w:t xml:space="preserve"> </w:t>
      </w:r>
      <w:r w:rsidRPr="00B246B4">
        <w:rPr>
          <w:szCs w:val="22"/>
          <w:lang w:val="lv-LV"/>
        </w:rPr>
        <w:t>lietpratējus. Sēdē dalībnieki apsprieda TM piedāvātos redakcionālos priekšlikumus grozījumiem</w:t>
      </w:r>
      <w:r w:rsidR="00D92FBE" w:rsidRPr="00B246B4">
        <w:rPr>
          <w:szCs w:val="22"/>
          <w:lang w:val="lv-LV"/>
        </w:rPr>
        <w:t xml:space="preserve"> </w:t>
      </w:r>
      <w:r w:rsidRPr="00B246B4">
        <w:rPr>
          <w:szCs w:val="22"/>
          <w:lang w:val="lv-LV"/>
        </w:rPr>
        <w:t>Krimināllikuma 210. pantā par kredīta un citu aizdevumu negodprātīgu saņemšanu un izmantošanu un 220. pantā par mantas nobēdzināšanu. Sēdē atbalstītos grozījumu</w:t>
      </w:r>
      <w:r w:rsidR="00766700" w:rsidRPr="00B246B4">
        <w:rPr>
          <w:szCs w:val="22"/>
          <w:lang w:val="lv-LV"/>
        </w:rPr>
        <w:t>s</w:t>
      </w:r>
      <w:r w:rsidRPr="00B246B4">
        <w:rPr>
          <w:szCs w:val="22"/>
          <w:lang w:val="lv-LV"/>
        </w:rPr>
        <w:t xml:space="preserve"> Krimināllikumā TM plāno virzīt tuvākajā laikā.</w:t>
      </w:r>
      <w:bookmarkStart w:id="34" w:name="_Toc128402853"/>
      <w:bookmarkStart w:id="35" w:name="_Toc128581407"/>
      <w:bookmarkStart w:id="36" w:name="_Toc128581757"/>
      <w:bookmarkStart w:id="37" w:name="_Toc128581989"/>
      <w:bookmarkStart w:id="38" w:name="_Toc129695796"/>
      <w:bookmarkEnd w:id="28"/>
      <w:bookmarkEnd w:id="29"/>
      <w:bookmarkEnd w:id="30"/>
      <w:bookmarkEnd w:id="31"/>
    </w:p>
    <w:p w14:paraId="71296387" w14:textId="77777777" w:rsidR="00454E8B" w:rsidRDefault="00454E8B" w:rsidP="00C36322">
      <w:pPr>
        <w:ind w:firstLine="709"/>
        <w:rPr>
          <w:szCs w:val="22"/>
          <w:lang w:val="lv-LV"/>
        </w:rPr>
      </w:pPr>
    </w:p>
    <w:p w14:paraId="26DA2216" w14:textId="77777777" w:rsidR="00454E8B" w:rsidRDefault="00454E8B" w:rsidP="00C36322">
      <w:pPr>
        <w:ind w:firstLine="709"/>
        <w:rPr>
          <w:szCs w:val="22"/>
          <w:lang w:val="lv-LV"/>
        </w:rPr>
      </w:pPr>
    </w:p>
    <w:p w14:paraId="7470C323" w14:textId="77777777" w:rsidR="00454E8B" w:rsidRDefault="00454E8B" w:rsidP="00C36322">
      <w:pPr>
        <w:ind w:firstLine="709"/>
        <w:rPr>
          <w:szCs w:val="22"/>
          <w:lang w:val="lv-LV"/>
        </w:rPr>
      </w:pPr>
    </w:p>
    <w:p w14:paraId="0526EE40" w14:textId="77777777" w:rsidR="00454E8B" w:rsidRDefault="00454E8B" w:rsidP="00C36322">
      <w:pPr>
        <w:ind w:firstLine="709"/>
        <w:rPr>
          <w:szCs w:val="22"/>
          <w:lang w:val="lv-LV"/>
        </w:rPr>
      </w:pPr>
    </w:p>
    <w:p w14:paraId="05900736" w14:textId="77777777" w:rsidR="00454E8B" w:rsidRDefault="00454E8B" w:rsidP="00C36322">
      <w:pPr>
        <w:ind w:firstLine="709"/>
        <w:rPr>
          <w:szCs w:val="22"/>
          <w:lang w:val="lv-LV"/>
        </w:rPr>
      </w:pPr>
    </w:p>
    <w:p w14:paraId="3CC3AAAC" w14:textId="77777777" w:rsidR="00454E8B" w:rsidRDefault="00454E8B" w:rsidP="00C36322">
      <w:pPr>
        <w:ind w:firstLine="709"/>
        <w:rPr>
          <w:szCs w:val="22"/>
          <w:lang w:val="lv-LV"/>
        </w:rPr>
      </w:pPr>
    </w:p>
    <w:p w14:paraId="2EE9473B" w14:textId="77777777" w:rsidR="00454E8B" w:rsidRDefault="00454E8B" w:rsidP="00C36322">
      <w:pPr>
        <w:ind w:firstLine="709"/>
        <w:rPr>
          <w:szCs w:val="22"/>
          <w:lang w:val="lv-LV"/>
        </w:rPr>
      </w:pPr>
    </w:p>
    <w:p w14:paraId="52F612F7" w14:textId="77777777" w:rsidR="00454E8B" w:rsidRDefault="00454E8B" w:rsidP="00C36322">
      <w:pPr>
        <w:ind w:firstLine="709"/>
        <w:rPr>
          <w:szCs w:val="22"/>
          <w:lang w:val="lv-LV"/>
        </w:rPr>
      </w:pPr>
    </w:p>
    <w:p w14:paraId="4F0DA612" w14:textId="77777777" w:rsidR="00454E8B" w:rsidRDefault="00454E8B" w:rsidP="00C36322">
      <w:pPr>
        <w:ind w:firstLine="709"/>
        <w:rPr>
          <w:szCs w:val="22"/>
          <w:lang w:val="lv-LV"/>
        </w:rPr>
      </w:pPr>
    </w:p>
    <w:p w14:paraId="52C67FAF" w14:textId="77777777" w:rsidR="00454E8B" w:rsidRDefault="00454E8B" w:rsidP="00C36322">
      <w:pPr>
        <w:ind w:firstLine="709"/>
        <w:rPr>
          <w:szCs w:val="22"/>
          <w:lang w:val="lv-LV"/>
        </w:rPr>
      </w:pPr>
    </w:p>
    <w:p w14:paraId="4746562D" w14:textId="77777777" w:rsidR="00454E8B" w:rsidRDefault="00454E8B" w:rsidP="00C36322">
      <w:pPr>
        <w:ind w:firstLine="709"/>
        <w:rPr>
          <w:szCs w:val="22"/>
          <w:lang w:val="lv-LV"/>
        </w:rPr>
      </w:pPr>
    </w:p>
    <w:p w14:paraId="598293A3" w14:textId="77777777" w:rsidR="00454E8B" w:rsidRDefault="00454E8B" w:rsidP="00C36322">
      <w:pPr>
        <w:ind w:firstLine="709"/>
        <w:rPr>
          <w:szCs w:val="22"/>
          <w:lang w:val="lv-LV"/>
        </w:rPr>
      </w:pPr>
    </w:p>
    <w:p w14:paraId="350B8F52" w14:textId="77777777" w:rsidR="00454E8B" w:rsidRDefault="00454E8B" w:rsidP="00C36322">
      <w:pPr>
        <w:ind w:firstLine="709"/>
        <w:rPr>
          <w:szCs w:val="22"/>
          <w:lang w:val="lv-LV"/>
        </w:rPr>
      </w:pPr>
    </w:p>
    <w:p w14:paraId="322553DB" w14:textId="77777777" w:rsidR="00454E8B" w:rsidRPr="00C36322" w:rsidRDefault="00454E8B" w:rsidP="00C36322">
      <w:pPr>
        <w:ind w:firstLine="709"/>
        <w:rPr>
          <w:lang w:val="lv-LV"/>
        </w:rPr>
      </w:pPr>
    </w:p>
    <w:p w14:paraId="4D994E7D" w14:textId="2734B1A3" w:rsidR="00766B83" w:rsidRPr="00387441" w:rsidRDefault="00766B83" w:rsidP="00017956">
      <w:pPr>
        <w:pStyle w:val="Heading1"/>
      </w:pPr>
      <w:bookmarkStart w:id="39" w:name="_Toc192753096"/>
      <w:r w:rsidRPr="00387441">
        <w:lastRenderedPageBreak/>
        <w:t>B daļa</w:t>
      </w:r>
      <w:bookmarkEnd w:id="34"/>
      <w:bookmarkEnd w:id="35"/>
      <w:bookmarkEnd w:id="36"/>
      <w:bookmarkEnd w:id="37"/>
      <w:bookmarkEnd w:id="38"/>
      <w:bookmarkEnd w:id="39"/>
    </w:p>
    <w:p w14:paraId="3F73E964" w14:textId="6C09914C" w:rsidR="00060A08" w:rsidRPr="00BE0DBF" w:rsidRDefault="007B58F0" w:rsidP="000F192A">
      <w:pPr>
        <w:pStyle w:val="Heading2"/>
        <w:tabs>
          <w:tab w:val="left" w:pos="1985"/>
        </w:tabs>
        <w:spacing w:before="0" w:after="120"/>
        <w:ind w:firstLine="0"/>
        <w:rPr>
          <w:lang w:val="lv-LV"/>
        </w:rPr>
      </w:pPr>
      <w:bookmarkStart w:id="40" w:name="_Toc167178708"/>
      <w:bookmarkStart w:id="41" w:name="_Toc192753097"/>
      <w:r w:rsidRPr="00BE0DBF">
        <w:rPr>
          <w:lang w:val="lv-LV"/>
        </w:rPr>
        <w:t>INFORMATĪVS PĀRSKATS UN STATISTIKAS DATI</w:t>
      </w:r>
      <w:r w:rsidRPr="00BE0DBF">
        <w:rPr>
          <w:lang w:val="lv-LV"/>
        </w:rPr>
        <w:br/>
        <w:t>PAR KONSTATĒTAJĀM NEATBILSTĪBĀM ES FONDOS</w:t>
      </w:r>
      <w:bookmarkEnd w:id="40"/>
      <w:bookmarkEnd w:id="41"/>
    </w:p>
    <w:p w14:paraId="5CCD6AE8" w14:textId="46F9F887" w:rsidR="00060A08" w:rsidRPr="00387441" w:rsidRDefault="00CA403E" w:rsidP="004B4C65">
      <w:pPr>
        <w:pStyle w:val="Heading3"/>
      </w:pPr>
      <w:bookmarkStart w:id="42" w:name="_Toc128581408"/>
      <w:bookmarkStart w:id="43" w:name="_Toc128581758"/>
      <w:bookmarkStart w:id="44" w:name="_Toc128581990"/>
      <w:bookmarkStart w:id="45" w:name="_Toc167178709"/>
      <w:bookmarkStart w:id="46" w:name="_Toc192753098"/>
      <w:r w:rsidRPr="00387441">
        <w:t>B.</w:t>
      </w:r>
      <w:r w:rsidR="00060A08" w:rsidRPr="00387441">
        <w:t>1. Kopējie neatbilstību apjomi 202</w:t>
      </w:r>
      <w:r w:rsidR="0022080C" w:rsidRPr="00387441">
        <w:t>4</w:t>
      </w:r>
      <w:r w:rsidR="00060A08" w:rsidRPr="00387441">
        <w:t xml:space="preserve">. </w:t>
      </w:r>
      <w:bookmarkEnd w:id="42"/>
      <w:bookmarkEnd w:id="43"/>
      <w:bookmarkEnd w:id="44"/>
      <w:bookmarkEnd w:id="45"/>
      <w:r w:rsidR="00060A08" w:rsidRPr="00387441">
        <w:t xml:space="preserve">gadā </w:t>
      </w:r>
      <w:r w:rsidR="00D5351B" w:rsidRPr="00387441">
        <w:t>un to sadalījums pa fondiem</w:t>
      </w:r>
      <w:bookmarkEnd w:id="46"/>
    </w:p>
    <w:p w14:paraId="48C917AC" w14:textId="7F0BCE9D" w:rsidR="00CD7E17" w:rsidRPr="00387441" w:rsidRDefault="00495E20" w:rsidP="00495E20">
      <w:pPr>
        <w:pStyle w:val="Heading4"/>
      </w:pPr>
      <w:bookmarkStart w:id="47" w:name="_Toc192753099"/>
      <w:r w:rsidRPr="00387441">
        <w:t xml:space="preserve">B.1.1. </w:t>
      </w:r>
      <w:r w:rsidR="00D53FAF" w:rsidRPr="00387441">
        <w:t xml:space="preserve"> </w:t>
      </w:r>
      <w:r w:rsidRPr="00387441">
        <w:t>2014. - 2020. gada plānošanas periods</w:t>
      </w:r>
      <w:bookmarkEnd w:id="47"/>
    </w:p>
    <w:p w14:paraId="4F8B2E5B" w14:textId="562F61FD" w:rsidR="00060A08" w:rsidRPr="00387441" w:rsidRDefault="00060A08" w:rsidP="00EE56CB">
      <w:pPr>
        <w:spacing w:after="120"/>
        <w:rPr>
          <w:lang w:val="lv-LV"/>
        </w:rPr>
      </w:pPr>
      <w:r w:rsidRPr="00387441">
        <w:rPr>
          <w:lang w:val="lv-LV"/>
        </w:rPr>
        <w:t>202</w:t>
      </w:r>
      <w:r w:rsidR="00980F33" w:rsidRPr="00387441">
        <w:rPr>
          <w:lang w:val="lv-LV"/>
        </w:rPr>
        <w:t>4</w:t>
      </w:r>
      <w:r w:rsidRPr="00387441">
        <w:rPr>
          <w:lang w:val="lv-LV"/>
        </w:rPr>
        <w:t xml:space="preserve">. gads ES fondu ieviešanā aptver dažādu plānošanas periodu pārklāšanos un jaunu fondu iekļaušanu, kas tiek ņemta vērā ziņojuma sagatavošanā un neatbilstību izvērtēšanā, detalizētu informācijas apkopojumu skatīt ziņojuma </w:t>
      </w:r>
      <w:r w:rsidR="00927B0F" w:rsidRPr="00387441">
        <w:rPr>
          <w:lang w:val="lv-LV"/>
        </w:rPr>
        <w:t>2</w:t>
      </w:r>
      <w:r w:rsidRPr="00387441">
        <w:rPr>
          <w:lang w:val="lv-LV"/>
        </w:rPr>
        <w:t>. pielikumā.</w:t>
      </w:r>
    </w:p>
    <w:p w14:paraId="6B2B3F70" w14:textId="58F6DBBA" w:rsidR="00060A08" w:rsidRPr="00BE0DBF" w:rsidRDefault="00060A08" w:rsidP="00495E20">
      <w:pPr>
        <w:spacing w:after="120"/>
        <w:rPr>
          <w:lang w:val="lv-LV"/>
        </w:rPr>
      </w:pPr>
      <w:r w:rsidRPr="00387441">
        <w:rPr>
          <w:lang w:val="lv-LV"/>
        </w:rPr>
        <w:t>202</w:t>
      </w:r>
      <w:r w:rsidR="00FD28F1" w:rsidRPr="00387441">
        <w:rPr>
          <w:lang w:val="lv-LV"/>
        </w:rPr>
        <w:t>4</w:t>
      </w:r>
      <w:r w:rsidRPr="00387441">
        <w:rPr>
          <w:lang w:val="lv-LV"/>
        </w:rPr>
        <w:t xml:space="preserve">. gadā konstatētas </w:t>
      </w:r>
      <w:r w:rsidR="00577FBF" w:rsidRPr="00387441">
        <w:rPr>
          <w:b/>
          <w:bCs/>
          <w:lang w:val="lv-LV"/>
        </w:rPr>
        <w:t>449</w:t>
      </w:r>
      <w:r w:rsidR="00495E20" w:rsidRPr="00387441">
        <w:rPr>
          <w:b/>
          <w:bCs/>
          <w:lang w:val="lv-LV"/>
        </w:rPr>
        <w:t xml:space="preserve"> </w:t>
      </w:r>
      <w:r w:rsidRPr="00387441">
        <w:rPr>
          <w:b/>
          <w:lang w:val="lv-LV"/>
        </w:rPr>
        <w:t>neatbilstības</w:t>
      </w:r>
      <w:r w:rsidRPr="00387441">
        <w:rPr>
          <w:b/>
          <w:bCs/>
          <w:lang w:val="lv-LV"/>
        </w:rPr>
        <w:t xml:space="preserve"> </w:t>
      </w:r>
      <w:r w:rsidR="00B13F8B" w:rsidRPr="00387441">
        <w:rPr>
          <w:lang w:val="lv-LV"/>
        </w:rPr>
        <w:t>(2023. gadā –</w:t>
      </w:r>
      <w:r w:rsidR="00001923" w:rsidRPr="00387441">
        <w:rPr>
          <w:lang w:val="lv-LV"/>
        </w:rPr>
        <w:t xml:space="preserve"> 1643 </w:t>
      </w:r>
      <w:r w:rsidR="00B13F8B" w:rsidRPr="00387441">
        <w:rPr>
          <w:lang w:val="lv-LV"/>
        </w:rPr>
        <w:t>neatbilstības)</w:t>
      </w:r>
      <w:r w:rsidR="00B13F8B" w:rsidRPr="00387441">
        <w:rPr>
          <w:b/>
          <w:lang w:val="lv-LV"/>
        </w:rPr>
        <w:t xml:space="preserve"> </w:t>
      </w:r>
      <w:r w:rsidRPr="00387441">
        <w:rPr>
          <w:b/>
          <w:lang w:val="lv-LV"/>
        </w:rPr>
        <w:t>par kopējo summu EUR</w:t>
      </w:r>
      <w:r w:rsidR="00991268" w:rsidRPr="00387441">
        <w:rPr>
          <w:b/>
          <w:lang w:val="lv-LV"/>
        </w:rPr>
        <w:t xml:space="preserve"> 29</w:t>
      </w:r>
      <w:r w:rsidR="00FF4063" w:rsidRPr="00387441">
        <w:rPr>
          <w:b/>
          <w:lang w:val="lv-LV"/>
        </w:rPr>
        <w:t xml:space="preserve"> 208 729,47</w:t>
      </w:r>
      <w:r w:rsidRPr="00387441">
        <w:rPr>
          <w:lang w:val="lv-LV"/>
        </w:rPr>
        <w:t>, neatbilstību summas īpatsvars</w:t>
      </w:r>
      <w:r w:rsidR="00AF7D91" w:rsidRPr="00387441">
        <w:rPr>
          <w:lang w:val="lv-LV"/>
        </w:rPr>
        <w:t xml:space="preserve"> pret kopējiem attiecināmajiem izdevumiem</w:t>
      </w:r>
      <w:r w:rsidRPr="00387441">
        <w:rPr>
          <w:lang w:val="lv-LV"/>
        </w:rPr>
        <w:t xml:space="preserve"> </w:t>
      </w:r>
      <w:r w:rsidR="005F0F4A" w:rsidRPr="00387441">
        <w:rPr>
          <w:b/>
          <w:lang w:val="lv-LV"/>
        </w:rPr>
        <w:t>4,04</w:t>
      </w:r>
      <w:r w:rsidRPr="00387441">
        <w:rPr>
          <w:b/>
          <w:lang w:val="lv-LV"/>
        </w:rPr>
        <w:t xml:space="preserve"> %</w:t>
      </w:r>
      <w:r w:rsidRPr="00387441">
        <w:rPr>
          <w:lang w:val="lv-LV"/>
        </w:rPr>
        <w:t xml:space="preserve"> (</w:t>
      </w:r>
      <w:r w:rsidR="00FF4063" w:rsidRPr="00387441">
        <w:rPr>
          <w:lang w:val="lv-LV"/>
        </w:rPr>
        <w:t xml:space="preserve">2023. gadā – 2,30%; </w:t>
      </w:r>
      <w:r w:rsidRPr="00387441">
        <w:rPr>
          <w:lang w:val="lv-LV"/>
        </w:rPr>
        <w:t>2022. gadā  - 2</w:t>
      </w:r>
      <w:r w:rsidR="008102EA">
        <w:rPr>
          <w:lang w:val="lv-LV"/>
        </w:rPr>
        <w:t>,</w:t>
      </w:r>
      <w:r w:rsidRPr="00387441">
        <w:rPr>
          <w:lang w:val="lv-LV"/>
        </w:rPr>
        <w:t>98 %, 2021.gadā – 2</w:t>
      </w:r>
      <w:r w:rsidR="008102EA">
        <w:rPr>
          <w:lang w:val="lv-LV"/>
        </w:rPr>
        <w:t>,</w:t>
      </w:r>
      <w:r w:rsidRPr="00387441">
        <w:rPr>
          <w:lang w:val="lv-LV"/>
        </w:rPr>
        <w:t>60%).</w:t>
      </w:r>
      <w:r w:rsidR="004E43E8" w:rsidRPr="00387441">
        <w:rPr>
          <w:lang w:val="lv-LV"/>
        </w:rPr>
        <w:t xml:space="preserve"> </w:t>
      </w:r>
      <w:r w:rsidR="004E43E8" w:rsidRPr="00BE0DBF">
        <w:rPr>
          <w:lang w:val="lv-LV"/>
        </w:rPr>
        <w:t xml:space="preserve">Lai arī neatbilstību kopējais skaits strauji samazinājās, tomēr to finanšu </w:t>
      </w:r>
      <w:r w:rsidR="00856B81" w:rsidRPr="00BE0DBF">
        <w:rPr>
          <w:lang w:val="lv-LV"/>
        </w:rPr>
        <w:t xml:space="preserve">ietekme pret attiecināmajiem </w:t>
      </w:r>
      <w:r w:rsidR="0039143A" w:rsidRPr="00BE0DBF">
        <w:rPr>
          <w:lang w:val="lv-LV"/>
        </w:rPr>
        <w:t>izdevumiem ir augusi.</w:t>
      </w:r>
    </w:p>
    <w:p w14:paraId="7195D943" w14:textId="482E2814" w:rsidR="00060A08" w:rsidRPr="00BE0DBF" w:rsidRDefault="00060A08" w:rsidP="00EE56CB">
      <w:pPr>
        <w:tabs>
          <w:tab w:val="left" w:pos="1843"/>
        </w:tabs>
        <w:spacing w:after="120"/>
        <w:rPr>
          <w:lang w:val="lv-LV"/>
        </w:rPr>
      </w:pPr>
      <w:r w:rsidRPr="00BE0DBF">
        <w:rPr>
          <w:lang w:val="lv-LV"/>
        </w:rPr>
        <w:t xml:space="preserve">2014.-2020. gada plānošanas periodā dati par neatbilstību apjomu (EUR) un skaitu (gab.) kopš 2015. gada katrā pārskata gadā ir </w:t>
      </w:r>
      <w:r w:rsidR="005765E8" w:rsidRPr="00BE0DBF">
        <w:rPr>
          <w:lang w:val="lv-LV"/>
        </w:rPr>
        <w:t xml:space="preserve">apkopoti </w:t>
      </w:r>
      <w:r w:rsidR="00F540BD" w:rsidRPr="00BE0DBF">
        <w:rPr>
          <w:lang w:val="lv-LV"/>
        </w:rPr>
        <w:t>attēlā Nr.2</w:t>
      </w:r>
      <w:r w:rsidRPr="00BE0DBF">
        <w:rPr>
          <w:lang w:val="lv-LV"/>
        </w:rPr>
        <w:t xml:space="preserve">. </w:t>
      </w:r>
    </w:p>
    <w:p w14:paraId="1CBCDDBF" w14:textId="27659672" w:rsidR="00060A08" w:rsidRPr="001E4A5A" w:rsidRDefault="00980F33" w:rsidP="00060A08">
      <w:pPr>
        <w:pStyle w:val="TabulasAttli"/>
        <w:spacing w:after="0" w:line="240" w:lineRule="auto"/>
        <w:rPr>
          <w:sz w:val="20"/>
          <w:szCs w:val="20"/>
        </w:rPr>
      </w:pPr>
      <w:r w:rsidRPr="001E4A5A">
        <w:rPr>
          <w:b/>
          <w:bCs/>
          <w:sz w:val="20"/>
          <w:szCs w:val="20"/>
        </w:rPr>
        <w:t>Attēls Nr.2</w:t>
      </w:r>
      <w:r w:rsidR="00060A08" w:rsidRPr="001E4A5A">
        <w:rPr>
          <w:sz w:val="20"/>
          <w:szCs w:val="20"/>
        </w:rPr>
        <w:t xml:space="preserve"> Neatbilstību skaits un summas 2014.-2020.</w:t>
      </w:r>
    </w:p>
    <w:p w14:paraId="1493AC5A" w14:textId="77777777" w:rsidR="00060A08" w:rsidRDefault="00060A08" w:rsidP="00060A08">
      <w:pPr>
        <w:pStyle w:val="TabulasAttli"/>
        <w:spacing w:after="0" w:line="240" w:lineRule="auto"/>
        <w:rPr>
          <w:sz w:val="20"/>
          <w:szCs w:val="20"/>
        </w:rPr>
      </w:pPr>
      <w:r w:rsidRPr="001E4A5A">
        <w:rPr>
          <w:sz w:val="20"/>
          <w:szCs w:val="20"/>
        </w:rPr>
        <w:t>gada plānošanas periodā visos ES fondos kopā</w:t>
      </w:r>
    </w:p>
    <w:p w14:paraId="75C5E13F" w14:textId="77777777" w:rsidR="00900584" w:rsidRPr="00387441" w:rsidRDefault="00900584" w:rsidP="00060A08">
      <w:pPr>
        <w:pStyle w:val="TabulasAttli"/>
        <w:spacing w:after="0" w:line="240" w:lineRule="auto"/>
      </w:pPr>
    </w:p>
    <w:p w14:paraId="470963A7" w14:textId="65F7176B" w:rsidR="001E4A5A" w:rsidRPr="00D637D2" w:rsidRDefault="00900584" w:rsidP="00060A08">
      <w:pPr>
        <w:ind w:firstLine="0"/>
        <w:rPr>
          <w:noProof/>
          <w:lang w:val="lv-LV"/>
        </w:rPr>
      </w:pPr>
      <w:r>
        <w:rPr>
          <w:noProof/>
          <w14:ligatures w14:val="standardContextual"/>
        </w:rPr>
        <w:drawing>
          <wp:inline distT="0" distB="0" distL="0" distR="0" wp14:anchorId="7FB12A34" wp14:editId="7D8F4705">
            <wp:extent cx="6829425" cy="2933700"/>
            <wp:effectExtent l="0" t="0" r="9525" b="0"/>
            <wp:docPr id="333544318" name="Chart 1">
              <a:extLst xmlns:a="http://schemas.openxmlformats.org/drawingml/2006/main">
                <a:ext uri="{FF2B5EF4-FFF2-40B4-BE49-F238E27FC236}">
                  <a16:creationId xmlns:a16="http://schemas.microsoft.com/office/drawing/2014/main" id="{0E5130FD-1753-4715-B331-BB2872E00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6851F8" w14:textId="166F9E00" w:rsidR="00326C5D" w:rsidRPr="00BE0DBF" w:rsidRDefault="00060A08" w:rsidP="005366F9">
      <w:pPr>
        <w:spacing w:after="120" w:line="276" w:lineRule="auto"/>
        <w:ind w:firstLine="709"/>
        <w:rPr>
          <w:lang w:val="lv-LV"/>
        </w:rPr>
      </w:pPr>
      <w:r w:rsidRPr="00BE0DBF">
        <w:rPr>
          <w:lang w:val="lv-LV"/>
        </w:rPr>
        <w:t xml:space="preserve">Kā liecina datu apkopojums </w:t>
      </w:r>
      <w:r w:rsidR="009100B9" w:rsidRPr="00BE0DBF">
        <w:rPr>
          <w:lang w:val="lv-LV"/>
        </w:rPr>
        <w:t>attēlā Nr.</w:t>
      </w:r>
      <w:r w:rsidR="00E203BD" w:rsidRPr="00BE0DBF">
        <w:rPr>
          <w:lang w:val="lv-LV"/>
        </w:rPr>
        <w:t>2</w:t>
      </w:r>
      <w:r w:rsidRPr="00BE0DBF">
        <w:rPr>
          <w:lang w:val="lv-LV"/>
        </w:rPr>
        <w:t xml:space="preserve">, neatbilstības ik gadu svārstās, tomēr </w:t>
      </w:r>
      <w:r w:rsidR="00C00C61" w:rsidRPr="00BE0DBF">
        <w:rPr>
          <w:lang w:val="lv-LV"/>
        </w:rPr>
        <w:t>vērojama</w:t>
      </w:r>
      <w:r w:rsidRPr="00BE0DBF">
        <w:rPr>
          <w:lang w:val="lv-LV"/>
        </w:rPr>
        <w:t xml:space="preserve"> augšupejoš</w:t>
      </w:r>
      <w:r w:rsidR="00C00C61" w:rsidRPr="00BE0DBF">
        <w:rPr>
          <w:lang w:val="lv-LV"/>
        </w:rPr>
        <w:t>a</w:t>
      </w:r>
      <w:r w:rsidRPr="00BE0DBF">
        <w:rPr>
          <w:lang w:val="lv-LV"/>
        </w:rPr>
        <w:t xml:space="preserve"> tendenc</w:t>
      </w:r>
      <w:r w:rsidR="00C00C61" w:rsidRPr="00BE0DBF">
        <w:rPr>
          <w:lang w:val="lv-LV"/>
        </w:rPr>
        <w:t>e</w:t>
      </w:r>
      <w:r w:rsidRPr="00BE0DBF">
        <w:rPr>
          <w:lang w:val="lv-LV"/>
        </w:rPr>
        <w:t xml:space="preserve"> </w:t>
      </w:r>
      <w:r w:rsidR="003B0BD8" w:rsidRPr="00BE0DBF">
        <w:rPr>
          <w:lang w:val="lv-LV"/>
        </w:rPr>
        <w:t>aktīvajā projektu ieviešanas posmā</w:t>
      </w:r>
      <w:r w:rsidR="00C00C61" w:rsidRPr="00BE0DBF">
        <w:rPr>
          <w:lang w:val="lv-LV"/>
        </w:rPr>
        <w:t>, savukārt, plānošanas period</w:t>
      </w:r>
      <w:r w:rsidR="00496F48" w:rsidRPr="00BE0DBF">
        <w:rPr>
          <w:lang w:val="lv-LV"/>
        </w:rPr>
        <w:t>a</w:t>
      </w:r>
      <w:r w:rsidRPr="00BE0DBF">
        <w:rPr>
          <w:lang w:val="lv-LV"/>
        </w:rPr>
        <w:t xml:space="preserve"> noslēdzošajā gadā neatbilstību apjomi krītas. Vērtējot datu svārstības gada griezumā, ir identificējami iespējamie </w:t>
      </w:r>
      <w:r w:rsidRPr="00BE0DBF">
        <w:rPr>
          <w:lang w:val="lv-LV"/>
        </w:rPr>
        <w:lastRenderedPageBreak/>
        <w:t>apstākļi un skaidrojumi neatbilstību apjomu kāpumam vai kritumam gan finanšu izteiksmē, gan neatbilstību skaitā, gan to savstarpējā korelācij</w:t>
      </w:r>
      <w:r w:rsidR="00AE10CF" w:rsidRPr="00BE0DBF">
        <w:rPr>
          <w:lang w:val="lv-LV"/>
        </w:rPr>
        <w:t>ā</w:t>
      </w:r>
      <w:r w:rsidRPr="00BE0DBF">
        <w:rPr>
          <w:lang w:val="lv-LV"/>
        </w:rPr>
        <w:t>.</w:t>
      </w:r>
    </w:p>
    <w:p w14:paraId="57321657" w14:textId="21BC1B19" w:rsidR="00060A08" w:rsidRPr="00BE0DBF" w:rsidRDefault="00060A08" w:rsidP="005366F9">
      <w:pPr>
        <w:spacing w:after="120" w:line="276" w:lineRule="auto"/>
        <w:ind w:firstLine="709"/>
        <w:rPr>
          <w:lang w:val="lv-LV"/>
        </w:rPr>
      </w:pPr>
      <w:r w:rsidRPr="00BE0DBF">
        <w:rPr>
          <w:lang w:val="lv-LV"/>
        </w:rPr>
        <w:t xml:space="preserve">Piemēram:  </w:t>
      </w:r>
    </w:p>
    <w:p w14:paraId="336B6C99" w14:textId="5F359276" w:rsidR="00603049" w:rsidRPr="00B246B4" w:rsidRDefault="00603049" w:rsidP="005366F9">
      <w:pPr>
        <w:pStyle w:val="ListParagraph"/>
        <w:numPr>
          <w:ilvl w:val="0"/>
          <w:numId w:val="23"/>
        </w:numPr>
        <w:spacing w:after="120" w:line="276" w:lineRule="auto"/>
        <w:contextualSpacing w:val="0"/>
        <w:rPr>
          <w:lang w:val="lv-LV"/>
        </w:rPr>
      </w:pPr>
      <w:r w:rsidRPr="00B246B4">
        <w:rPr>
          <w:b/>
          <w:lang w:val="lv-LV"/>
        </w:rPr>
        <w:t>2024. gadā</w:t>
      </w:r>
      <w:r w:rsidRPr="00B246B4">
        <w:rPr>
          <w:lang w:val="lv-LV"/>
        </w:rPr>
        <w:t xml:space="preserve"> neatbilstību skaits ir ievērojami krities, taču neatbilstību summa vēljoprojām ir </w:t>
      </w:r>
      <w:r w:rsidR="009E032F" w:rsidRPr="00B246B4">
        <w:rPr>
          <w:lang w:val="lv-LV"/>
        </w:rPr>
        <w:t>gandrīz vienā līmenī ar 2023.</w:t>
      </w:r>
      <w:r w:rsidR="009B7B20" w:rsidRPr="00B246B4">
        <w:rPr>
          <w:lang w:val="lv-LV"/>
        </w:rPr>
        <w:t xml:space="preserve"> </w:t>
      </w:r>
      <w:r w:rsidR="00C80307" w:rsidRPr="00B246B4">
        <w:rPr>
          <w:lang w:val="lv-LV"/>
        </w:rPr>
        <w:t xml:space="preserve">gada </w:t>
      </w:r>
      <w:r w:rsidR="009E032F" w:rsidRPr="00B246B4">
        <w:rPr>
          <w:lang w:val="lv-LV"/>
        </w:rPr>
        <w:t>rādītājiem. Tas varētu būt skaidrojams</w:t>
      </w:r>
      <w:r w:rsidR="00707448" w:rsidRPr="00B246B4">
        <w:rPr>
          <w:lang w:val="lv-LV"/>
        </w:rPr>
        <w:t xml:space="preserve"> ar </w:t>
      </w:r>
      <w:r w:rsidR="00F205D1" w:rsidRPr="00B246B4">
        <w:rPr>
          <w:lang w:val="lv-LV"/>
        </w:rPr>
        <w:t xml:space="preserve">sarežģītu, </w:t>
      </w:r>
      <w:r w:rsidR="002C1EFF" w:rsidRPr="00B246B4">
        <w:rPr>
          <w:lang w:val="lv-LV"/>
        </w:rPr>
        <w:t>apjomīgu</w:t>
      </w:r>
      <w:r w:rsidR="00F205D1" w:rsidRPr="00B246B4">
        <w:rPr>
          <w:lang w:val="lv-LV"/>
        </w:rPr>
        <w:t xml:space="preserve"> projektu </w:t>
      </w:r>
      <w:r w:rsidR="00EA1A5F" w:rsidRPr="00B246B4">
        <w:rPr>
          <w:lang w:val="lv-LV"/>
        </w:rPr>
        <w:t>noslēgšanu</w:t>
      </w:r>
      <w:r w:rsidR="00857E6F" w:rsidRPr="00B246B4">
        <w:rPr>
          <w:lang w:val="lv-LV"/>
        </w:rPr>
        <w:t>, ka</w:t>
      </w:r>
      <w:r w:rsidR="00F937F1" w:rsidRPr="00B246B4">
        <w:rPr>
          <w:lang w:val="lv-LV"/>
        </w:rPr>
        <w:t xml:space="preserve">d ir mazāks skaits neatbilstību, bet to finanšu ietekme ir </w:t>
      </w:r>
      <w:r w:rsidR="00204755" w:rsidRPr="00B246B4">
        <w:rPr>
          <w:lang w:val="lv-LV"/>
        </w:rPr>
        <w:t>liela.</w:t>
      </w:r>
      <w:r w:rsidR="009F3620" w:rsidRPr="00B246B4">
        <w:rPr>
          <w:lang w:val="lv-LV"/>
        </w:rPr>
        <w:t xml:space="preserve"> Turklāt </w:t>
      </w:r>
      <w:r w:rsidR="00810A66" w:rsidRPr="00B246B4">
        <w:rPr>
          <w:lang w:val="lv-LV"/>
        </w:rPr>
        <w:t>2024.</w:t>
      </w:r>
      <w:r w:rsidR="006179B9" w:rsidRPr="00B246B4">
        <w:rPr>
          <w:lang w:val="lv-LV"/>
        </w:rPr>
        <w:t xml:space="preserve"> </w:t>
      </w:r>
      <w:r w:rsidR="00810A66" w:rsidRPr="00B246B4">
        <w:rPr>
          <w:lang w:val="lv-LV"/>
        </w:rPr>
        <w:t>gadā ERAF ietvaros būtiski palielinājās neatbilstoši veiktie izdevumi interešu konflikta neatbilstībās saistībā ar dalībvalsts piekrišanu piemērot 10</w:t>
      </w:r>
      <w:r w:rsidR="001322E1" w:rsidRPr="00B246B4">
        <w:rPr>
          <w:lang w:val="lv-LV"/>
        </w:rPr>
        <w:t xml:space="preserve"> </w:t>
      </w:r>
      <w:r w:rsidR="00810A66" w:rsidRPr="00B246B4">
        <w:rPr>
          <w:lang w:val="lv-LV"/>
        </w:rPr>
        <w:t>% finanšu korekciju EK auditā Nr. DAC514LV1050 (16 projektos) par konstatētajiem interešu konflikta gadījumiem projektu un pētījumu pieteikum</w:t>
      </w:r>
      <w:r w:rsidR="00E33EF6" w:rsidRPr="00B246B4">
        <w:rPr>
          <w:lang w:val="lv-LV"/>
        </w:rPr>
        <w:t>os</w:t>
      </w:r>
      <w:r w:rsidR="00810A66" w:rsidRPr="00B246B4">
        <w:rPr>
          <w:lang w:val="lv-LV"/>
        </w:rPr>
        <w:t>, kā arī CFLA (1 projektā) lēmumu piemērot 100</w:t>
      </w:r>
      <w:r w:rsidR="007B7E29" w:rsidRPr="00B246B4">
        <w:rPr>
          <w:lang w:val="lv-LV"/>
        </w:rPr>
        <w:t xml:space="preserve"> </w:t>
      </w:r>
      <w:r w:rsidR="00810A66" w:rsidRPr="00B246B4">
        <w:rPr>
          <w:lang w:val="lv-LV"/>
        </w:rPr>
        <w:t>% finanšu korekciju par projekta pētījumu vērtēšanas  izdevumiem, kuros vērtēšanu veica interešu konfliktā iesaistītās personas.</w:t>
      </w:r>
    </w:p>
    <w:p w14:paraId="378FDB87" w14:textId="4FDF1C2A" w:rsidR="00060A08" w:rsidRPr="00BE0DBF" w:rsidRDefault="00060A08" w:rsidP="005366F9">
      <w:pPr>
        <w:pStyle w:val="ListParagraph"/>
        <w:numPr>
          <w:ilvl w:val="0"/>
          <w:numId w:val="23"/>
        </w:numPr>
        <w:spacing w:after="120" w:line="276" w:lineRule="auto"/>
        <w:contextualSpacing w:val="0"/>
        <w:rPr>
          <w:lang w:val="lv-LV"/>
        </w:rPr>
      </w:pPr>
      <w:r w:rsidRPr="00BE0DBF">
        <w:rPr>
          <w:b/>
          <w:lang w:val="lv-LV"/>
        </w:rPr>
        <w:t>2023. gadā</w:t>
      </w:r>
      <w:r w:rsidRPr="00BE0DBF">
        <w:rPr>
          <w:lang w:val="lv-LV"/>
        </w:rPr>
        <w:t xml:space="preserve"> ir vērojams neatbilstību summas un skaita kritums, kas būtu skaidrojams ar projektu īstenošanas noslēgumu un veiktajām izmaksām 2023. gada izskaņā</w:t>
      </w:r>
      <w:r w:rsidR="005C6C33" w:rsidRPr="00BE0DBF">
        <w:rPr>
          <w:lang w:val="lv-LV"/>
        </w:rPr>
        <w:t>.</w:t>
      </w:r>
    </w:p>
    <w:p w14:paraId="24E59CB1" w14:textId="19EDF383" w:rsidR="00060A08" w:rsidRPr="00BE0DBF" w:rsidRDefault="00060A08" w:rsidP="005366F9">
      <w:pPr>
        <w:pStyle w:val="ListParagraph"/>
        <w:numPr>
          <w:ilvl w:val="0"/>
          <w:numId w:val="23"/>
        </w:numPr>
        <w:spacing w:after="120" w:line="276" w:lineRule="auto"/>
        <w:contextualSpacing w:val="0"/>
        <w:rPr>
          <w:lang w:val="lv-LV"/>
        </w:rPr>
      </w:pPr>
      <w:r w:rsidRPr="00BE0DBF">
        <w:rPr>
          <w:b/>
          <w:lang w:val="lv-LV"/>
        </w:rPr>
        <w:t>2021. gadā</w:t>
      </w:r>
      <w:r w:rsidRPr="00BE0DBF">
        <w:rPr>
          <w:lang w:val="lv-LV"/>
        </w:rPr>
        <w:t xml:space="preserve"> </w:t>
      </w:r>
      <w:r w:rsidR="008808E2" w:rsidRPr="00BE0DBF">
        <w:rPr>
          <w:lang w:val="lv-LV"/>
        </w:rPr>
        <w:t>vērojams neatbilstību sum</w:t>
      </w:r>
      <w:r w:rsidR="00F77212" w:rsidRPr="00BE0DBF">
        <w:rPr>
          <w:lang w:val="lv-LV"/>
        </w:rPr>
        <w:t>mas kāpums, kas skaidrojams ar</w:t>
      </w:r>
      <w:r w:rsidRPr="00BE0DBF">
        <w:rPr>
          <w:lang w:val="lv-LV"/>
        </w:rPr>
        <w:t xml:space="preserve"> Konkurences padomes konstatējumiem “</w:t>
      </w:r>
      <w:r w:rsidR="004A5A23" w:rsidRPr="00BE0DBF">
        <w:rPr>
          <w:lang w:val="lv-LV"/>
        </w:rPr>
        <w:t>būvnieku karteļa</w:t>
      </w:r>
      <w:r w:rsidRPr="00BE0DBF">
        <w:rPr>
          <w:lang w:val="lv-LV"/>
        </w:rPr>
        <w:t>”</w:t>
      </w:r>
      <w:r w:rsidR="005614FD" w:rsidRPr="00BE0DBF">
        <w:rPr>
          <w:rStyle w:val="FootnoteReference"/>
          <w:lang w:val="lv-LV"/>
        </w:rPr>
        <w:footnoteReference w:id="10"/>
      </w:r>
      <w:r w:rsidR="000058C5" w:rsidRPr="00BE0DBF">
        <w:rPr>
          <w:lang w:val="lv-LV"/>
        </w:rPr>
        <w:t xml:space="preserve"> lietā</w:t>
      </w:r>
      <w:r w:rsidRPr="00BE0DBF">
        <w:rPr>
          <w:lang w:val="lv-LV"/>
        </w:rPr>
        <w:t xml:space="preserve">.  Neatbilstību skaita pieaugums bija salīdzinoši mērens, taču finanšu apjomi būtiski kāpa, pat šķērsojot neatbilstību skaita līniju / kāpuma amplitūdu. </w:t>
      </w:r>
    </w:p>
    <w:p w14:paraId="17B8F331" w14:textId="77777777" w:rsidR="00060A08" w:rsidRPr="00BE0DBF" w:rsidRDefault="00060A08" w:rsidP="005366F9">
      <w:pPr>
        <w:pStyle w:val="ListParagraph"/>
        <w:numPr>
          <w:ilvl w:val="0"/>
          <w:numId w:val="23"/>
        </w:numPr>
        <w:spacing w:after="120" w:line="276" w:lineRule="auto"/>
        <w:contextualSpacing w:val="0"/>
        <w:rPr>
          <w:lang w:val="lv-LV"/>
        </w:rPr>
      </w:pPr>
      <w:r w:rsidRPr="00BE0DBF">
        <w:rPr>
          <w:b/>
          <w:lang w:val="lv-LV"/>
        </w:rPr>
        <w:t xml:space="preserve">Kāpums 2019. gadā </w:t>
      </w:r>
      <w:r w:rsidRPr="00BE0DBF">
        <w:rPr>
          <w:lang w:val="lv-LV"/>
        </w:rPr>
        <w:t>2014.-2020. gada plānošanas periodā neatbilstību skaitā un apjomā ir izskaidrojams ar to, ka ERAF ietvaros tika konstatēti divi gadījumi ar lielu finanšu ietekmi saistībā ar aizdomām par krāpšanu</w:t>
      </w:r>
      <w:r w:rsidRPr="00BE0DBF">
        <w:rPr>
          <w:rStyle w:val="FootnoteReference"/>
          <w:lang w:val="lv-LV"/>
        </w:rPr>
        <w:footnoteReference w:id="11"/>
      </w:r>
      <w:r w:rsidRPr="00BE0DBF">
        <w:rPr>
          <w:lang w:val="lv-LV"/>
        </w:rPr>
        <w:t xml:space="preserve">. </w:t>
      </w:r>
    </w:p>
    <w:p w14:paraId="2D565DD1" w14:textId="77777777" w:rsidR="00060A08" w:rsidRPr="00BE0DBF" w:rsidRDefault="00060A08" w:rsidP="005366F9">
      <w:pPr>
        <w:pStyle w:val="ListParagraph"/>
        <w:numPr>
          <w:ilvl w:val="0"/>
          <w:numId w:val="23"/>
        </w:numPr>
        <w:spacing w:after="120" w:line="276" w:lineRule="auto"/>
        <w:contextualSpacing w:val="0"/>
        <w:rPr>
          <w:lang w:val="lv-LV"/>
        </w:rPr>
      </w:pPr>
      <w:r w:rsidRPr="00BE0DBF">
        <w:rPr>
          <w:b/>
          <w:lang w:val="lv-LV"/>
        </w:rPr>
        <w:t>2017. gadā</w:t>
      </w:r>
      <w:r w:rsidRPr="00BE0DBF">
        <w:rPr>
          <w:lang w:val="lv-LV"/>
        </w:rPr>
        <w:t xml:space="preserve"> 2014.-2020. gada plānošanas periodā neatbilstību skaita kāpums izskaidrojams ar ELFLA un ELGF fondu specifiku, proti, šajos fondos bija ļoti liels iesniegto pieteikumu / projekta iesniegumu un atbalsta saņēmēju skaits (ELGF ietvaros aptuveni 60 000 atbalsta saņēmēju un ELFLA ietvaros - 22 000). Tādējādi, salīdzinājumā ar citiem ES fondiem, tieši ELFLA un ELGF ietvaros šo konstatēto neatbilstību skaits ikgadēji ir liels, bet ar mazu finansiālo ietekmi.</w:t>
      </w:r>
    </w:p>
    <w:p w14:paraId="4BF3C546" w14:textId="2F64FBF9" w:rsidR="00B440DD" w:rsidRPr="00BE0DBF" w:rsidRDefault="00060A08" w:rsidP="00B440DD">
      <w:pPr>
        <w:pStyle w:val="ListParagraph"/>
        <w:numPr>
          <w:ilvl w:val="0"/>
          <w:numId w:val="23"/>
        </w:numPr>
        <w:spacing w:after="120" w:line="276" w:lineRule="auto"/>
        <w:contextualSpacing w:val="0"/>
        <w:rPr>
          <w:lang w:val="lv-LV"/>
        </w:rPr>
      </w:pPr>
      <w:r w:rsidRPr="00BE0DBF">
        <w:rPr>
          <w:b/>
          <w:bCs/>
          <w:lang w:val="lv-LV"/>
        </w:rPr>
        <w:t>2016. gada kāpum</w:t>
      </w:r>
      <w:r w:rsidR="00593665" w:rsidRPr="00BE0DBF">
        <w:rPr>
          <w:b/>
          <w:bCs/>
          <w:lang w:val="lv-LV"/>
        </w:rPr>
        <w:t xml:space="preserve">u </w:t>
      </w:r>
      <w:r w:rsidR="00593665" w:rsidRPr="00BE0DBF">
        <w:rPr>
          <w:lang w:val="lv-LV"/>
        </w:rPr>
        <w:t xml:space="preserve">ietekmēja </w:t>
      </w:r>
      <w:r w:rsidRPr="00BE0DBF">
        <w:rPr>
          <w:lang w:val="lv-LV"/>
        </w:rPr>
        <w:t>EK audit</w:t>
      </w:r>
      <w:r w:rsidR="00593665" w:rsidRPr="00BE0DBF">
        <w:rPr>
          <w:lang w:val="lv-LV"/>
        </w:rPr>
        <w:t>ā</w:t>
      </w:r>
      <w:r w:rsidRPr="00BE0DBF">
        <w:rPr>
          <w:lang w:val="lv-LV"/>
        </w:rPr>
        <w:t xml:space="preserve"> konstatēt</w:t>
      </w:r>
      <w:r w:rsidR="0075697F" w:rsidRPr="00BE0DBF">
        <w:rPr>
          <w:lang w:val="lv-LV"/>
        </w:rPr>
        <w:t>ais</w:t>
      </w:r>
      <w:r w:rsidR="00E6359A" w:rsidRPr="00BE0DBF">
        <w:rPr>
          <w:lang w:val="lv-LV"/>
        </w:rPr>
        <w:t xml:space="preserve"> par</w:t>
      </w:r>
      <w:r w:rsidRPr="00BE0DBF">
        <w:rPr>
          <w:lang w:val="lv-LV"/>
        </w:rPr>
        <w:t xml:space="preserve"> sistēmisk</w:t>
      </w:r>
      <w:r w:rsidR="00E6359A" w:rsidRPr="00BE0DBF">
        <w:rPr>
          <w:lang w:val="lv-LV"/>
        </w:rPr>
        <w:t>iem</w:t>
      </w:r>
      <w:r w:rsidRPr="00BE0DBF">
        <w:rPr>
          <w:lang w:val="lv-LV"/>
        </w:rPr>
        <w:t xml:space="preserve"> pārkāpum</w:t>
      </w:r>
      <w:r w:rsidR="00E6359A" w:rsidRPr="00BE0DBF">
        <w:rPr>
          <w:lang w:val="lv-LV"/>
        </w:rPr>
        <w:t>iem</w:t>
      </w:r>
      <w:r w:rsidRPr="00BE0DBF">
        <w:rPr>
          <w:lang w:val="lv-LV"/>
        </w:rPr>
        <w:t xml:space="preserve"> iepirkumos būvniecības jomā 2007.-2013. gada plānošanas periodā noslēgtiem </w:t>
      </w:r>
      <w:r w:rsidRPr="00BE0DBF">
        <w:rPr>
          <w:lang w:val="lv-LV"/>
        </w:rPr>
        <w:lastRenderedPageBreak/>
        <w:t>līgumiem KF un ERAF ietvaros, kam bija arī sistēmiska ietekme uz līgumiem, kas bija jau noslēgti 2014.-2020. gada plānošanas perioda ietvaros.</w:t>
      </w:r>
    </w:p>
    <w:p w14:paraId="5876D417" w14:textId="2875B0FF" w:rsidR="00B440DD" w:rsidRPr="00BE0DBF" w:rsidRDefault="00B440DD" w:rsidP="00B440DD">
      <w:pPr>
        <w:spacing w:after="120"/>
        <w:rPr>
          <w:lang w:val="lv-LV"/>
        </w:rPr>
      </w:pPr>
      <w:r w:rsidRPr="00BE0DBF">
        <w:rPr>
          <w:lang w:val="lv-LV"/>
        </w:rPr>
        <w:t xml:space="preserve">Savukārt, izvērtējot neatbilstības 2014.-2020. gada plānošanas periodā sadalījumā pa ES fondiem 2024. gadā (attēls Nr. 3), konstatējams, ka </w:t>
      </w:r>
      <w:r w:rsidRPr="00BE0DBF">
        <w:rPr>
          <w:b/>
          <w:bCs/>
          <w:lang w:val="lv-LV"/>
        </w:rPr>
        <w:t>visvairāk neatbilstību skaita ziņā tika atklātas ELFLA</w:t>
      </w:r>
      <w:r w:rsidRPr="00BE0DBF">
        <w:rPr>
          <w:lang w:val="lv-LV"/>
        </w:rPr>
        <w:t xml:space="preserve"> (187 neatbilstības jeb 42 % pret kopējo skaitu), </w:t>
      </w:r>
      <w:r w:rsidRPr="00BE0DBF">
        <w:rPr>
          <w:b/>
          <w:bCs/>
          <w:lang w:val="lv-LV"/>
        </w:rPr>
        <w:t>ERAF</w:t>
      </w:r>
      <w:r w:rsidRPr="00BE0DBF">
        <w:rPr>
          <w:lang w:val="lv-LV"/>
        </w:rPr>
        <w:t xml:space="preserve"> (113 neatbilstības jeb 25 % pret kopējo skaitu) un </w:t>
      </w:r>
      <w:r w:rsidRPr="00BE0DBF">
        <w:rPr>
          <w:b/>
          <w:bCs/>
          <w:lang w:val="lv-LV"/>
        </w:rPr>
        <w:t xml:space="preserve">ELGF </w:t>
      </w:r>
      <w:r w:rsidRPr="00BE0DBF">
        <w:rPr>
          <w:lang w:val="lv-LV"/>
        </w:rPr>
        <w:t xml:space="preserve">(73 neatbilstības jeb 16 % pret kopējo skaitu). </w:t>
      </w:r>
    </w:p>
    <w:p w14:paraId="61B364CC" w14:textId="77777777" w:rsidR="00B440DD" w:rsidRPr="00BE0DBF" w:rsidRDefault="00B440DD" w:rsidP="00B440DD">
      <w:pPr>
        <w:spacing w:after="120"/>
        <w:rPr>
          <w:lang w:val="lv-LV"/>
        </w:rPr>
      </w:pPr>
      <w:r w:rsidRPr="00BE0DBF">
        <w:rPr>
          <w:b/>
          <w:bCs/>
          <w:lang w:val="lv-LV"/>
        </w:rPr>
        <w:t>Lielākais neatbilstību apjoms finanšu izteiksmē</w:t>
      </w:r>
      <w:r w:rsidRPr="00BE0DBF">
        <w:rPr>
          <w:lang w:val="lv-LV"/>
        </w:rPr>
        <w:t xml:space="preserve"> 2024. gadā tika konstatēts </w:t>
      </w:r>
      <w:r w:rsidRPr="00BE0DBF">
        <w:rPr>
          <w:b/>
          <w:bCs/>
          <w:lang w:val="lv-LV"/>
        </w:rPr>
        <w:t xml:space="preserve">ERAF </w:t>
      </w:r>
      <w:r w:rsidRPr="00BE0DBF">
        <w:rPr>
          <w:lang w:val="lv-LV"/>
        </w:rPr>
        <w:t xml:space="preserve">projektos ( EUR 22 754 879,44 jeb 78 % no visas neatbilstību summas), kam seko neatbilstības </w:t>
      </w:r>
      <w:r w:rsidRPr="00BE0DBF">
        <w:rPr>
          <w:b/>
          <w:bCs/>
          <w:lang w:val="lv-LV"/>
        </w:rPr>
        <w:t>KF</w:t>
      </w:r>
      <w:r w:rsidRPr="00BE0DBF">
        <w:rPr>
          <w:lang w:val="lv-LV"/>
        </w:rPr>
        <w:t xml:space="preserve"> projektos (EUR 2 726 705,71 jeb 9 %) un </w:t>
      </w:r>
      <w:r w:rsidRPr="00BE0DBF">
        <w:rPr>
          <w:b/>
          <w:bCs/>
          <w:lang w:val="lv-LV"/>
        </w:rPr>
        <w:t>ELFLA</w:t>
      </w:r>
      <w:r w:rsidRPr="00BE0DBF">
        <w:rPr>
          <w:lang w:val="lv-LV"/>
        </w:rPr>
        <w:t xml:space="preserve"> projektos (EUR 2 466 499,38 jeb 8 %).</w:t>
      </w:r>
    </w:p>
    <w:p w14:paraId="32C52E11" w14:textId="30DD5629" w:rsidR="00B440DD" w:rsidRPr="003A305C" w:rsidRDefault="00B440DD" w:rsidP="003A305C">
      <w:pPr>
        <w:pStyle w:val="TabulasAttli"/>
        <w:ind w:firstLine="3686"/>
        <w:rPr>
          <w:sz w:val="20"/>
          <w:szCs w:val="20"/>
        </w:rPr>
      </w:pPr>
      <w:r w:rsidRPr="00D637D2">
        <w:rPr>
          <w:b/>
          <w:bCs/>
          <w:sz w:val="20"/>
          <w:szCs w:val="20"/>
        </w:rPr>
        <w:t xml:space="preserve">Attēls Nr.3 </w:t>
      </w:r>
      <w:r w:rsidRPr="00D637D2">
        <w:rPr>
          <w:sz w:val="20"/>
          <w:szCs w:val="20"/>
        </w:rPr>
        <w:t>Neatbilstību skaits un summas 2014.-2020. gada plānošanas periodā 2024. gadā sadalījumā pa ES fondiem</w:t>
      </w:r>
      <w:r w:rsidRPr="00387441">
        <w:rPr>
          <w:sz w:val="20"/>
          <w:szCs w:val="20"/>
        </w:rPr>
        <w:t xml:space="preserve"> </w:t>
      </w:r>
    </w:p>
    <w:p w14:paraId="233DBC4D" w14:textId="48116B3B" w:rsidR="007A08D1" w:rsidRPr="00BE0DBF" w:rsidRDefault="007A08D1" w:rsidP="00B440DD">
      <w:pPr>
        <w:ind w:firstLine="0"/>
        <w:rPr>
          <w:highlight w:val="lightGray"/>
          <w:lang w:val="lv-LV"/>
        </w:rPr>
      </w:pPr>
      <w:r w:rsidRPr="007A08D1">
        <w:rPr>
          <w:noProof/>
          <w:lang w:val="lv-LV"/>
        </w:rPr>
        <w:drawing>
          <wp:inline distT="0" distB="0" distL="0" distR="0" wp14:anchorId="5F4B80B0" wp14:editId="3D8D1D68">
            <wp:extent cx="6858000" cy="3616960"/>
            <wp:effectExtent l="0" t="0" r="0" b="2540"/>
            <wp:docPr id="2114942105" name="Picture 1" descr="A graph with blue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42105" name="Picture 1" descr="A graph with blue lines and numbers&#10;&#10;AI-generated content may be incorrect."/>
                    <pic:cNvPicPr/>
                  </pic:nvPicPr>
                  <pic:blipFill>
                    <a:blip r:embed="rId16"/>
                    <a:stretch>
                      <a:fillRect/>
                    </a:stretch>
                  </pic:blipFill>
                  <pic:spPr>
                    <a:xfrm>
                      <a:off x="0" y="0"/>
                      <a:ext cx="6858000" cy="3616960"/>
                    </a:xfrm>
                    <a:prstGeom prst="rect">
                      <a:avLst/>
                    </a:prstGeom>
                  </pic:spPr>
                </pic:pic>
              </a:graphicData>
            </a:graphic>
          </wp:inline>
        </w:drawing>
      </w:r>
    </w:p>
    <w:p w14:paraId="51850456" w14:textId="7516E97C" w:rsidR="00B440DD" w:rsidRPr="00BE0DBF" w:rsidRDefault="00B440DD" w:rsidP="00B440DD">
      <w:pPr>
        <w:spacing w:after="120"/>
        <w:rPr>
          <w:lang w:val="lv-LV"/>
        </w:rPr>
      </w:pPr>
      <w:r w:rsidRPr="00BE0DBF">
        <w:rPr>
          <w:lang w:val="lv-LV"/>
        </w:rPr>
        <w:t>ELFLA ir izteikti lielāks neatbilstību skaits, jo fondā ir ļoti liels iesniegto pieteikumu / projekta iesniegumu un atbalsta saņēmēju skaits, taču projektu summas ir salīdzinoši nelielas. Papildus, salīdzinot neatbilstību konstatēšanas tendences gadu griezumā, redzams, ka lauksaimniecības fondos (ELFLA un ELGF) tās ir pastāvīgas un vidējais vienas neatbilstības apjoms ir salīdzinoši zems (detalizētāku informāciju skatīt B.</w:t>
      </w:r>
      <w:r w:rsidR="006853DA" w:rsidRPr="00BE0DBF">
        <w:rPr>
          <w:lang w:val="lv-LV"/>
        </w:rPr>
        <w:t>3</w:t>
      </w:r>
      <w:r w:rsidRPr="00BE0DBF">
        <w:rPr>
          <w:lang w:val="lv-LV"/>
        </w:rPr>
        <w:t xml:space="preserve">.2. sadaļā). </w:t>
      </w:r>
    </w:p>
    <w:p w14:paraId="7C8DD360" w14:textId="2E807A5A" w:rsidR="00112F85" w:rsidRPr="00BE0DBF" w:rsidRDefault="00B440DD" w:rsidP="00B759CA">
      <w:pPr>
        <w:spacing w:after="120"/>
        <w:rPr>
          <w:lang w:val="lv-LV"/>
        </w:rPr>
      </w:pPr>
      <w:r w:rsidRPr="00BE0DBF">
        <w:rPr>
          <w:lang w:val="lv-LV"/>
        </w:rPr>
        <w:t>Savukārt, ERAF lielais neatbilstību summas apjoms skaidrojams ar to, ka šo fondu ietvaros tiek realizēti finansiālā ziņā apjomīgāki projekti, kamēr projektu skaits ir salīdzinoši neliels, līdz ar to arī atklātās neatbilstības ir ar lielu finansiālo ietekmi (detalizētāku informāciju skatīt B.</w:t>
      </w:r>
      <w:r w:rsidR="006853DA" w:rsidRPr="00BE0DBF">
        <w:rPr>
          <w:lang w:val="lv-LV"/>
        </w:rPr>
        <w:t>3</w:t>
      </w:r>
      <w:r w:rsidRPr="00BE0DBF">
        <w:rPr>
          <w:lang w:val="lv-LV"/>
        </w:rPr>
        <w:t>.1. sadaļā).</w:t>
      </w:r>
      <w:r w:rsidR="00B470B8" w:rsidRPr="00B470B8">
        <w:rPr>
          <w:lang w:val="lv-LV"/>
        </w:rPr>
        <w:t xml:space="preserve"> </w:t>
      </w:r>
      <w:r w:rsidR="00B470B8" w:rsidRPr="00B246B4">
        <w:rPr>
          <w:lang w:val="lv-LV"/>
        </w:rPr>
        <w:t>Turklāt, kā iepriekš minēts, 2024. gadā vairākos ERAF projektos EK audita ietvaros tika konstatēts interešu konflikts.</w:t>
      </w:r>
      <w:r w:rsidR="00B470B8" w:rsidRPr="68A59405">
        <w:rPr>
          <w:lang w:val="lv-LV"/>
        </w:rPr>
        <w:t xml:space="preserve"> </w:t>
      </w:r>
    </w:p>
    <w:p w14:paraId="64E7A8BE" w14:textId="3F1628C0" w:rsidR="00324514" w:rsidRPr="00387441" w:rsidRDefault="00324514" w:rsidP="00324514">
      <w:pPr>
        <w:pStyle w:val="Heading4"/>
      </w:pPr>
      <w:bookmarkStart w:id="48" w:name="_Toc192753100"/>
      <w:r w:rsidRPr="00387441">
        <w:lastRenderedPageBreak/>
        <w:t xml:space="preserve">B.1.2. </w:t>
      </w:r>
      <w:r w:rsidR="00D53FAF" w:rsidRPr="00387441">
        <w:t xml:space="preserve"> </w:t>
      </w:r>
      <w:r w:rsidRPr="00387441">
        <w:t>2021. - 2027. gada plānošanas periods</w:t>
      </w:r>
      <w:bookmarkEnd w:id="48"/>
    </w:p>
    <w:p w14:paraId="26417949" w14:textId="6218FDF0" w:rsidR="00324514" w:rsidRPr="00BE0DBF" w:rsidRDefault="00324514" w:rsidP="00324514">
      <w:pPr>
        <w:spacing w:after="120"/>
        <w:rPr>
          <w:lang w:val="lv-LV"/>
        </w:rPr>
      </w:pPr>
      <w:r w:rsidRPr="00BE0DBF">
        <w:rPr>
          <w:lang w:val="lv-LV"/>
        </w:rPr>
        <w:t xml:space="preserve">2024. gadā </w:t>
      </w:r>
      <w:r w:rsidR="00237125" w:rsidRPr="00BE0DBF">
        <w:rPr>
          <w:lang w:val="lv-LV"/>
        </w:rPr>
        <w:t xml:space="preserve">2021. - 2027. gada plānošanas perioda ietvaros </w:t>
      </w:r>
      <w:r w:rsidRPr="00BE0DBF">
        <w:rPr>
          <w:lang w:val="lv-LV"/>
        </w:rPr>
        <w:t xml:space="preserve">konstatētas </w:t>
      </w:r>
      <w:r w:rsidRPr="00BE0DBF">
        <w:rPr>
          <w:b/>
          <w:bCs/>
          <w:lang w:val="lv-LV"/>
        </w:rPr>
        <w:t>733 neatbilstības</w:t>
      </w:r>
      <w:r w:rsidRPr="00BE0DBF">
        <w:rPr>
          <w:lang w:val="lv-LV"/>
        </w:rPr>
        <w:t xml:space="preserve"> (2023. gadā – 10 neatbilstības) </w:t>
      </w:r>
      <w:r w:rsidRPr="00BE0DBF">
        <w:rPr>
          <w:b/>
          <w:bCs/>
          <w:lang w:val="lv-LV"/>
        </w:rPr>
        <w:t>par kopējo summu EUR 646 939,45</w:t>
      </w:r>
      <w:r w:rsidRPr="00BE0DBF">
        <w:rPr>
          <w:lang w:val="lv-LV"/>
        </w:rPr>
        <w:t xml:space="preserve"> (2023. gadā –  EUR 2 367.73), neatbilstību summas īpatsvars pret kopējiem attiecināmajiem izdevumiem ir </w:t>
      </w:r>
      <w:r w:rsidRPr="00BE0DBF">
        <w:rPr>
          <w:b/>
          <w:bCs/>
          <w:lang w:val="lv-LV"/>
        </w:rPr>
        <w:t>0.10 %</w:t>
      </w:r>
      <w:r w:rsidRPr="00BE0DBF">
        <w:rPr>
          <w:lang w:val="lv-LV"/>
        </w:rPr>
        <w:t xml:space="preserve"> (2023. gadā –  0.0007%). </w:t>
      </w:r>
      <w:r w:rsidRPr="00BE0DBF">
        <w:rPr>
          <w:b/>
          <w:bCs/>
          <w:lang w:val="lv-LV"/>
        </w:rPr>
        <w:t>Neatbilstību skaita un summas kāpums izskaidrojams ar jaunā plānošanas perioda aktīvāku ieviešanu</w:t>
      </w:r>
      <w:r w:rsidRPr="00BE0DBF">
        <w:rPr>
          <w:lang w:val="lv-LV"/>
        </w:rPr>
        <w:t>, līdz ar to  pieaugot arī neatbilstību apjomam, kas atklāts veicot ES fondu uzraudzību.</w:t>
      </w:r>
    </w:p>
    <w:p w14:paraId="51B376D2" w14:textId="77777777" w:rsidR="00A57D76" w:rsidRPr="00BE0DBF" w:rsidRDefault="00A57D76" w:rsidP="00A57D76">
      <w:pPr>
        <w:spacing w:after="120"/>
        <w:rPr>
          <w:lang w:val="lv-LV"/>
        </w:rPr>
      </w:pPr>
      <w:r w:rsidRPr="00BE0DBF">
        <w:rPr>
          <w:lang w:val="lv-LV"/>
        </w:rPr>
        <w:t xml:space="preserve">Izvērtējot neatbilstības 2021.-2027. gada plānošanas periodā sadalījumā pa ES fondiem 2024. gadā (attēls Nr.4), konstatējams, ka </w:t>
      </w:r>
      <w:r w:rsidRPr="00BE0DBF">
        <w:rPr>
          <w:b/>
          <w:bCs/>
          <w:lang w:val="lv-LV"/>
        </w:rPr>
        <w:t>visvairāk neatbilstību skaita ziņā tika atklātas ELGF</w:t>
      </w:r>
      <w:r w:rsidRPr="00BE0DBF">
        <w:rPr>
          <w:lang w:val="lv-LV"/>
        </w:rPr>
        <w:t xml:space="preserve"> (542 neatbilstības jeb 74 % pret kopējo skaitu) un </w:t>
      </w:r>
      <w:r w:rsidRPr="00BE0DBF">
        <w:rPr>
          <w:b/>
          <w:bCs/>
          <w:lang w:val="lv-LV"/>
        </w:rPr>
        <w:t>ELFLA</w:t>
      </w:r>
      <w:r w:rsidRPr="00BE0DBF">
        <w:rPr>
          <w:lang w:val="lv-LV"/>
        </w:rPr>
        <w:t xml:space="preserve"> ( 145 neatbilstības jeb 20 % pret kopējo skaitu). </w:t>
      </w:r>
    </w:p>
    <w:p w14:paraId="6CE24422" w14:textId="77777777" w:rsidR="00A57D76" w:rsidRPr="00BE0DBF" w:rsidRDefault="00A57D76" w:rsidP="00A57D76">
      <w:pPr>
        <w:spacing w:after="120"/>
        <w:rPr>
          <w:lang w:val="lv-LV"/>
        </w:rPr>
      </w:pPr>
      <w:r w:rsidRPr="00BE0DBF">
        <w:rPr>
          <w:b/>
          <w:bCs/>
          <w:lang w:val="lv-LV"/>
        </w:rPr>
        <w:t>Lielākais neatbilstību apjoms finanšu izteiksmē</w:t>
      </w:r>
      <w:r w:rsidRPr="00BE0DBF">
        <w:rPr>
          <w:lang w:val="lv-LV"/>
        </w:rPr>
        <w:t xml:space="preserve"> 2024. gadā tika konstatēts </w:t>
      </w:r>
      <w:r w:rsidRPr="00BE0DBF">
        <w:rPr>
          <w:b/>
          <w:bCs/>
          <w:lang w:val="lv-LV"/>
        </w:rPr>
        <w:t xml:space="preserve">EJZAF </w:t>
      </w:r>
      <w:r w:rsidRPr="00BE0DBF">
        <w:rPr>
          <w:lang w:val="lv-LV"/>
        </w:rPr>
        <w:t xml:space="preserve">projektos (EUR 257 137,25 jeb 40 % no visas neatbilstību summas), kam seko neatbilstības </w:t>
      </w:r>
      <w:r w:rsidRPr="00BE0DBF">
        <w:rPr>
          <w:b/>
          <w:bCs/>
          <w:lang w:val="lv-LV"/>
        </w:rPr>
        <w:t xml:space="preserve">ELGF </w:t>
      </w:r>
      <w:r w:rsidRPr="00BE0DBF">
        <w:rPr>
          <w:lang w:val="lv-LV"/>
        </w:rPr>
        <w:t xml:space="preserve">projektos (EUR 154 470,60 jeb 24 %) un </w:t>
      </w:r>
      <w:r w:rsidRPr="00BE0DBF">
        <w:rPr>
          <w:b/>
          <w:bCs/>
          <w:lang w:val="lv-LV"/>
        </w:rPr>
        <w:t>ELFLA</w:t>
      </w:r>
      <w:r w:rsidRPr="00BE0DBF">
        <w:rPr>
          <w:lang w:val="lv-LV"/>
        </w:rPr>
        <w:t xml:space="preserve"> projektos (EUR 98 959,64 jeb 15 %).</w:t>
      </w:r>
    </w:p>
    <w:p w14:paraId="3F5CB121" w14:textId="77777777" w:rsidR="00A57D76" w:rsidRPr="00387441" w:rsidRDefault="00A57D76" w:rsidP="00A57D76">
      <w:pPr>
        <w:pStyle w:val="TabulasAttli"/>
        <w:ind w:firstLine="3686"/>
        <w:rPr>
          <w:sz w:val="20"/>
          <w:szCs w:val="20"/>
        </w:rPr>
      </w:pPr>
      <w:r w:rsidRPr="00387441">
        <w:rPr>
          <w:b/>
          <w:bCs/>
          <w:sz w:val="20"/>
          <w:szCs w:val="20"/>
        </w:rPr>
        <w:t xml:space="preserve">Attēls Nr.4 </w:t>
      </w:r>
      <w:r w:rsidRPr="00387441">
        <w:rPr>
          <w:sz w:val="20"/>
          <w:szCs w:val="20"/>
        </w:rPr>
        <w:t xml:space="preserve">Neatbilstību skaits un summas 2021.-2027. gada plānošanas periodā 2024. gadā sadalījumā pa ES fondiem </w:t>
      </w:r>
    </w:p>
    <w:p w14:paraId="620424AA" w14:textId="6420D7CB" w:rsidR="00A57D76" w:rsidRPr="00BE0DBF" w:rsidRDefault="00EB76D7" w:rsidP="00A57D76">
      <w:pPr>
        <w:spacing w:after="120"/>
        <w:ind w:firstLine="0"/>
        <w:rPr>
          <w:lang w:val="lv-LV"/>
        </w:rPr>
      </w:pPr>
      <w:r w:rsidRPr="00EB76D7">
        <w:rPr>
          <w:noProof/>
          <w:lang w:val="lv-LV"/>
        </w:rPr>
        <w:drawing>
          <wp:inline distT="0" distB="0" distL="0" distR="0" wp14:anchorId="5B037676" wp14:editId="673A83FE">
            <wp:extent cx="6858000" cy="3419475"/>
            <wp:effectExtent l="0" t="0" r="0" b="9525"/>
            <wp:docPr id="1694884167" name="Picture 1" descr="A graph with a lin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84167" name="Picture 1" descr="A graph with a line and numbers&#10;&#10;AI-generated content may be incorrect."/>
                    <pic:cNvPicPr/>
                  </pic:nvPicPr>
                  <pic:blipFill>
                    <a:blip r:embed="rId17"/>
                    <a:stretch>
                      <a:fillRect/>
                    </a:stretch>
                  </pic:blipFill>
                  <pic:spPr>
                    <a:xfrm>
                      <a:off x="0" y="0"/>
                      <a:ext cx="6858000" cy="3419475"/>
                    </a:xfrm>
                    <a:prstGeom prst="rect">
                      <a:avLst/>
                    </a:prstGeom>
                  </pic:spPr>
                </pic:pic>
              </a:graphicData>
            </a:graphic>
          </wp:inline>
        </w:drawing>
      </w:r>
    </w:p>
    <w:p w14:paraId="53FF7A41" w14:textId="77777777" w:rsidR="00A57D76" w:rsidRPr="00BE0DBF" w:rsidRDefault="00A57D76" w:rsidP="00A57D76">
      <w:pPr>
        <w:spacing w:after="120"/>
        <w:ind w:firstLine="0"/>
        <w:rPr>
          <w:lang w:val="lv-LV"/>
        </w:rPr>
      </w:pPr>
    </w:p>
    <w:p w14:paraId="160AD8C3" w14:textId="010300C7" w:rsidR="00A57D76" w:rsidRPr="00387441" w:rsidRDefault="00A57D76" w:rsidP="00A57D76">
      <w:pPr>
        <w:pStyle w:val="Heading4"/>
      </w:pPr>
      <w:bookmarkStart w:id="49" w:name="_Toc192753101"/>
      <w:r w:rsidRPr="00387441">
        <w:t>B.1.3 Investīciju un neatbilstību apjoma salīdzinājums ceturtajos plānošanas periodu ieviešanas gados (2017., 2024. gads)</w:t>
      </w:r>
      <w:bookmarkEnd w:id="49"/>
    </w:p>
    <w:p w14:paraId="1629BE62" w14:textId="73FB9833" w:rsidR="00BF0F51" w:rsidRPr="00BE0DBF" w:rsidRDefault="00BF0F51" w:rsidP="00BF0F51">
      <w:pPr>
        <w:spacing w:after="120" w:line="276" w:lineRule="auto"/>
        <w:rPr>
          <w:lang w:val="lv-LV"/>
        </w:rPr>
      </w:pPr>
      <w:r w:rsidRPr="00BE0DBF">
        <w:rPr>
          <w:lang w:val="lv-LV"/>
        </w:rPr>
        <w:t>Lai gūtu ieskatu dažādu plānošanas periodu griezumā, veicām salīdzinājumu 2014.-2020. un 2021.-2027. gadu plānošanas periodu ceturtajiem ieviešanas gadiem, t.i., 2017. un 2024. gadam.</w:t>
      </w:r>
    </w:p>
    <w:p w14:paraId="2A909E0F" w14:textId="72E6235C" w:rsidR="002E6D32" w:rsidRPr="00727325" w:rsidRDefault="00BF0F51" w:rsidP="00710ABB">
      <w:pPr>
        <w:spacing w:after="120" w:line="276" w:lineRule="auto"/>
        <w:rPr>
          <w:lang w:val="lv-LV"/>
        </w:rPr>
      </w:pPr>
      <w:r w:rsidRPr="00387441">
        <w:rPr>
          <w:lang w:val="lv-LV"/>
        </w:rPr>
        <w:lastRenderedPageBreak/>
        <w:t>Kā redzams attēlā Nr.</w:t>
      </w:r>
      <w:r w:rsidR="009F75A3" w:rsidRPr="00387441">
        <w:rPr>
          <w:lang w:val="lv-LV"/>
        </w:rPr>
        <w:t>5</w:t>
      </w:r>
      <w:r w:rsidRPr="00387441">
        <w:rPr>
          <w:lang w:val="lv-LV"/>
        </w:rPr>
        <w:t xml:space="preserve"> 2021.-2027. gada plānošanas periodā attiecināmo izdevumu summas atsevišķos fondos, piemēram, ELGF, EJZAF un ESF+ </w:t>
      </w:r>
      <w:r w:rsidR="0016194D" w:rsidRPr="00387441">
        <w:rPr>
          <w:lang w:val="lv-LV"/>
        </w:rPr>
        <w:t xml:space="preserve">programma </w:t>
      </w:r>
      <w:r w:rsidRPr="00387441">
        <w:rPr>
          <w:lang w:val="lv-LV"/>
        </w:rPr>
        <w:t xml:space="preserve">ir augstākas, nekā iepriekšējā plānošanas perioda ceturtajā ieviešanas gadā pielīdzināmos fondos, taču lielākajā daļā fondu naudas apguve nesasniedz vai ir zemāka nekā 2014.-2020. perioda rādītāji, kas liecina par salīdzinoši lēnāku ES finansējuma investēšanu no 2021.-2027. plānošanas perioda fondiem. Turklāt, 2014.-2020. gada plānošanas periodā izdevumu attiecināmība noslēdzās tikai </w:t>
      </w:r>
      <w:r w:rsidRPr="004861E8">
        <w:rPr>
          <w:lang w:val="lv-LV"/>
        </w:rPr>
        <w:t>202</w:t>
      </w:r>
      <w:r w:rsidR="007D6B13" w:rsidRPr="004861E8">
        <w:rPr>
          <w:lang w:val="lv-LV"/>
        </w:rPr>
        <w:t>3</w:t>
      </w:r>
      <w:r w:rsidRPr="004861E8">
        <w:rPr>
          <w:lang w:val="lv-LV"/>
        </w:rPr>
        <w:t>. gada 31. decembrī</w:t>
      </w:r>
      <w:r w:rsidRPr="00387441">
        <w:rPr>
          <w:lang w:val="lv-LV"/>
        </w:rPr>
        <w:t>, t.i. paralēli 2021.-</w:t>
      </w:r>
      <w:r w:rsidRPr="00727325">
        <w:rPr>
          <w:lang w:val="lv-LV"/>
        </w:rPr>
        <w:t>2027. plānošanas perioda un  AF projektiem</w:t>
      </w:r>
      <w:r w:rsidR="00710ABB" w:rsidRPr="00727325">
        <w:rPr>
          <w:lang w:val="lv-LV"/>
        </w:rPr>
        <w:t>, t</w:t>
      </w:r>
      <w:r w:rsidRPr="00727325">
        <w:rPr>
          <w:lang w:val="lv-LV"/>
        </w:rPr>
        <w:t xml:space="preserve">aču šobrīd notiek aktīva projektu konkursu izsludināšana, līgumu slēgšana un projektu ieviešana, līdz ar ko ir prognozējamas augšupejošas tendences tuvākos gados.   </w:t>
      </w:r>
    </w:p>
    <w:p w14:paraId="02C047E7" w14:textId="5E95E595" w:rsidR="00BF0F51" w:rsidRPr="00BE0DBF" w:rsidRDefault="002E6D32" w:rsidP="00F01968">
      <w:pPr>
        <w:spacing w:after="120" w:line="276" w:lineRule="auto"/>
        <w:rPr>
          <w:lang w:val="lv-LV"/>
        </w:rPr>
      </w:pPr>
      <w:r w:rsidRPr="007630D6">
        <w:rPr>
          <w:lang w:val="lv-LV"/>
        </w:rPr>
        <w:t>ETS ietvaros attiecināmo izmaksu apjoms ir mazāks kā attiecīgajā gadā iepriekšējā plānošanas periodā, jo  2021.-2027. gada plānošanas periodā ir mazāks īstenojamo programmu skaits un pieejamais finansējums.</w:t>
      </w:r>
    </w:p>
    <w:p w14:paraId="259312A8" w14:textId="7C2F68F2" w:rsidR="00BF0F51" w:rsidRPr="00BE0DBF" w:rsidRDefault="00BF0F51" w:rsidP="00BF0F51">
      <w:pPr>
        <w:ind w:left="3686" w:firstLine="0"/>
        <w:jc w:val="right"/>
        <w:rPr>
          <w:sz w:val="20"/>
          <w:szCs w:val="20"/>
          <w:lang w:val="lv-LV"/>
        </w:rPr>
      </w:pPr>
      <w:r w:rsidRPr="00BE0DBF">
        <w:rPr>
          <w:b/>
          <w:i/>
          <w:sz w:val="20"/>
          <w:szCs w:val="20"/>
          <w:lang w:val="lv-LV"/>
        </w:rPr>
        <w:t>Attēls Nr.</w:t>
      </w:r>
      <w:r w:rsidR="00CA6DFE" w:rsidRPr="00BE0DBF">
        <w:rPr>
          <w:b/>
          <w:i/>
          <w:sz w:val="20"/>
          <w:szCs w:val="20"/>
          <w:lang w:val="lv-LV"/>
        </w:rPr>
        <w:t>5</w:t>
      </w:r>
      <w:r w:rsidRPr="00BE0DBF">
        <w:rPr>
          <w:bCs/>
          <w:i/>
          <w:sz w:val="20"/>
          <w:szCs w:val="20"/>
          <w:lang w:val="lv-LV"/>
        </w:rPr>
        <w:t xml:space="preserve"> Kopējo attiecināmo izdevumu summa EUR,  2014.-2020. un 2021.-2027. plānošanas periodu ceturtajos ieviešanas  gados, t.i., 2017. un 2024. gadā</w:t>
      </w:r>
    </w:p>
    <w:p w14:paraId="163F712E" w14:textId="77777777" w:rsidR="00BF0F51" w:rsidRPr="00BE0DBF" w:rsidRDefault="00BF0F51" w:rsidP="00BF0F51">
      <w:pPr>
        <w:rPr>
          <w:lang w:val="lv-LV"/>
        </w:rPr>
      </w:pPr>
      <w:r w:rsidRPr="00BE0DBF">
        <w:rPr>
          <w:b/>
          <w:noProof/>
          <w:lang w:val="lv-LV" w:eastAsia="lv-LV"/>
        </w:rPr>
        <w:drawing>
          <wp:inline distT="0" distB="0" distL="0" distR="0" wp14:anchorId="5571EB0B" wp14:editId="34E3971D">
            <wp:extent cx="6362700" cy="3590925"/>
            <wp:effectExtent l="0" t="0" r="0" b="9525"/>
            <wp:docPr id="573807966" name="Chart 5738079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3A3066" w14:textId="665A448D" w:rsidR="00BF0F51" w:rsidRPr="00BE0DBF" w:rsidRDefault="00BF0F51" w:rsidP="00A651D3">
      <w:pPr>
        <w:spacing w:after="120" w:line="276" w:lineRule="auto"/>
        <w:rPr>
          <w:lang w:val="lv-LV"/>
        </w:rPr>
      </w:pPr>
      <w:r w:rsidRPr="00387441">
        <w:rPr>
          <w:lang w:val="lv-LV"/>
        </w:rPr>
        <w:t xml:space="preserve">Analizējot abu plānošanas periodu neatbilstību skaitu un summas, secināms, ka lielākajā daļā </w:t>
      </w:r>
      <w:r w:rsidR="00920667" w:rsidRPr="00387441">
        <w:rPr>
          <w:lang w:val="lv-LV"/>
        </w:rPr>
        <w:t xml:space="preserve">2021.-2027. gada plānošanas perioda </w:t>
      </w:r>
      <w:r w:rsidRPr="00387441">
        <w:rPr>
          <w:lang w:val="lv-LV"/>
        </w:rPr>
        <w:t>fondu vērojams mazāks konstatēto neatbilstību skaits un neatbilstošo izdevumu summas. Tikai EJZAF, ELGF</w:t>
      </w:r>
      <w:r w:rsidR="006F7AF6" w:rsidRPr="00387441">
        <w:rPr>
          <w:lang w:val="lv-LV"/>
        </w:rPr>
        <w:t xml:space="preserve"> un</w:t>
      </w:r>
      <w:r w:rsidRPr="00387441">
        <w:rPr>
          <w:lang w:val="lv-LV"/>
        </w:rPr>
        <w:t xml:space="preserve"> ESF+ </w:t>
      </w:r>
      <w:r w:rsidR="0016194D" w:rsidRPr="00387441">
        <w:rPr>
          <w:lang w:val="lv-LV"/>
        </w:rPr>
        <w:t>programma</w:t>
      </w:r>
      <w:r w:rsidR="006F7AF6" w:rsidRPr="00387441">
        <w:rPr>
          <w:lang w:val="lv-LV"/>
        </w:rPr>
        <w:t>s</w:t>
      </w:r>
      <w:r w:rsidR="0016194D" w:rsidRPr="00387441">
        <w:rPr>
          <w:lang w:val="lv-LV"/>
        </w:rPr>
        <w:t xml:space="preserve"> </w:t>
      </w:r>
      <w:r w:rsidRPr="00387441">
        <w:rPr>
          <w:lang w:val="lv-LV"/>
        </w:rPr>
        <w:t>ietvaros konstatēto neatbilstību skaits ir lielāks nekā iepriekšējā plānošanas perioda ceturtajā ieviešanas gadā pielīdzināmiem fondiem (skatīt attēlu Nr.</w:t>
      </w:r>
      <w:r w:rsidR="006F7AF6" w:rsidRPr="00387441">
        <w:rPr>
          <w:lang w:val="lv-LV"/>
        </w:rPr>
        <w:t>6</w:t>
      </w:r>
      <w:r w:rsidRPr="00387441">
        <w:rPr>
          <w:lang w:val="lv-LV"/>
        </w:rPr>
        <w:t>), līdzīga situācija ir arī ar neatbilstību summām ( skatīt attēlu Nr.</w:t>
      </w:r>
      <w:r w:rsidR="006F7AF6" w:rsidRPr="00387441">
        <w:rPr>
          <w:lang w:val="lv-LV"/>
        </w:rPr>
        <w:t>7</w:t>
      </w:r>
      <w:r w:rsidRPr="00387441">
        <w:rPr>
          <w:lang w:val="lv-LV"/>
        </w:rPr>
        <w:t xml:space="preserve">). Papildus redzams, ka Iekšlietu ministrijas pārraudzībā esošajos fondos neatbilstību summas ir augstākas, nekā iepriekšējā </w:t>
      </w:r>
      <w:r w:rsidRPr="00387441">
        <w:rPr>
          <w:lang w:val="lv-LV"/>
        </w:rPr>
        <w:lastRenderedPageBreak/>
        <w:t>perioda ceturtajā ieviešanas gadā, taču jāņem vērā, ka 2021.-2027. gada plānošanas periodā Iekšlietu ministrijas pārraudzībā ir 3 fondi ( IDF, PMIF, RPVP), bet iepriekšējā bija tikai 2 (IDF un PMIF).</w:t>
      </w:r>
    </w:p>
    <w:p w14:paraId="62457B62" w14:textId="0D11757B" w:rsidR="003E2A09" w:rsidRPr="00BE0DBF" w:rsidRDefault="00451D0C" w:rsidP="009110B7">
      <w:pPr>
        <w:spacing w:after="120" w:line="276" w:lineRule="auto"/>
        <w:rPr>
          <w:lang w:val="lv-LV"/>
        </w:rPr>
      </w:pPr>
      <w:r w:rsidRPr="00BE0DBF">
        <w:rPr>
          <w:lang w:val="lv-LV"/>
        </w:rPr>
        <w:t xml:space="preserve">ERAF, ESF+ un KF ietvaros neatbilstību </w:t>
      </w:r>
      <w:r w:rsidR="00753CD6" w:rsidRPr="00753CD6">
        <w:rPr>
          <w:lang w:val="lv-LV"/>
        </w:rPr>
        <w:t>skaits</w:t>
      </w:r>
      <w:r w:rsidRPr="00BE0DBF">
        <w:rPr>
          <w:lang w:val="lv-LV"/>
        </w:rPr>
        <w:t xml:space="preserve"> ir mazāks kā attiecīgajā gadā iepriekšējā plānošanas period</w:t>
      </w:r>
      <w:r w:rsidR="00447CAA">
        <w:rPr>
          <w:lang w:val="lv-LV"/>
        </w:rPr>
        <w:t>ā</w:t>
      </w:r>
      <w:r w:rsidRPr="00BE0DBF">
        <w:rPr>
          <w:lang w:val="lv-LV"/>
        </w:rPr>
        <w:t>, jo p</w:t>
      </w:r>
      <w:r w:rsidR="000E36E2" w:rsidRPr="00BE0DBF">
        <w:rPr>
          <w:lang w:val="lv-LV"/>
        </w:rPr>
        <w:t xml:space="preserve">rojektu ieviešana ir uzsākta lēnāk, kā arī </w:t>
      </w:r>
      <w:r w:rsidR="00A20332" w:rsidRPr="00BE0DBF">
        <w:rPr>
          <w:lang w:val="lv-LV"/>
        </w:rPr>
        <w:t xml:space="preserve">ir </w:t>
      </w:r>
      <w:r w:rsidR="00191A71" w:rsidRPr="00BE0DBF">
        <w:rPr>
          <w:lang w:val="lv-LV"/>
        </w:rPr>
        <w:t>mainīta</w:t>
      </w:r>
      <w:r w:rsidR="006F6F71" w:rsidRPr="00BE0DBF">
        <w:rPr>
          <w:lang w:val="lv-LV"/>
        </w:rPr>
        <w:t xml:space="preserve"> pieeja finanšu korekciju piemērošan</w:t>
      </w:r>
      <w:r w:rsidR="00447CAA">
        <w:rPr>
          <w:lang w:val="lv-LV"/>
        </w:rPr>
        <w:t>ai</w:t>
      </w:r>
      <w:r w:rsidR="006F6F71" w:rsidRPr="00BE0DBF">
        <w:rPr>
          <w:lang w:val="lv-LV"/>
        </w:rPr>
        <w:t xml:space="preserve"> neatbilstību gadījumā.</w:t>
      </w:r>
    </w:p>
    <w:p w14:paraId="7B5F87A7" w14:textId="44DA20A0" w:rsidR="00BF0F51" w:rsidRPr="00BE0DBF" w:rsidRDefault="00BF0F51" w:rsidP="00BF0F51">
      <w:pPr>
        <w:ind w:left="4253" w:firstLine="0"/>
        <w:jc w:val="right"/>
        <w:rPr>
          <w:bCs/>
          <w:sz w:val="20"/>
          <w:szCs w:val="20"/>
          <w:lang w:val="lv-LV" w:eastAsia="lv-LV"/>
        </w:rPr>
      </w:pPr>
      <w:r w:rsidRPr="00BE0DBF">
        <w:rPr>
          <w:b/>
          <w:i/>
          <w:sz w:val="20"/>
          <w:szCs w:val="20"/>
          <w:lang w:val="lv-LV"/>
        </w:rPr>
        <w:t>Attēls Nr.</w:t>
      </w:r>
      <w:r w:rsidR="00CA6DFE" w:rsidRPr="00BE0DBF">
        <w:rPr>
          <w:b/>
          <w:i/>
          <w:sz w:val="20"/>
          <w:szCs w:val="20"/>
          <w:lang w:val="lv-LV"/>
        </w:rPr>
        <w:t>6</w:t>
      </w:r>
      <w:r w:rsidRPr="00BE0DBF">
        <w:rPr>
          <w:bCs/>
          <w:i/>
          <w:sz w:val="20"/>
          <w:szCs w:val="20"/>
          <w:lang w:val="lv-LV"/>
        </w:rPr>
        <w:t xml:space="preserve"> Neatbilstību skaits gab., 2014.-2020 un 2021.-2027. plānošanas periodu ceturtajos ieviešanas gados, t.i., 2017. un 2024. gadā</w:t>
      </w:r>
      <w:r w:rsidRPr="00BE0DBF">
        <w:rPr>
          <w:bCs/>
          <w:sz w:val="20"/>
          <w:szCs w:val="20"/>
          <w:lang w:val="lv-LV" w:eastAsia="lv-LV"/>
        </w:rPr>
        <w:t xml:space="preserve"> </w:t>
      </w:r>
    </w:p>
    <w:p w14:paraId="6C8B136B" w14:textId="12F61D58" w:rsidR="009110B7" w:rsidRPr="00B759CA" w:rsidRDefault="00BF0F51" w:rsidP="00B759CA">
      <w:pPr>
        <w:rPr>
          <w:lang w:val="lv-LV"/>
        </w:rPr>
      </w:pPr>
      <w:r w:rsidRPr="00BE0DBF">
        <w:rPr>
          <w:b/>
          <w:noProof/>
          <w:lang w:val="lv-LV" w:eastAsia="lv-LV"/>
        </w:rPr>
        <w:drawing>
          <wp:inline distT="0" distB="0" distL="0" distR="0" wp14:anchorId="1B6C92BA" wp14:editId="0C73DAD0">
            <wp:extent cx="6477000" cy="3028950"/>
            <wp:effectExtent l="0" t="0" r="0" b="0"/>
            <wp:docPr id="844261999" name="Chart 8442619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EAE813" w14:textId="7472A0AD" w:rsidR="00BF0F51" w:rsidRPr="00BE0DBF" w:rsidRDefault="00BF0F51" w:rsidP="00BF0F51">
      <w:pPr>
        <w:ind w:firstLine="5103"/>
        <w:jc w:val="right"/>
        <w:rPr>
          <w:bCs/>
          <w:sz w:val="20"/>
          <w:szCs w:val="20"/>
          <w:lang w:val="lv-LV" w:eastAsia="lv-LV"/>
        </w:rPr>
      </w:pPr>
      <w:r w:rsidRPr="00BE0DBF">
        <w:rPr>
          <w:b/>
          <w:i/>
          <w:sz w:val="20"/>
          <w:szCs w:val="20"/>
          <w:lang w:val="lv-LV"/>
        </w:rPr>
        <w:t>Attēls Nr.</w:t>
      </w:r>
      <w:r w:rsidR="00CA6DFE" w:rsidRPr="00BE0DBF">
        <w:rPr>
          <w:b/>
          <w:i/>
          <w:sz w:val="20"/>
          <w:szCs w:val="20"/>
          <w:lang w:val="lv-LV"/>
        </w:rPr>
        <w:t>7</w:t>
      </w:r>
      <w:r w:rsidRPr="00BE0DBF">
        <w:rPr>
          <w:bCs/>
          <w:i/>
          <w:sz w:val="20"/>
          <w:szCs w:val="20"/>
          <w:lang w:val="lv-LV"/>
        </w:rPr>
        <w:t xml:space="preserve"> Neatbilstību summas EUR, 2014.-2020 un 2021.-2027. plānošanas periodu ceturtajos ieviešanas gados, t.i., 2017. un 2024. gadā</w:t>
      </w:r>
      <w:r w:rsidRPr="00BE0DBF">
        <w:rPr>
          <w:bCs/>
          <w:sz w:val="20"/>
          <w:szCs w:val="20"/>
          <w:lang w:val="lv-LV" w:eastAsia="lv-LV"/>
        </w:rPr>
        <w:t xml:space="preserve"> </w:t>
      </w:r>
    </w:p>
    <w:p w14:paraId="7D540ECE" w14:textId="09EBAB93" w:rsidR="00C476BC" w:rsidRPr="00BE0DBF" w:rsidRDefault="00BF0F51" w:rsidP="00B759CA">
      <w:pPr>
        <w:rPr>
          <w:lang w:val="lv-LV"/>
        </w:rPr>
      </w:pPr>
      <w:r w:rsidRPr="00BE0DBF">
        <w:rPr>
          <w:b/>
          <w:noProof/>
          <w:lang w:val="lv-LV" w:eastAsia="lv-LV"/>
        </w:rPr>
        <w:drawing>
          <wp:inline distT="0" distB="0" distL="0" distR="0" wp14:anchorId="20CE372F" wp14:editId="14B53489">
            <wp:extent cx="6534150" cy="3114675"/>
            <wp:effectExtent l="0" t="0" r="0" b="9525"/>
            <wp:docPr id="1615379155" name="Chart 1615379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59C043" w14:textId="15FA57F7" w:rsidR="002677EC" w:rsidRPr="00387441" w:rsidRDefault="00B860DF" w:rsidP="004B4C65">
      <w:pPr>
        <w:pStyle w:val="Heading3"/>
      </w:pPr>
      <w:bookmarkStart w:id="50" w:name="_Toc167178711"/>
      <w:bookmarkStart w:id="51" w:name="_Toc192753102"/>
      <w:r w:rsidRPr="005F232D">
        <w:lastRenderedPageBreak/>
        <w:t>B.</w:t>
      </w:r>
      <w:r w:rsidR="004E190B" w:rsidRPr="005F232D">
        <w:t>2</w:t>
      </w:r>
      <w:r w:rsidR="00060A08" w:rsidRPr="005F232D">
        <w:t>.  Neatbilstību veidi</w:t>
      </w:r>
      <w:bookmarkEnd w:id="50"/>
      <w:bookmarkEnd w:id="51"/>
    </w:p>
    <w:p w14:paraId="73F04C38" w14:textId="30104959" w:rsidR="002677EC" w:rsidRPr="00387441" w:rsidRDefault="002677EC" w:rsidP="005215B2">
      <w:pPr>
        <w:pStyle w:val="Heading4"/>
      </w:pPr>
      <w:bookmarkStart w:id="52" w:name="_Toc167178712"/>
      <w:bookmarkStart w:id="53" w:name="_Toc192753103"/>
      <w:r w:rsidRPr="00387441">
        <w:t>B.</w:t>
      </w:r>
      <w:r w:rsidR="004E190B" w:rsidRPr="00387441">
        <w:t>2</w:t>
      </w:r>
      <w:r w:rsidR="00060A08" w:rsidRPr="00387441">
        <w:t>.1. Biežākās un apjomīgākās neatbilstības sadalījumā pēc to veidiem</w:t>
      </w:r>
      <w:bookmarkEnd w:id="52"/>
      <w:r w:rsidRPr="00387441">
        <w:t xml:space="preserve"> 2014.-2020. gada plānošanas periodā</w:t>
      </w:r>
      <w:bookmarkEnd w:id="53"/>
    </w:p>
    <w:p w14:paraId="38335BCB" w14:textId="1DEAF5E9" w:rsidR="00D75500" w:rsidRPr="00387441" w:rsidRDefault="00060A08" w:rsidP="004B4C65">
      <w:pPr>
        <w:spacing w:after="120" w:line="276" w:lineRule="auto"/>
        <w:rPr>
          <w:lang w:val="lv-LV"/>
        </w:rPr>
      </w:pPr>
      <w:r w:rsidRPr="00387441">
        <w:rPr>
          <w:lang w:val="lv-LV"/>
        </w:rPr>
        <w:t xml:space="preserve">Izvērtējot neatbilstības sadalījumā pēc to veidiem (skatīt </w:t>
      </w:r>
      <w:r w:rsidR="00F406BD">
        <w:rPr>
          <w:lang w:val="lv-LV"/>
        </w:rPr>
        <w:t>2</w:t>
      </w:r>
      <w:r w:rsidRPr="00387441">
        <w:rPr>
          <w:lang w:val="lv-LV"/>
        </w:rPr>
        <w:t>. pielikum</w:t>
      </w:r>
      <w:r w:rsidR="008025DE" w:rsidRPr="00387441">
        <w:rPr>
          <w:lang w:val="lv-LV"/>
        </w:rPr>
        <w:t>u</w:t>
      </w:r>
      <w:r w:rsidRPr="00387441">
        <w:rPr>
          <w:lang w:val="lv-LV"/>
        </w:rPr>
        <w:t xml:space="preserve"> un </w:t>
      </w:r>
      <w:r w:rsidR="008025DE" w:rsidRPr="00387441">
        <w:rPr>
          <w:lang w:val="lv-LV"/>
        </w:rPr>
        <w:t xml:space="preserve">attēlu Nr. </w:t>
      </w:r>
      <w:r w:rsidR="006F460D" w:rsidRPr="00387441">
        <w:rPr>
          <w:lang w:val="lv-LV"/>
        </w:rPr>
        <w:t>8</w:t>
      </w:r>
      <w:r w:rsidRPr="00387441">
        <w:rPr>
          <w:lang w:val="lv-LV"/>
        </w:rPr>
        <w:t xml:space="preserve">), </w:t>
      </w:r>
      <w:r w:rsidRPr="00387441">
        <w:rPr>
          <w:b/>
          <w:lang w:val="lv-LV"/>
        </w:rPr>
        <w:t>2014.-2020. gada plānošanas periodā</w:t>
      </w:r>
      <w:r w:rsidRPr="00387441">
        <w:rPr>
          <w:lang w:val="lv-LV"/>
        </w:rPr>
        <w:t xml:space="preserve"> 202</w:t>
      </w:r>
      <w:r w:rsidR="008025DE" w:rsidRPr="00387441">
        <w:rPr>
          <w:lang w:val="lv-LV"/>
        </w:rPr>
        <w:t>4</w:t>
      </w:r>
      <w:r w:rsidRPr="00387441">
        <w:rPr>
          <w:lang w:val="lv-LV"/>
        </w:rPr>
        <w:t xml:space="preserve">. gada ietvaros </w:t>
      </w:r>
      <w:r w:rsidR="001835C1" w:rsidRPr="00387441">
        <w:rPr>
          <w:lang w:val="lv-LV"/>
        </w:rPr>
        <w:t xml:space="preserve">secināms, ka ir mainījusies tendence, proti, vēl 2023. gadā </w:t>
      </w:r>
      <w:r w:rsidR="00913093" w:rsidRPr="00387441">
        <w:rPr>
          <w:lang w:val="lv-LV"/>
        </w:rPr>
        <w:t xml:space="preserve"> viens no apjomīgākajiem neatbilstību veidiem bija</w:t>
      </w:r>
      <w:r w:rsidRPr="00387441">
        <w:rPr>
          <w:lang w:val="lv-LV"/>
        </w:rPr>
        <w:t xml:space="preserve"> </w:t>
      </w:r>
      <w:r w:rsidRPr="00387441">
        <w:rPr>
          <w:i/>
          <w:lang w:val="lv-LV"/>
        </w:rPr>
        <w:t>Krāpšana,  aizdomas par krāpšanu vai organizēto noziedzību</w:t>
      </w:r>
      <w:r w:rsidR="00261C44" w:rsidRPr="00387441">
        <w:rPr>
          <w:lang w:val="lv-LV"/>
        </w:rPr>
        <w:t>, savukārt, 2024. gad</w:t>
      </w:r>
      <w:r w:rsidR="009C1B16" w:rsidRPr="00387441">
        <w:rPr>
          <w:lang w:val="lv-LV"/>
        </w:rPr>
        <w:t>ā</w:t>
      </w:r>
      <w:r w:rsidR="00A76CEE" w:rsidRPr="00387441">
        <w:rPr>
          <w:lang w:val="lv-LV"/>
        </w:rPr>
        <w:t xml:space="preserve"> </w:t>
      </w:r>
      <w:r w:rsidR="005F232D" w:rsidRPr="00C46744">
        <w:rPr>
          <w:lang w:val="lv-LV"/>
        </w:rPr>
        <w:t xml:space="preserve">– interešu konflikts. </w:t>
      </w:r>
      <w:r w:rsidR="00D86A47" w:rsidRPr="00C46744">
        <w:rPr>
          <w:lang w:val="lv-LV"/>
        </w:rPr>
        <w:t xml:space="preserve">2024. gadā KF ietvaros tika pārskatīti vairāki 2023. gadā pieņemtie </w:t>
      </w:r>
      <w:r w:rsidR="00D86A47" w:rsidRPr="00C46744">
        <w:rPr>
          <w:i/>
          <w:iCs/>
          <w:lang w:val="lv-LV"/>
        </w:rPr>
        <w:t>Aizdomas par krāpšanu vai organizēto noziedzību</w:t>
      </w:r>
      <w:r w:rsidR="00D86A47" w:rsidRPr="00C46744">
        <w:rPr>
          <w:lang w:val="lv-LV"/>
        </w:rPr>
        <w:t xml:space="preserve"> neatbilstību lēmumi un sākotnēji konstatētā neatbilstību summa samazināta</w:t>
      </w:r>
      <w:r w:rsidR="00D86A47" w:rsidRPr="00C46744">
        <w:rPr>
          <w:rStyle w:val="FootnoteReference"/>
          <w:lang w:val="lv-LV"/>
        </w:rPr>
        <w:footnoteReference w:id="12"/>
      </w:r>
      <w:r w:rsidR="00C5789F" w:rsidRPr="00C46744">
        <w:rPr>
          <w:lang w:val="lv-LV"/>
        </w:rPr>
        <w:t>,</w:t>
      </w:r>
      <w:r w:rsidR="00D86A47" w:rsidRPr="00C46744">
        <w:rPr>
          <w:lang w:val="lv-LV"/>
        </w:rPr>
        <w:t xml:space="preserve"> līdz ar to kopējā neatbilstību apjoma summa minētajā kategorijā atspoguļojas ar mīnus zīmi.</w:t>
      </w:r>
      <w:r w:rsidR="00D86A47" w:rsidRPr="00387441">
        <w:rPr>
          <w:lang w:val="lv-LV"/>
        </w:rPr>
        <w:t xml:space="preserve"> </w:t>
      </w:r>
      <w:r w:rsidR="00D32521" w:rsidRPr="00387441">
        <w:rPr>
          <w:lang w:val="lv-LV"/>
        </w:rPr>
        <w:t xml:space="preserve"> Tas gan nenozīmē, ka minētais neatbilstību veids vairs nav aktuāls,</w:t>
      </w:r>
      <w:r w:rsidR="003241CC" w:rsidRPr="00387441">
        <w:rPr>
          <w:lang w:val="lv-LV"/>
        </w:rPr>
        <w:t xml:space="preserve"> </w:t>
      </w:r>
      <w:r w:rsidR="00A76CEE" w:rsidRPr="00387441">
        <w:rPr>
          <w:lang w:val="lv-LV"/>
        </w:rPr>
        <w:t xml:space="preserve">jo </w:t>
      </w:r>
      <w:r w:rsidR="00110906" w:rsidRPr="00387441">
        <w:rPr>
          <w:lang w:val="lv-LV"/>
        </w:rPr>
        <w:t>arī 2024.</w:t>
      </w:r>
      <w:r w:rsidR="001F0BD8" w:rsidRPr="00387441">
        <w:rPr>
          <w:lang w:val="lv-LV"/>
        </w:rPr>
        <w:t xml:space="preserve"> </w:t>
      </w:r>
      <w:r w:rsidR="00110906" w:rsidRPr="00387441">
        <w:rPr>
          <w:lang w:val="lv-LV"/>
        </w:rPr>
        <w:t>gadā ir 6 neatbilstības</w:t>
      </w:r>
      <w:r w:rsidR="00A32839" w:rsidRPr="00387441">
        <w:rPr>
          <w:lang w:val="lv-LV"/>
        </w:rPr>
        <w:t xml:space="preserve"> ar finansiālu ietekmi,</w:t>
      </w:r>
      <w:r w:rsidR="00110906" w:rsidRPr="00387441">
        <w:rPr>
          <w:lang w:val="lv-LV"/>
        </w:rPr>
        <w:t xml:space="preserve"> kas klasificējas kā </w:t>
      </w:r>
      <w:r w:rsidR="00110906" w:rsidRPr="00387441">
        <w:rPr>
          <w:i/>
          <w:lang w:val="lv-LV"/>
        </w:rPr>
        <w:t>Krāpšana,  aizdomas par krāpšanu vai organizēto noziedzību</w:t>
      </w:r>
      <w:r w:rsidR="00110906" w:rsidRPr="00387441">
        <w:rPr>
          <w:lang w:val="lv-LV"/>
        </w:rPr>
        <w:t xml:space="preserve">. </w:t>
      </w:r>
    </w:p>
    <w:p w14:paraId="0CDEDA5B" w14:textId="12D8AC14" w:rsidR="0097100A" w:rsidRPr="00387441" w:rsidRDefault="008C35C9" w:rsidP="004B4C65">
      <w:pPr>
        <w:spacing w:after="120" w:line="276" w:lineRule="auto"/>
        <w:rPr>
          <w:lang w:val="lv-LV"/>
        </w:rPr>
      </w:pPr>
      <w:r w:rsidRPr="00387441">
        <w:rPr>
          <w:lang w:val="lv-LV"/>
        </w:rPr>
        <w:t xml:space="preserve">Interesanti, ka </w:t>
      </w:r>
      <w:r w:rsidR="009D4BAE" w:rsidRPr="00387441">
        <w:rPr>
          <w:b/>
          <w:lang w:val="lv-LV"/>
        </w:rPr>
        <w:t>2024. gadā kā viens no apjomīgākajiem neatbilstību veidiem bija</w:t>
      </w:r>
      <w:r w:rsidRPr="00387441">
        <w:rPr>
          <w:b/>
          <w:lang w:val="lv-LV"/>
        </w:rPr>
        <w:t xml:space="preserve"> kategorijā</w:t>
      </w:r>
      <w:r w:rsidR="009D4BAE" w:rsidRPr="00387441">
        <w:rPr>
          <w:lang w:val="lv-LV"/>
        </w:rPr>
        <w:t xml:space="preserve"> </w:t>
      </w:r>
      <w:r w:rsidR="009D4BAE" w:rsidRPr="00387441">
        <w:rPr>
          <w:b/>
          <w:i/>
          <w:lang w:val="lv-LV"/>
        </w:rPr>
        <w:t>Interešu konflikts</w:t>
      </w:r>
      <w:r w:rsidR="009D4BAE" w:rsidRPr="00387441">
        <w:rPr>
          <w:b/>
          <w:lang w:val="lv-LV"/>
        </w:rPr>
        <w:t>,</w:t>
      </w:r>
      <w:r w:rsidR="00D75500" w:rsidRPr="00387441">
        <w:rPr>
          <w:b/>
          <w:lang w:val="lv-LV"/>
        </w:rPr>
        <w:t xml:space="preserve"> </w:t>
      </w:r>
      <w:r w:rsidR="00D75500" w:rsidRPr="00387441">
        <w:rPr>
          <w:lang w:val="lv-LV"/>
        </w:rPr>
        <w:t xml:space="preserve">kas sastāda </w:t>
      </w:r>
      <w:r w:rsidR="003E1E65" w:rsidRPr="00387441">
        <w:rPr>
          <w:lang w:val="lv-LV"/>
        </w:rPr>
        <w:t xml:space="preserve">EUR  </w:t>
      </w:r>
      <w:r w:rsidR="00BF57F4" w:rsidRPr="00387441">
        <w:rPr>
          <w:lang w:val="lv-LV"/>
        </w:rPr>
        <w:t xml:space="preserve">16,49 </w:t>
      </w:r>
      <w:r w:rsidR="008931B1" w:rsidRPr="00387441">
        <w:rPr>
          <w:lang w:val="lv-LV"/>
        </w:rPr>
        <w:t xml:space="preserve">milj. jeb </w:t>
      </w:r>
      <w:r w:rsidR="00BF57F4" w:rsidRPr="00387441">
        <w:rPr>
          <w:lang w:val="lv-LV"/>
        </w:rPr>
        <w:t>56</w:t>
      </w:r>
      <w:r w:rsidR="00800283">
        <w:rPr>
          <w:lang w:val="lv-LV"/>
        </w:rPr>
        <w:t xml:space="preserve"> </w:t>
      </w:r>
      <w:r w:rsidR="00BF57F4" w:rsidRPr="00387441">
        <w:rPr>
          <w:lang w:val="lv-LV"/>
        </w:rPr>
        <w:t xml:space="preserve">% no visu neatbilstību summas, taču </w:t>
      </w:r>
      <w:r w:rsidR="009D4BAE" w:rsidRPr="00387441">
        <w:rPr>
          <w:lang w:val="lv-LV"/>
        </w:rPr>
        <w:t xml:space="preserve">2023. gadā nemaz nebija </w:t>
      </w:r>
      <w:r w:rsidR="00FE03B6" w:rsidRPr="00387441">
        <w:rPr>
          <w:lang w:val="lv-LV"/>
        </w:rPr>
        <w:t>TOP 5 neatbilstību uzskaitījumā.</w:t>
      </w:r>
      <w:r w:rsidR="00D75500" w:rsidRPr="00387441">
        <w:rPr>
          <w:lang w:val="lv-LV"/>
        </w:rPr>
        <w:t xml:space="preserve"> Nemainīgi viens no apjomīgākajiem neatbilstību veidiem ir</w:t>
      </w:r>
      <w:r w:rsidR="00D75500" w:rsidRPr="00387441">
        <w:rPr>
          <w:b/>
          <w:lang w:val="lv-LV"/>
        </w:rPr>
        <w:t xml:space="preserve">  </w:t>
      </w:r>
      <w:r w:rsidR="00D75500" w:rsidRPr="00387441">
        <w:rPr>
          <w:b/>
          <w:i/>
          <w:lang w:val="lv-LV"/>
        </w:rPr>
        <w:t>Iepirkuma normu pārkāpumi</w:t>
      </w:r>
      <w:r w:rsidR="00D75500" w:rsidRPr="00387441">
        <w:rPr>
          <w:b/>
          <w:lang w:val="lv-LV"/>
        </w:rPr>
        <w:t xml:space="preserve"> </w:t>
      </w:r>
      <w:r w:rsidR="00D75500" w:rsidRPr="00387441">
        <w:rPr>
          <w:lang w:val="lv-LV"/>
        </w:rPr>
        <w:t xml:space="preserve">– </w:t>
      </w:r>
      <w:r w:rsidR="003E1E65" w:rsidRPr="00387441">
        <w:rPr>
          <w:lang w:val="lv-LV"/>
        </w:rPr>
        <w:t xml:space="preserve">EUR </w:t>
      </w:r>
      <w:r w:rsidR="00D75500" w:rsidRPr="00387441">
        <w:rPr>
          <w:lang w:val="lv-LV"/>
        </w:rPr>
        <w:t xml:space="preserve">7,28 milj. </w:t>
      </w:r>
      <w:r w:rsidR="008931B1" w:rsidRPr="00387441">
        <w:rPr>
          <w:lang w:val="lv-LV"/>
        </w:rPr>
        <w:t>jeb 2</w:t>
      </w:r>
      <w:r w:rsidR="00CB1496" w:rsidRPr="00387441">
        <w:rPr>
          <w:lang w:val="lv-LV"/>
        </w:rPr>
        <w:t>5</w:t>
      </w:r>
      <w:r w:rsidR="00800283">
        <w:rPr>
          <w:lang w:val="lv-LV"/>
        </w:rPr>
        <w:t xml:space="preserve"> </w:t>
      </w:r>
      <w:r w:rsidR="00CB1496" w:rsidRPr="00387441">
        <w:rPr>
          <w:lang w:val="lv-LV"/>
        </w:rPr>
        <w:t>% no visu neatbilstību summas.</w:t>
      </w:r>
    </w:p>
    <w:p w14:paraId="01631224" w14:textId="12F649F8" w:rsidR="002677EC" w:rsidRPr="00387441" w:rsidRDefault="00FE03B6" w:rsidP="004B4C65">
      <w:pPr>
        <w:spacing w:after="120" w:line="276" w:lineRule="auto"/>
        <w:rPr>
          <w:lang w:val="lv-LV"/>
        </w:rPr>
      </w:pPr>
      <w:r w:rsidRPr="00387441">
        <w:rPr>
          <w:lang w:val="lv-LV"/>
        </w:rPr>
        <w:t xml:space="preserve"> </w:t>
      </w:r>
      <w:r w:rsidR="00060A08" w:rsidRPr="00387441">
        <w:rPr>
          <w:lang w:val="lv-LV"/>
        </w:rPr>
        <w:t>Secīgi, nākamās</w:t>
      </w:r>
      <w:r w:rsidR="0097100A" w:rsidRPr="00387441">
        <w:rPr>
          <w:lang w:val="lv-LV"/>
        </w:rPr>
        <w:t xml:space="preserve"> trīs</w:t>
      </w:r>
      <w:r w:rsidR="00060A08" w:rsidRPr="00387441">
        <w:rPr>
          <w:lang w:val="lv-LV"/>
        </w:rPr>
        <w:t xml:space="preserve"> kategorijas, kur neatbilstības tika identificētas 202</w:t>
      </w:r>
      <w:r w:rsidR="00627502" w:rsidRPr="00387441">
        <w:rPr>
          <w:lang w:val="lv-LV"/>
        </w:rPr>
        <w:t>4</w:t>
      </w:r>
      <w:r w:rsidR="00060A08" w:rsidRPr="00387441">
        <w:rPr>
          <w:lang w:val="lv-LV"/>
        </w:rPr>
        <w:t>. gadā bija saistītas ar projekta mērķa un / vai iznākuma rādītāju neizpild</w:t>
      </w:r>
      <w:r w:rsidR="00A6108B" w:rsidRPr="00387441">
        <w:rPr>
          <w:lang w:val="lv-LV"/>
        </w:rPr>
        <w:t>i (16 % no visu neatbilstību summas)</w:t>
      </w:r>
      <w:r w:rsidR="00D435DB" w:rsidRPr="00387441">
        <w:rPr>
          <w:lang w:val="lv-LV"/>
        </w:rPr>
        <w:t>,</w:t>
      </w:r>
      <w:r w:rsidR="00A6108B" w:rsidRPr="00387441">
        <w:rPr>
          <w:lang w:val="lv-LV"/>
        </w:rPr>
        <w:t xml:space="preserve"> ieviešanas nosacījumu neizpildi</w:t>
      </w:r>
      <w:r w:rsidR="00752371" w:rsidRPr="00387441">
        <w:rPr>
          <w:lang w:val="lv-LV"/>
        </w:rPr>
        <w:t xml:space="preserve"> (</w:t>
      </w:r>
      <w:r w:rsidR="009D3ECD" w:rsidRPr="00387441">
        <w:rPr>
          <w:lang w:val="lv-LV"/>
        </w:rPr>
        <w:t>9</w:t>
      </w:r>
      <w:r w:rsidR="00752371" w:rsidRPr="00387441">
        <w:rPr>
          <w:lang w:val="lv-LV"/>
        </w:rPr>
        <w:t xml:space="preserve"> % no visu neatbilstību summas)</w:t>
      </w:r>
      <w:r w:rsidR="00D435DB" w:rsidRPr="00387441">
        <w:rPr>
          <w:lang w:val="lv-LV"/>
        </w:rPr>
        <w:t xml:space="preserve"> kā arī </w:t>
      </w:r>
      <w:r w:rsidR="009D3ECD" w:rsidRPr="00387441">
        <w:rPr>
          <w:lang w:val="lv-LV"/>
        </w:rPr>
        <w:t>l</w:t>
      </w:r>
      <w:r w:rsidR="00375265" w:rsidRPr="00387441">
        <w:rPr>
          <w:lang w:val="lv-LV"/>
        </w:rPr>
        <w:t>ikvidācij</w:t>
      </w:r>
      <w:r w:rsidR="00E5296D" w:rsidRPr="00387441">
        <w:rPr>
          <w:lang w:val="lv-LV"/>
        </w:rPr>
        <w:t>u</w:t>
      </w:r>
      <w:r w:rsidR="00375265" w:rsidRPr="00387441">
        <w:rPr>
          <w:lang w:val="lv-LV"/>
        </w:rPr>
        <w:t>/ maksātnespēj</w:t>
      </w:r>
      <w:r w:rsidR="009D3ECD" w:rsidRPr="00387441">
        <w:rPr>
          <w:lang w:val="lv-LV"/>
        </w:rPr>
        <w:t>u</w:t>
      </w:r>
      <w:r w:rsidR="00375265" w:rsidRPr="00387441">
        <w:rPr>
          <w:lang w:val="lv-LV"/>
        </w:rPr>
        <w:t>/ bankrot</w:t>
      </w:r>
      <w:r w:rsidR="009D3ECD" w:rsidRPr="00387441">
        <w:rPr>
          <w:lang w:val="lv-LV"/>
        </w:rPr>
        <w:t>u (1 % no visu neatbilstību summas)</w:t>
      </w:r>
      <w:r w:rsidR="002677EC" w:rsidRPr="00387441">
        <w:rPr>
          <w:lang w:val="lv-LV"/>
        </w:rPr>
        <w:t>.</w:t>
      </w:r>
    </w:p>
    <w:p w14:paraId="2CE85EBD" w14:textId="1ACE7514" w:rsidR="00060A08" w:rsidRPr="00387441" w:rsidRDefault="00796346" w:rsidP="002677EC">
      <w:pPr>
        <w:jc w:val="right"/>
        <w:rPr>
          <w:i/>
          <w:lang w:val="lv-LV"/>
        </w:rPr>
      </w:pPr>
      <w:r w:rsidRPr="00387441">
        <w:rPr>
          <w:b/>
          <w:i/>
          <w:sz w:val="20"/>
          <w:szCs w:val="20"/>
          <w:lang w:val="lv-LV"/>
        </w:rPr>
        <w:t>Attēls Nr.</w:t>
      </w:r>
      <w:r w:rsidR="00CA6DFE" w:rsidRPr="00387441">
        <w:rPr>
          <w:b/>
          <w:bCs/>
          <w:i/>
          <w:iCs/>
          <w:sz w:val="20"/>
          <w:szCs w:val="20"/>
          <w:lang w:val="lv-LV"/>
        </w:rPr>
        <w:t>8</w:t>
      </w:r>
      <w:r w:rsidR="00060A08" w:rsidRPr="00387441">
        <w:rPr>
          <w:b/>
          <w:i/>
          <w:sz w:val="20"/>
          <w:szCs w:val="20"/>
          <w:lang w:val="lv-LV"/>
        </w:rPr>
        <w:t xml:space="preserve"> </w:t>
      </w:r>
      <w:r w:rsidR="00060A08" w:rsidRPr="00387441">
        <w:rPr>
          <w:i/>
          <w:sz w:val="20"/>
          <w:szCs w:val="20"/>
          <w:lang w:val="lv-LV"/>
        </w:rPr>
        <w:t xml:space="preserve"> Top 5 neatbilstību veidi</w:t>
      </w:r>
      <w:r w:rsidRPr="00387441">
        <w:rPr>
          <w:i/>
          <w:sz w:val="20"/>
          <w:szCs w:val="20"/>
          <w:lang w:val="lv-LV"/>
        </w:rPr>
        <w:t xml:space="preserve"> </w:t>
      </w:r>
      <w:r w:rsidR="00060A08" w:rsidRPr="00387441">
        <w:rPr>
          <w:i/>
          <w:sz w:val="20"/>
          <w:szCs w:val="20"/>
          <w:lang w:val="lv-LV"/>
        </w:rPr>
        <w:t xml:space="preserve">2014.-2020. gada plānošanas periodā </w:t>
      </w:r>
    </w:p>
    <w:p w14:paraId="69874C6E" w14:textId="376CE8C3" w:rsidR="00060A08" w:rsidRPr="00387441" w:rsidRDefault="00B37449" w:rsidP="00060A08">
      <w:pPr>
        <w:pStyle w:val="TabulasAttli"/>
        <w:ind w:firstLine="0"/>
        <w:rPr>
          <w:highlight w:val="lightGray"/>
        </w:rPr>
      </w:pPr>
      <w:r w:rsidRPr="00B37449">
        <w:rPr>
          <w:noProof/>
        </w:rPr>
        <w:drawing>
          <wp:inline distT="0" distB="0" distL="0" distR="0" wp14:anchorId="682A57FB" wp14:editId="1F3C9591">
            <wp:extent cx="6477000" cy="2438181"/>
            <wp:effectExtent l="0" t="0" r="0" b="635"/>
            <wp:docPr id="602290031" name="Picture 1" descr="A graph with blue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90031" name="Picture 1" descr="A graph with blue lines and numbers&#10;&#10;AI-generated content may be incorrect."/>
                    <pic:cNvPicPr/>
                  </pic:nvPicPr>
                  <pic:blipFill>
                    <a:blip r:embed="rId21"/>
                    <a:stretch>
                      <a:fillRect/>
                    </a:stretch>
                  </pic:blipFill>
                  <pic:spPr>
                    <a:xfrm>
                      <a:off x="0" y="0"/>
                      <a:ext cx="6497110" cy="2445751"/>
                    </a:xfrm>
                    <a:prstGeom prst="rect">
                      <a:avLst/>
                    </a:prstGeom>
                  </pic:spPr>
                </pic:pic>
              </a:graphicData>
            </a:graphic>
          </wp:inline>
        </w:drawing>
      </w:r>
    </w:p>
    <w:p w14:paraId="7D7B2694" w14:textId="043FBAFD" w:rsidR="002677EC" w:rsidRPr="00387441" w:rsidRDefault="002677EC" w:rsidP="005215B2">
      <w:pPr>
        <w:pStyle w:val="Heading4"/>
      </w:pPr>
      <w:bookmarkStart w:id="54" w:name="_Toc192753104"/>
      <w:r w:rsidRPr="00387441">
        <w:lastRenderedPageBreak/>
        <w:t>B.</w:t>
      </w:r>
      <w:r w:rsidR="004E190B" w:rsidRPr="00387441">
        <w:t>2</w:t>
      </w:r>
      <w:r w:rsidRPr="00387441">
        <w:t>.2. Biežākās un apjomīgākās neatbilstības sadalījumā pēc to veidiem 2021.-2027. gada plānošanas periodā</w:t>
      </w:r>
      <w:bookmarkEnd w:id="54"/>
    </w:p>
    <w:p w14:paraId="7E096C87" w14:textId="48B715A3" w:rsidR="00E36245" w:rsidRPr="00387441" w:rsidRDefault="00E36245" w:rsidP="005215B2">
      <w:pPr>
        <w:spacing w:after="120" w:line="276" w:lineRule="auto"/>
        <w:rPr>
          <w:lang w:val="lv-LV"/>
        </w:rPr>
      </w:pPr>
      <w:r w:rsidRPr="00387441">
        <w:rPr>
          <w:lang w:val="lv-LV"/>
        </w:rPr>
        <w:t xml:space="preserve">2021.-2027. gada plānošanas perioda ieviešana ir uzsākusies un atšķirībā no 2023. gada, kad tika konstatētas tikai 10 neatbilstības, </w:t>
      </w:r>
      <w:r w:rsidRPr="00387441">
        <w:rPr>
          <w:b/>
          <w:lang w:val="lv-LV"/>
        </w:rPr>
        <w:t xml:space="preserve">2024. gadā konstatētas </w:t>
      </w:r>
      <w:r w:rsidR="00E32688" w:rsidRPr="00387441">
        <w:rPr>
          <w:b/>
          <w:lang w:val="lv-LV"/>
        </w:rPr>
        <w:t xml:space="preserve">jau </w:t>
      </w:r>
      <w:r w:rsidR="00537DEA" w:rsidRPr="00387441">
        <w:rPr>
          <w:b/>
          <w:lang w:val="lv-LV"/>
        </w:rPr>
        <w:t>73</w:t>
      </w:r>
      <w:r w:rsidR="00162F48" w:rsidRPr="00387441">
        <w:rPr>
          <w:b/>
          <w:lang w:val="lv-LV"/>
        </w:rPr>
        <w:t>3</w:t>
      </w:r>
      <w:r w:rsidR="00537DEA" w:rsidRPr="00387441">
        <w:rPr>
          <w:b/>
          <w:lang w:val="lv-LV"/>
        </w:rPr>
        <w:t xml:space="preserve"> neatbilstības, ar kopējo neatbilstību summu </w:t>
      </w:r>
      <w:r w:rsidR="009F4EF8" w:rsidRPr="00387441">
        <w:rPr>
          <w:b/>
          <w:lang w:val="lv-LV"/>
        </w:rPr>
        <w:t xml:space="preserve">EUR 646 939,45 </w:t>
      </w:r>
      <w:r w:rsidR="009F4EF8" w:rsidRPr="00387441">
        <w:rPr>
          <w:lang w:val="lv-LV"/>
        </w:rPr>
        <w:t>apmērā.</w:t>
      </w:r>
    </w:p>
    <w:p w14:paraId="34EFB50A" w14:textId="0A8A9106" w:rsidR="006C263E" w:rsidRPr="00387441" w:rsidRDefault="00BF38BC" w:rsidP="005215B2">
      <w:pPr>
        <w:spacing w:after="120" w:line="276" w:lineRule="auto"/>
        <w:rPr>
          <w:b/>
          <w:lang w:val="lv-LV"/>
        </w:rPr>
      </w:pPr>
      <w:r w:rsidRPr="00387441">
        <w:rPr>
          <w:b/>
          <w:lang w:val="lv-LV"/>
        </w:rPr>
        <w:t>2024. gadā 49 % no visa neatbilstību apjoma un 93</w:t>
      </w:r>
      <w:r w:rsidR="00A94C8D">
        <w:rPr>
          <w:b/>
          <w:lang w:val="lv-LV"/>
        </w:rPr>
        <w:t xml:space="preserve"> </w:t>
      </w:r>
      <w:r w:rsidRPr="00387441">
        <w:rPr>
          <w:b/>
          <w:lang w:val="lv-LV"/>
        </w:rPr>
        <w:t xml:space="preserve">% no neatbilstību skaita sastādīja </w:t>
      </w:r>
      <w:r w:rsidR="00C767CF" w:rsidRPr="00387441">
        <w:rPr>
          <w:b/>
          <w:lang w:val="lv-LV"/>
        </w:rPr>
        <w:t xml:space="preserve">neatbilstības kategorijā </w:t>
      </w:r>
      <w:r w:rsidR="00C767CF" w:rsidRPr="00387441">
        <w:rPr>
          <w:b/>
          <w:i/>
          <w:lang w:val="lv-LV"/>
        </w:rPr>
        <w:t>Noteikto ieviešanas nosacījumu neizpilde</w:t>
      </w:r>
      <w:r w:rsidR="002677EC" w:rsidRPr="00387441">
        <w:rPr>
          <w:lang w:val="lv-LV"/>
        </w:rPr>
        <w:t xml:space="preserve"> (skatīt attēlu Nr.</w:t>
      </w:r>
      <w:r w:rsidR="007950DF" w:rsidRPr="00387441">
        <w:rPr>
          <w:lang w:val="lv-LV"/>
        </w:rPr>
        <w:t>9</w:t>
      </w:r>
      <w:r w:rsidR="002677EC" w:rsidRPr="00387441">
        <w:rPr>
          <w:lang w:val="lv-LV"/>
        </w:rPr>
        <w:t>)</w:t>
      </w:r>
      <w:r w:rsidR="00C767CF" w:rsidRPr="00387441">
        <w:rPr>
          <w:lang w:val="lv-LV"/>
        </w:rPr>
        <w:t xml:space="preserve"> EJZ</w:t>
      </w:r>
      <w:r w:rsidR="00A02142" w:rsidRPr="00387441">
        <w:rPr>
          <w:lang w:val="lv-LV"/>
        </w:rPr>
        <w:t>AF, ELFLA un ELGF ietvaros</w:t>
      </w:r>
      <w:r w:rsidR="00494008">
        <w:rPr>
          <w:lang w:val="lv-LV"/>
        </w:rPr>
        <w:t>.</w:t>
      </w:r>
    </w:p>
    <w:p w14:paraId="55FACEFB" w14:textId="6EA2AE31" w:rsidR="00E32688" w:rsidRPr="00387441" w:rsidRDefault="006C263E" w:rsidP="005215B2">
      <w:pPr>
        <w:spacing w:after="120" w:line="276" w:lineRule="auto"/>
        <w:rPr>
          <w:lang w:val="lv-LV"/>
        </w:rPr>
      </w:pPr>
      <w:r w:rsidRPr="00387441">
        <w:rPr>
          <w:lang w:val="lv-LV"/>
        </w:rPr>
        <w:t xml:space="preserve">Analizējot </w:t>
      </w:r>
      <w:r w:rsidR="00A41E30" w:rsidRPr="00387441">
        <w:rPr>
          <w:lang w:val="lv-LV"/>
        </w:rPr>
        <w:t>2021.-2027. gada</w:t>
      </w:r>
      <w:r w:rsidRPr="00387441" w:rsidDel="00A41E30">
        <w:rPr>
          <w:lang w:val="lv-LV"/>
        </w:rPr>
        <w:t xml:space="preserve"> </w:t>
      </w:r>
      <w:r w:rsidRPr="00387441">
        <w:rPr>
          <w:lang w:val="lv-LV"/>
        </w:rPr>
        <w:t>plānošanas perioda neatbilstību veidus</w:t>
      </w:r>
      <w:r w:rsidR="00286EC5" w:rsidRPr="00387441">
        <w:rPr>
          <w:lang w:val="lv-LV"/>
        </w:rPr>
        <w:t xml:space="preserve">, secināms, ka </w:t>
      </w:r>
      <w:r w:rsidR="007D3B59" w:rsidRPr="00387441">
        <w:rPr>
          <w:lang w:val="lv-LV"/>
        </w:rPr>
        <w:t>projektu ieviešana</w:t>
      </w:r>
      <w:r w:rsidR="00293FF9" w:rsidRPr="00387441">
        <w:rPr>
          <w:lang w:val="lv-LV"/>
        </w:rPr>
        <w:t xml:space="preserve"> tiek uzsākta aizvien aktīvāk</w:t>
      </w:r>
      <w:r w:rsidR="004957C1" w:rsidRPr="00387441">
        <w:rPr>
          <w:lang w:val="lv-LV"/>
        </w:rPr>
        <w:t xml:space="preserve">, bet nav vēl </w:t>
      </w:r>
      <w:r w:rsidR="00B83C8D" w:rsidRPr="00387441">
        <w:rPr>
          <w:lang w:val="lv-LV"/>
        </w:rPr>
        <w:t>uzņēmusi pilnu jaudu</w:t>
      </w:r>
      <w:r w:rsidR="00286EC5" w:rsidRPr="00387441">
        <w:rPr>
          <w:lang w:val="lv-LV"/>
        </w:rPr>
        <w:t>, jo neatbilstību apjomi pārējās kategorijās ir salīdzinoši nelieli, taču līdzīgi kā citos periodos neatbilstību TOP 5 ir šād</w:t>
      </w:r>
      <w:r w:rsidR="00D7250A">
        <w:rPr>
          <w:lang w:val="lv-LV"/>
        </w:rPr>
        <w:t>ā</w:t>
      </w:r>
      <w:r w:rsidR="00286EC5" w:rsidRPr="00387441">
        <w:rPr>
          <w:lang w:val="lv-LV"/>
        </w:rPr>
        <w:t>s kategorij</w:t>
      </w:r>
      <w:r w:rsidR="005D5BCC">
        <w:rPr>
          <w:lang w:val="lv-LV"/>
        </w:rPr>
        <w:t>ā</w:t>
      </w:r>
      <w:r w:rsidR="009A765B" w:rsidRPr="00387441">
        <w:rPr>
          <w:lang w:val="lv-LV"/>
        </w:rPr>
        <w:t>s</w:t>
      </w:r>
      <w:r w:rsidR="00286EC5" w:rsidRPr="00387441">
        <w:rPr>
          <w:lang w:val="lv-LV"/>
        </w:rPr>
        <w:t xml:space="preserve"> – </w:t>
      </w:r>
      <w:r w:rsidR="002677EC" w:rsidRPr="00387441">
        <w:rPr>
          <w:lang w:val="lv-LV"/>
        </w:rPr>
        <w:t>projekta mērķa un</w:t>
      </w:r>
      <w:r w:rsidR="009500FB">
        <w:rPr>
          <w:lang w:val="lv-LV"/>
        </w:rPr>
        <w:t xml:space="preserve"> </w:t>
      </w:r>
      <w:r w:rsidR="002677EC" w:rsidRPr="00387441">
        <w:rPr>
          <w:lang w:val="lv-LV"/>
        </w:rPr>
        <w:t>/ vai rādītāju neizpilde ( 30</w:t>
      </w:r>
      <w:r w:rsidR="00D9463E">
        <w:rPr>
          <w:lang w:val="lv-LV"/>
        </w:rPr>
        <w:t xml:space="preserve"> </w:t>
      </w:r>
      <w:r w:rsidR="002677EC" w:rsidRPr="00387441">
        <w:rPr>
          <w:lang w:val="lv-LV"/>
        </w:rPr>
        <w:t xml:space="preserve">% no kopējās neatbilstību summas), </w:t>
      </w:r>
      <w:r w:rsidR="009A765B" w:rsidRPr="00387441">
        <w:rPr>
          <w:lang w:val="lv-LV"/>
        </w:rPr>
        <w:t>k</w:t>
      </w:r>
      <w:r w:rsidR="002677EC" w:rsidRPr="00387441">
        <w:rPr>
          <w:lang w:val="lv-LV"/>
        </w:rPr>
        <w:t xml:space="preserve">rāpšana / aizdomas par krāpšanu (11% no kopējās neatbilstību summas), </w:t>
      </w:r>
      <w:r w:rsidR="009A765B" w:rsidRPr="00387441">
        <w:rPr>
          <w:lang w:val="lv-LV"/>
        </w:rPr>
        <w:t>i</w:t>
      </w:r>
      <w:r w:rsidR="00286EC5" w:rsidRPr="00387441">
        <w:rPr>
          <w:lang w:val="lv-LV"/>
        </w:rPr>
        <w:t>epirkumu normu pārkāpumi (</w:t>
      </w:r>
      <w:r w:rsidR="00B642CB" w:rsidRPr="00387441">
        <w:rPr>
          <w:lang w:val="lv-LV"/>
        </w:rPr>
        <w:t>9</w:t>
      </w:r>
      <w:r w:rsidR="00AB4BC3">
        <w:rPr>
          <w:lang w:val="lv-LV"/>
        </w:rPr>
        <w:t xml:space="preserve"> </w:t>
      </w:r>
      <w:r w:rsidR="00B642CB" w:rsidRPr="00387441">
        <w:rPr>
          <w:lang w:val="lv-LV"/>
        </w:rPr>
        <w:t>% no kopējās neatbilstību summas</w:t>
      </w:r>
      <w:r w:rsidR="002677EC" w:rsidRPr="00387441">
        <w:rPr>
          <w:lang w:val="lv-LV"/>
        </w:rPr>
        <w:t xml:space="preserve"> un citas neatbilstības (1</w:t>
      </w:r>
      <w:r w:rsidR="00AB4BC3">
        <w:rPr>
          <w:lang w:val="lv-LV"/>
        </w:rPr>
        <w:t xml:space="preserve"> </w:t>
      </w:r>
      <w:r w:rsidR="002677EC" w:rsidRPr="00387441">
        <w:rPr>
          <w:lang w:val="lv-LV"/>
        </w:rPr>
        <w:t>% no kopējās neatbilstību summas).</w:t>
      </w:r>
    </w:p>
    <w:p w14:paraId="640C520C" w14:textId="7B1A6BDB" w:rsidR="00E36245" w:rsidRPr="00387441" w:rsidRDefault="009F4EF8" w:rsidP="003F769F">
      <w:pPr>
        <w:pStyle w:val="TabulasAttli"/>
        <w:spacing w:after="0"/>
        <w:rPr>
          <w:sz w:val="20"/>
          <w:szCs w:val="20"/>
        </w:rPr>
      </w:pPr>
      <w:r w:rsidRPr="00387441">
        <w:rPr>
          <w:b/>
          <w:sz w:val="20"/>
          <w:szCs w:val="20"/>
        </w:rPr>
        <w:t>Attēls Nr.</w:t>
      </w:r>
      <w:r w:rsidR="00CA6DFE" w:rsidRPr="00387441">
        <w:rPr>
          <w:b/>
          <w:bCs/>
          <w:sz w:val="20"/>
          <w:szCs w:val="20"/>
        </w:rPr>
        <w:t>9</w:t>
      </w:r>
      <w:r w:rsidRPr="00387441">
        <w:rPr>
          <w:b/>
          <w:sz w:val="20"/>
          <w:szCs w:val="20"/>
        </w:rPr>
        <w:t xml:space="preserve"> </w:t>
      </w:r>
      <w:r w:rsidRPr="00387441">
        <w:rPr>
          <w:sz w:val="20"/>
          <w:szCs w:val="20"/>
        </w:rPr>
        <w:t xml:space="preserve"> Top 5 neatbilstību veidi 2021.-2027. gada plānošanas periodā</w:t>
      </w:r>
    </w:p>
    <w:p w14:paraId="72B6A9E0" w14:textId="5E235D5D" w:rsidR="00E36245" w:rsidRPr="00BE0DBF" w:rsidRDefault="00667C50" w:rsidP="009F4EF8">
      <w:pPr>
        <w:ind w:firstLine="0"/>
        <w:rPr>
          <w:lang w:val="lv-LV"/>
        </w:rPr>
      </w:pPr>
      <w:r w:rsidRPr="00667C50">
        <w:rPr>
          <w:noProof/>
          <w:lang w:val="lv-LV"/>
        </w:rPr>
        <w:drawing>
          <wp:inline distT="0" distB="0" distL="0" distR="0" wp14:anchorId="0DC1B000" wp14:editId="34D698DF">
            <wp:extent cx="6858000" cy="2902585"/>
            <wp:effectExtent l="0" t="0" r="0" b="0"/>
            <wp:docPr id="897735904" name="Picture 1" descr="A graph with numbers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35904" name="Picture 1" descr="A graph with numbers and a triangle&#10;&#10;AI-generated content may be incorrect."/>
                    <pic:cNvPicPr/>
                  </pic:nvPicPr>
                  <pic:blipFill>
                    <a:blip r:embed="rId22"/>
                    <a:stretch>
                      <a:fillRect/>
                    </a:stretch>
                  </pic:blipFill>
                  <pic:spPr>
                    <a:xfrm>
                      <a:off x="0" y="0"/>
                      <a:ext cx="6858000" cy="2902585"/>
                    </a:xfrm>
                    <a:prstGeom prst="rect">
                      <a:avLst/>
                    </a:prstGeom>
                  </pic:spPr>
                </pic:pic>
              </a:graphicData>
            </a:graphic>
          </wp:inline>
        </w:drawing>
      </w:r>
    </w:p>
    <w:p w14:paraId="0DA95369" w14:textId="5B1ED078" w:rsidR="003F769F" w:rsidRPr="00BE0DBF" w:rsidRDefault="00E36245" w:rsidP="08F51D4B">
      <w:pPr>
        <w:spacing w:after="120" w:line="276" w:lineRule="auto"/>
        <w:rPr>
          <w:b/>
          <w:bCs/>
        </w:rPr>
      </w:pPr>
      <w:r w:rsidRPr="08F51D4B">
        <w:t>AF ietvaros 2024. gadā līdzīgi kā 2023.</w:t>
      </w:r>
      <w:r w:rsidR="005F73FF" w:rsidRPr="08F51D4B">
        <w:t xml:space="preserve"> </w:t>
      </w:r>
      <w:r w:rsidRPr="08F51D4B">
        <w:t>gadā tika identificēti 2 trūkumi iepirkumu jomā</w:t>
      </w:r>
      <w:r w:rsidR="00370DA5" w:rsidRPr="08F51D4B">
        <w:t xml:space="preserve">, kam </w:t>
      </w:r>
      <w:r w:rsidRPr="08F51D4B">
        <w:t xml:space="preserve">finanšu ietekme nav nosakāma fonda </w:t>
      </w:r>
      <w:r w:rsidR="007F1128" w:rsidRPr="08F51D4B">
        <w:t>pārvaldības dēļ, taču neskatoties uz to, arī AF iezīmējas tendence, ka</w:t>
      </w:r>
      <w:r w:rsidR="00543F0E" w:rsidRPr="08F51D4B">
        <w:t xml:space="preserve"> trūkumi tiek </w:t>
      </w:r>
      <w:r w:rsidR="00CD1F10" w:rsidRPr="08F51D4B">
        <w:t>identificēti</w:t>
      </w:r>
      <w:r w:rsidR="007F1128" w:rsidRPr="08F51D4B">
        <w:t xml:space="preserve"> </w:t>
      </w:r>
      <w:r w:rsidR="002272ED" w:rsidRPr="08F51D4B">
        <w:t>iepirkumu normu pārkāpum</w:t>
      </w:r>
      <w:r w:rsidR="00CD1F10" w:rsidRPr="08F51D4B">
        <w:t>os</w:t>
      </w:r>
      <w:r w:rsidR="002272ED" w:rsidRPr="08F51D4B">
        <w:t xml:space="preserve"> </w:t>
      </w:r>
      <w:r w:rsidRPr="08F51D4B">
        <w:t>(skatīt sadaļu</w:t>
      </w:r>
      <w:r w:rsidR="00A1398A" w:rsidRPr="08F51D4B">
        <w:t xml:space="preserve"> </w:t>
      </w:r>
      <w:r w:rsidR="00E35D32" w:rsidRPr="0049108B">
        <w:t>B</w:t>
      </w:r>
      <w:r w:rsidR="00A1398A" w:rsidRPr="0049108B">
        <w:t>.</w:t>
      </w:r>
      <w:r w:rsidR="00EA6F94" w:rsidRPr="0049108B">
        <w:t>3</w:t>
      </w:r>
      <w:r w:rsidR="00A1398A" w:rsidRPr="08F51D4B">
        <w:t>.6</w:t>
      </w:r>
      <w:r w:rsidRPr="08F51D4B">
        <w:t>).</w:t>
      </w:r>
      <w:r w:rsidRPr="08F51D4B">
        <w:rPr>
          <w:b/>
          <w:bCs/>
        </w:rPr>
        <w:t xml:space="preserve">  </w:t>
      </w:r>
      <w:bookmarkStart w:id="55" w:name="_Toc167178713"/>
    </w:p>
    <w:p w14:paraId="0BBC21C8" w14:textId="77777777" w:rsidR="00370DA5" w:rsidRPr="00BE0DBF" w:rsidRDefault="00370DA5" w:rsidP="00274F7D">
      <w:pPr>
        <w:spacing w:after="120" w:line="276" w:lineRule="auto"/>
        <w:rPr>
          <w:b/>
          <w:lang w:val="lv-LV"/>
        </w:rPr>
      </w:pPr>
    </w:p>
    <w:p w14:paraId="68C7077D" w14:textId="19016148" w:rsidR="009A665C" w:rsidRPr="00387441" w:rsidRDefault="00DB5C7B" w:rsidP="00274F7D">
      <w:pPr>
        <w:pStyle w:val="Heading4"/>
      </w:pPr>
      <w:bookmarkStart w:id="56" w:name="_Toc192753105"/>
      <w:r w:rsidRPr="00387441">
        <w:t>B.</w:t>
      </w:r>
      <w:r w:rsidR="004E190B" w:rsidRPr="00387441">
        <w:t>2</w:t>
      </w:r>
      <w:r w:rsidR="00060A08" w:rsidRPr="00387441">
        <w:t>.3. Neatbilstības</w:t>
      </w:r>
      <w:r w:rsidRPr="00387441">
        <w:t>, kas klasificētas kā krāpšana/ aizdomas par krāpšan</w:t>
      </w:r>
      <w:r w:rsidR="00360DCB" w:rsidRPr="00387441">
        <w:t>u</w:t>
      </w:r>
      <w:r w:rsidRPr="00387441">
        <w:t xml:space="preserve"> vai organizēto noziedzību</w:t>
      </w:r>
      <w:bookmarkEnd w:id="56"/>
      <w:r w:rsidR="00060A08" w:rsidRPr="00387441">
        <w:t xml:space="preserve"> </w:t>
      </w:r>
      <w:bookmarkEnd w:id="55"/>
    </w:p>
    <w:p w14:paraId="38849167" w14:textId="44CFAB26" w:rsidR="00CE6441" w:rsidRPr="00387441" w:rsidRDefault="009A665C" w:rsidP="00274F7D">
      <w:pPr>
        <w:spacing w:after="120" w:line="276" w:lineRule="auto"/>
        <w:rPr>
          <w:lang w:val="lv-LV"/>
        </w:rPr>
      </w:pPr>
      <w:r w:rsidRPr="00387441">
        <w:rPr>
          <w:lang w:val="lv-LV"/>
        </w:rPr>
        <w:t>Atbilstoši ES fondu administrējošo iestāžu snie</w:t>
      </w:r>
      <w:r w:rsidR="00D31731" w:rsidRPr="00387441">
        <w:rPr>
          <w:lang w:val="lv-LV"/>
        </w:rPr>
        <w:t xml:space="preserve">gtajai informācijai </w:t>
      </w:r>
      <w:r w:rsidR="00D31731" w:rsidRPr="00387441">
        <w:rPr>
          <w:b/>
          <w:lang w:val="lv-LV"/>
        </w:rPr>
        <w:t>2014</w:t>
      </w:r>
      <w:r w:rsidR="00534AC7" w:rsidRPr="00387441">
        <w:rPr>
          <w:b/>
          <w:lang w:val="lv-LV"/>
        </w:rPr>
        <w:t>.</w:t>
      </w:r>
      <w:r w:rsidR="00016F46" w:rsidRPr="00387441">
        <w:rPr>
          <w:b/>
          <w:lang w:val="lv-LV"/>
        </w:rPr>
        <w:t xml:space="preserve"> </w:t>
      </w:r>
      <w:r w:rsidR="00D31731" w:rsidRPr="00387441">
        <w:rPr>
          <w:b/>
          <w:lang w:val="lv-LV"/>
        </w:rPr>
        <w:t>-</w:t>
      </w:r>
      <w:r w:rsidR="00016F46" w:rsidRPr="00387441">
        <w:rPr>
          <w:b/>
          <w:lang w:val="lv-LV"/>
        </w:rPr>
        <w:t xml:space="preserve"> </w:t>
      </w:r>
      <w:r w:rsidR="00D31731" w:rsidRPr="00387441">
        <w:rPr>
          <w:b/>
          <w:lang w:val="lv-LV"/>
        </w:rPr>
        <w:t>2020. gada plānošanas perioda</w:t>
      </w:r>
      <w:r w:rsidR="00D31731" w:rsidRPr="00387441">
        <w:rPr>
          <w:lang w:val="lv-LV"/>
        </w:rPr>
        <w:t xml:space="preserve"> </w:t>
      </w:r>
      <w:r w:rsidR="00D31731" w:rsidRPr="00387441">
        <w:rPr>
          <w:b/>
          <w:lang w:val="lv-LV"/>
        </w:rPr>
        <w:t>ietvaros tika konstatētas</w:t>
      </w:r>
      <w:r w:rsidR="00D31731" w:rsidRPr="00387441">
        <w:rPr>
          <w:lang w:val="lv-LV"/>
        </w:rPr>
        <w:t xml:space="preserve"> </w:t>
      </w:r>
      <w:r w:rsidR="00D31731" w:rsidRPr="00387441">
        <w:rPr>
          <w:b/>
          <w:lang w:val="lv-LV"/>
        </w:rPr>
        <w:t xml:space="preserve">6 neatbilstības, kas klasificētas, kā </w:t>
      </w:r>
      <w:r w:rsidR="00534AC7" w:rsidRPr="00387441">
        <w:rPr>
          <w:b/>
          <w:i/>
          <w:lang w:val="lv-LV"/>
        </w:rPr>
        <w:t xml:space="preserve">krāpšana/ aizdomas par </w:t>
      </w:r>
      <w:r w:rsidR="00534AC7" w:rsidRPr="00387441">
        <w:rPr>
          <w:b/>
          <w:i/>
          <w:lang w:val="lv-LV"/>
        </w:rPr>
        <w:lastRenderedPageBreak/>
        <w:t>krāpšanu</w:t>
      </w:r>
      <w:r w:rsidR="00534AC7" w:rsidRPr="00387441">
        <w:rPr>
          <w:i/>
          <w:lang w:val="lv-LV"/>
        </w:rPr>
        <w:t xml:space="preserve"> vai organizēto noziedzību</w:t>
      </w:r>
      <w:r w:rsidR="00FD75B1" w:rsidRPr="00387441">
        <w:rPr>
          <w:lang w:val="lv-LV"/>
        </w:rPr>
        <w:t xml:space="preserve">. Savukārt, </w:t>
      </w:r>
      <w:r w:rsidR="00534AC7" w:rsidRPr="00387441">
        <w:rPr>
          <w:b/>
          <w:lang w:val="lv-LV"/>
        </w:rPr>
        <w:t>2021.-2027.</w:t>
      </w:r>
      <w:r w:rsidR="00D604BB" w:rsidRPr="00387441">
        <w:rPr>
          <w:b/>
          <w:lang w:val="lv-LV"/>
        </w:rPr>
        <w:t xml:space="preserve"> </w:t>
      </w:r>
      <w:r w:rsidR="00534AC7" w:rsidRPr="00387441">
        <w:rPr>
          <w:b/>
          <w:lang w:val="lv-LV"/>
        </w:rPr>
        <w:t>gada plānošanas perioda</w:t>
      </w:r>
      <w:r w:rsidR="00534AC7" w:rsidRPr="00387441">
        <w:rPr>
          <w:lang w:val="lv-LV"/>
        </w:rPr>
        <w:t xml:space="preserve"> </w:t>
      </w:r>
      <w:r w:rsidR="00534AC7" w:rsidRPr="00387441">
        <w:rPr>
          <w:b/>
          <w:lang w:val="lv-LV"/>
        </w:rPr>
        <w:t xml:space="preserve">ietvaros tika konstatētas jau </w:t>
      </w:r>
      <w:r w:rsidR="00124D80" w:rsidRPr="00387441">
        <w:rPr>
          <w:b/>
          <w:lang w:val="lv-LV"/>
        </w:rPr>
        <w:t xml:space="preserve">13 </w:t>
      </w:r>
      <w:r w:rsidR="00124D80" w:rsidRPr="00387441">
        <w:rPr>
          <w:lang w:val="lv-LV"/>
        </w:rPr>
        <w:t xml:space="preserve">šīs kategorijas neatbilstības ar kopējo </w:t>
      </w:r>
      <w:r w:rsidR="00CE6441" w:rsidRPr="00387441">
        <w:rPr>
          <w:lang w:val="lv-LV"/>
        </w:rPr>
        <w:t>finansiālo ietekmi EUR 68 781,84 apmērā</w:t>
      </w:r>
      <w:r w:rsidR="00C35FB6" w:rsidRPr="00387441">
        <w:rPr>
          <w:lang w:val="lv-LV"/>
        </w:rPr>
        <w:t>.</w:t>
      </w:r>
      <w:r w:rsidR="00301103" w:rsidRPr="00387441">
        <w:rPr>
          <w:lang w:val="lv-LV"/>
        </w:rPr>
        <w:t xml:space="preserve"> Detalizēts apraksts par atklātajiem </w:t>
      </w:r>
      <w:r w:rsidR="00FA181E" w:rsidRPr="00387441">
        <w:rPr>
          <w:lang w:val="lv-LV"/>
        </w:rPr>
        <w:t xml:space="preserve">krāpšanas / aizdomu par krāpšanu gadījumiem sadalījumā pa fondiem ir sniegts </w:t>
      </w:r>
      <w:r w:rsidR="00AE03D1" w:rsidRPr="00387441">
        <w:rPr>
          <w:lang w:val="lv-LV"/>
        </w:rPr>
        <w:t>B.</w:t>
      </w:r>
      <w:r w:rsidR="004E190B" w:rsidRPr="00387441">
        <w:rPr>
          <w:lang w:val="lv-LV"/>
        </w:rPr>
        <w:t>3</w:t>
      </w:r>
      <w:r w:rsidR="00AE03D1" w:rsidRPr="00387441">
        <w:rPr>
          <w:lang w:val="lv-LV"/>
        </w:rPr>
        <w:t xml:space="preserve">. sadaļā. </w:t>
      </w:r>
    </w:p>
    <w:p w14:paraId="0B2AB39B" w14:textId="3AB0A539" w:rsidR="00E95808" w:rsidRPr="00387441" w:rsidRDefault="00FB1DC0" w:rsidP="00274F7D">
      <w:pPr>
        <w:shd w:val="clear" w:color="auto" w:fill="FFFFFF" w:themeFill="background1"/>
        <w:spacing w:after="120" w:line="276" w:lineRule="auto"/>
        <w:rPr>
          <w:lang w:val="lv-LV"/>
        </w:rPr>
      </w:pPr>
      <w:r w:rsidRPr="00387441">
        <w:rPr>
          <w:lang w:val="lv-LV"/>
        </w:rPr>
        <w:t>Analizējot 2024.</w:t>
      </w:r>
      <w:r w:rsidR="00D604BB" w:rsidRPr="00387441">
        <w:rPr>
          <w:lang w:val="lv-LV"/>
        </w:rPr>
        <w:t xml:space="preserve"> </w:t>
      </w:r>
      <w:r w:rsidRPr="00387441">
        <w:rPr>
          <w:lang w:val="lv-LV"/>
        </w:rPr>
        <w:t xml:space="preserve">gada datus, secināms, ka </w:t>
      </w:r>
      <w:r w:rsidR="00060A08" w:rsidRPr="00387441">
        <w:rPr>
          <w:lang w:val="lv-LV"/>
        </w:rPr>
        <w:t xml:space="preserve">ES fondus uzraugošās </w:t>
      </w:r>
      <w:r w:rsidR="00060A08" w:rsidRPr="00387441">
        <w:rPr>
          <w:b/>
          <w:lang w:val="lv-LV"/>
        </w:rPr>
        <w:t xml:space="preserve">iestādes vēl pirms maksājumu veikšanas finansējuma saņēmējiem spēja preventīvi novērst </w:t>
      </w:r>
      <w:r w:rsidR="00E6353F" w:rsidRPr="00387441">
        <w:rPr>
          <w:b/>
          <w:lang w:val="lv-LV"/>
        </w:rPr>
        <w:t>77</w:t>
      </w:r>
      <w:r w:rsidR="00060A08" w:rsidRPr="00387441">
        <w:rPr>
          <w:b/>
          <w:lang w:val="lv-LV"/>
        </w:rPr>
        <w:t xml:space="preserve"> % (</w:t>
      </w:r>
      <w:r w:rsidR="00D604BB" w:rsidRPr="00387441">
        <w:rPr>
          <w:b/>
          <w:lang w:val="lv-LV"/>
        </w:rPr>
        <w:t xml:space="preserve"> jeb</w:t>
      </w:r>
      <w:r w:rsidR="00D604BB" w:rsidRPr="00387441">
        <w:rPr>
          <w:lang w:val="lv-LV"/>
        </w:rPr>
        <w:t xml:space="preserve"> </w:t>
      </w:r>
      <w:r w:rsidR="00C35FB6" w:rsidRPr="00387441">
        <w:rPr>
          <w:b/>
          <w:lang w:val="lv-LV"/>
        </w:rPr>
        <w:t xml:space="preserve">EUR </w:t>
      </w:r>
      <w:r w:rsidR="00E6353F" w:rsidRPr="00387441">
        <w:rPr>
          <w:b/>
          <w:lang w:val="lv-LV"/>
        </w:rPr>
        <w:t>519 918,59</w:t>
      </w:r>
      <w:r w:rsidR="00060A08" w:rsidRPr="00387441">
        <w:rPr>
          <w:b/>
          <w:lang w:val="lv-LV"/>
        </w:rPr>
        <w:t xml:space="preserve">) </w:t>
      </w:r>
      <w:r w:rsidR="00E6353F" w:rsidRPr="00387441">
        <w:rPr>
          <w:lang w:val="lv-LV"/>
        </w:rPr>
        <w:t>neatbilstības kategorijā</w:t>
      </w:r>
      <w:r w:rsidR="00E6353F" w:rsidRPr="00387441">
        <w:rPr>
          <w:b/>
          <w:lang w:val="lv-LV"/>
        </w:rPr>
        <w:t xml:space="preserve"> </w:t>
      </w:r>
      <w:r w:rsidR="00E6353F" w:rsidRPr="00387441">
        <w:rPr>
          <w:i/>
          <w:lang w:val="lv-LV"/>
        </w:rPr>
        <w:t>krāpšanas/ aizdomas par krāpšanu vai organizēto noziedzību</w:t>
      </w:r>
      <w:r w:rsidR="00E6353F" w:rsidRPr="00387441">
        <w:rPr>
          <w:lang w:val="lv-LV"/>
        </w:rPr>
        <w:t xml:space="preserve"> radītās finanšu sekas, tādējādi pasargājot gan ES, gan nacionālo budžetu</w:t>
      </w:r>
      <w:r w:rsidR="00060A08" w:rsidRPr="00387441">
        <w:rPr>
          <w:lang w:val="lv-LV"/>
        </w:rPr>
        <w:t>.</w:t>
      </w:r>
    </w:p>
    <w:p w14:paraId="0E8AC781" w14:textId="63086FBD" w:rsidR="003F769F" w:rsidRPr="00387441" w:rsidRDefault="00E95808" w:rsidP="00274F7D">
      <w:pPr>
        <w:shd w:val="clear" w:color="auto" w:fill="FFFFFF" w:themeFill="background1"/>
        <w:spacing w:after="120" w:line="276" w:lineRule="auto"/>
        <w:rPr>
          <w:lang w:val="lv-LV"/>
        </w:rPr>
      </w:pPr>
      <w:r w:rsidRPr="00387441">
        <w:rPr>
          <w:lang w:val="lv-LV"/>
        </w:rPr>
        <w:t>Turklāt</w:t>
      </w:r>
      <w:r w:rsidR="00EF0820" w:rsidRPr="00387441">
        <w:rPr>
          <w:lang w:val="lv-LV"/>
        </w:rPr>
        <w:t>,</w:t>
      </w:r>
      <w:r w:rsidRPr="00387441">
        <w:rPr>
          <w:lang w:val="lv-LV"/>
        </w:rPr>
        <w:t xml:space="preserve"> lielākā daļa jeb </w:t>
      </w:r>
      <w:r w:rsidR="00821B4F" w:rsidRPr="00387441">
        <w:rPr>
          <w:lang w:val="lv-LV"/>
        </w:rPr>
        <w:t xml:space="preserve">84% </w:t>
      </w:r>
      <w:r w:rsidR="00EE0536" w:rsidRPr="00387441">
        <w:rPr>
          <w:lang w:val="lv-LV"/>
        </w:rPr>
        <w:t>minēto neatbilstību</w:t>
      </w:r>
      <w:r w:rsidR="00F673E0" w:rsidRPr="00387441">
        <w:rPr>
          <w:lang w:val="lv-LV"/>
        </w:rPr>
        <w:t xml:space="preserve"> tika konstatēti ES </w:t>
      </w:r>
      <w:r w:rsidR="00060A08" w:rsidRPr="00387441">
        <w:rPr>
          <w:lang w:val="lv-LV"/>
        </w:rPr>
        <w:t>fondu administrējo</w:t>
      </w:r>
      <w:r w:rsidR="00F673E0" w:rsidRPr="00387441">
        <w:rPr>
          <w:lang w:val="lv-LV"/>
        </w:rPr>
        <w:t>šo</w:t>
      </w:r>
      <w:r w:rsidR="00060A08" w:rsidRPr="00387441">
        <w:rPr>
          <w:lang w:val="lv-LV"/>
        </w:rPr>
        <w:t xml:space="preserve"> iestā</w:t>
      </w:r>
      <w:r w:rsidR="00F673E0" w:rsidRPr="00387441">
        <w:rPr>
          <w:lang w:val="lv-LV"/>
        </w:rPr>
        <w:t xml:space="preserve">žu veikto pārbaužu laikā, </w:t>
      </w:r>
      <w:r w:rsidR="000345DE" w:rsidRPr="00387441">
        <w:rPr>
          <w:lang w:val="lv-LV"/>
        </w:rPr>
        <w:t>no kā secināms, ka iest</w:t>
      </w:r>
      <w:r w:rsidR="00606E79" w:rsidRPr="00387441">
        <w:rPr>
          <w:lang w:val="lv-LV"/>
        </w:rPr>
        <w:t>āžu</w:t>
      </w:r>
      <w:r w:rsidR="00060A08" w:rsidRPr="00387441">
        <w:rPr>
          <w:lang w:val="lv-LV"/>
        </w:rPr>
        <w:t xml:space="preserve"> </w:t>
      </w:r>
      <w:r w:rsidR="00606E79" w:rsidRPr="00387441">
        <w:rPr>
          <w:lang w:val="lv-LV"/>
        </w:rPr>
        <w:t>veikto</w:t>
      </w:r>
      <w:r w:rsidRPr="00387441">
        <w:rPr>
          <w:lang w:val="lv-LV"/>
        </w:rPr>
        <w:t xml:space="preserve"> </w:t>
      </w:r>
      <w:r w:rsidR="00060A08" w:rsidRPr="00387441">
        <w:rPr>
          <w:lang w:val="lv-LV"/>
        </w:rPr>
        <w:t>kontroļu efektivitāt</w:t>
      </w:r>
      <w:r w:rsidR="00606E79" w:rsidRPr="00387441">
        <w:rPr>
          <w:lang w:val="lv-LV"/>
        </w:rPr>
        <w:t>e ir pietiekoši augsta</w:t>
      </w:r>
      <w:r w:rsidR="00060A08" w:rsidRPr="00387441">
        <w:rPr>
          <w:lang w:val="lv-LV"/>
        </w:rPr>
        <w:t xml:space="preserve"> aizdomīgu gadījumu identificēšanā.</w:t>
      </w:r>
    </w:p>
    <w:p w14:paraId="44D8D3FA" w14:textId="77777777" w:rsidR="0038427B" w:rsidRPr="00387441" w:rsidRDefault="0038427B" w:rsidP="00274F7D">
      <w:pPr>
        <w:shd w:val="clear" w:color="auto" w:fill="FFFFFF" w:themeFill="background1"/>
        <w:spacing w:after="120" w:line="276" w:lineRule="auto"/>
        <w:rPr>
          <w:lang w:val="lv-LV"/>
        </w:rPr>
      </w:pPr>
    </w:p>
    <w:p w14:paraId="07078EEF" w14:textId="133D0FF0" w:rsidR="0065156C" w:rsidRPr="00387441" w:rsidRDefault="00060A08" w:rsidP="002F4E94">
      <w:pPr>
        <w:pStyle w:val="Heading3"/>
      </w:pPr>
      <w:r w:rsidRPr="00387441">
        <w:tab/>
      </w:r>
      <w:bookmarkStart w:id="57" w:name="_Toc167178714"/>
      <w:bookmarkStart w:id="58" w:name="_Toc192753106"/>
      <w:bookmarkStart w:id="59" w:name="_Toc128581409"/>
      <w:bookmarkStart w:id="60" w:name="_Toc128581759"/>
      <w:bookmarkStart w:id="61" w:name="_Toc128581991"/>
      <w:r w:rsidR="00B860DF" w:rsidRPr="00387441">
        <w:t>B.</w:t>
      </w:r>
      <w:r w:rsidR="004E190B" w:rsidRPr="00387441">
        <w:rPr>
          <w:rStyle w:val="Strong"/>
          <w:b/>
          <w:bCs/>
        </w:rPr>
        <w:t>3</w:t>
      </w:r>
      <w:r w:rsidRPr="00387441">
        <w:rPr>
          <w:rStyle w:val="Strong"/>
          <w:b/>
          <w:bCs/>
        </w:rPr>
        <w:t>. Neatbilstību izvērtējums sadalījumā pa dažādiem finansējuma avotiem</w:t>
      </w:r>
      <w:bookmarkEnd w:id="57"/>
      <w:bookmarkEnd w:id="58"/>
    </w:p>
    <w:p w14:paraId="4258C2D8" w14:textId="4D8FC8DC" w:rsidR="003F769F" w:rsidRPr="00387441" w:rsidRDefault="00B65623" w:rsidP="00274F7D">
      <w:pPr>
        <w:pStyle w:val="Heading4"/>
      </w:pPr>
      <w:bookmarkStart w:id="62" w:name="_Toc167178715"/>
      <w:bookmarkStart w:id="63" w:name="_Toc192753107"/>
      <w:r w:rsidRPr="00387441">
        <w:rPr>
          <w:rStyle w:val="Strong"/>
          <w:b/>
          <w:bCs w:val="0"/>
        </w:rPr>
        <w:t>B.</w:t>
      </w:r>
      <w:r w:rsidR="004E190B" w:rsidRPr="00387441">
        <w:rPr>
          <w:rStyle w:val="Strong"/>
          <w:b/>
          <w:bCs w:val="0"/>
        </w:rPr>
        <w:t>3</w:t>
      </w:r>
      <w:r w:rsidR="00060A08" w:rsidRPr="00387441">
        <w:rPr>
          <w:rStyle w:val="Strong"/>
          <w:b/>
          <w:bCs w:val="0"/>
        </w:rPr>
        <w:t>.1. Eiropas Reģionālās attīstības fonds (ERAF), Eiropas Sociālais fonds (ESF),</w:t>
      </w:r>
      <w:r w:rsidR="00BB40DC" w:rsidRPr="00BB40DC">
        <w:rPr>
          <w:rStyle w:val="Strong"/>
          <w:b/>
          <w:bCs w:val="0"/>
        </w:rPr>
        <w:t xml:space="preserve"> </w:t>
      </w:r>
      <w:r w:rsidR="00BB40DC" w:rsidRPr="00387441">
        <w:rPr>
          <w:rStyle w:val="Strong"/>
          <w:b/>
          <w:bCs w:val="0"/>
        </w:rPr>
        <w:t xml:space="preserve">Eiropas Sociālais fonds </w:t>
      </w:r>
      <w:r w:rsidR="00BB40DC">
        <w:rPr>
          <w:rStyle w:val="Strong"/>
          <w:b/>
          <w:bCs w:val="0"/>
        </w:rPr>
        <w:t xml:space="preserve">Plus </w:t>
      </w:r>
      <w:r w:rsidR="00BB40DC" w:rsidRPr="00387441">
        <w:rPr>
          <w:rStyle w:val="Strong"/>
          <w:b/>
          <w:bCs w:val="0"/>
        </w:rPr>
        <w:t>(ESF</w:t>
      </w:r>
      <w:r w:rsidR="00B65C29">
        <w:rPr>
          <w:rStyle w:val="Strong"/>
          <w:b/>
          <w:bCs w:val="0"/>
        </w:rPr>
        <w:t>+</w:t>
      </w:r>
      <w:r w:rsidR="00BB40DC" w:rsidRPr="00387441">
        <w:rPr>
          <w:rStyle w:val="Strong"/>
          <w:b/>
          <w:bCs w:val="0"/>
        </w:rPr>
        <w:t>)</w:t>
      </w:r>
      <w:r w:rsidR="00060A08" w:rsidRPr="00387441">
        <w:rPr>
          <w:rStyle w:val="Strong"/>
          <w:b/>
          <w:bCs w:val="0"/>
        </w:rPr>
        <w:t xml:space="preserve"> Kohēzijas fonds (KF)</w:t>
      </w:r>
      <w:bookmarkEnd w:id="59"/>
      <w:bookmarkEnd w:id="60"/>
      <w:bookmarkEnd w:id="61"/>
      <w:bookmarkEnd w:id="62"/>
      <w:r w:rsidR="00EE2A4E" w:rsidRPr="00387441">
        <w:rPr>
          <w:rStyle w:val="Strong"/>
          <w:b/>
          <w:bCs w:val="0"/>
        </w:rPr>
        <w:t>, Taisnīgas pārkārtošanās fonds (TPF)</w:t>
      </w:r>
      <w:bookmarkEnd w:id="63"/>
    </w:p>
    <w:p w14:paraId="72DCF14C" w14:textId="4EF3D97B" w:rsidR="00060A08" w:rsidRPr="00387441" w:rsidRDefault="003F769F" w:rsidP="00060A08">
      <w:pPr>
        <w:pStyle w:val="TabulasAttli"/>
        <w:spacing w:after="0"/>
        <w:ind w:left="2694" w:firstLine="851"/>
        <w:rPr>
          <w:sz w:val="20"/>
          <w:szCs w:val="20"/>
        </w:rPr>
      </w:pPr>
      <w:r w:rsidRPr="00387441">
        <w:rPr>
          <w:b/>
          <w:bCs/>
          <w:sz w:val="20"/>
          <w:szCs w:val="20"/>
        </w:rPr>
        <w:t>Attēls Nr.</w:t>
      </w:r>
      <w:r w:rsidR="00CA6DFE" w:rsidRPr="00387441">
        <w:rPr>
          <w:b/>
          <w:bCs/>
          <w:sz w:val="20"/>
          <w:szCs w:val="20"/>
        </w:rPr>
        <w:t>10</w:t>
      </w:r>
      <w:r w:rsidR="00060A08" w:rsidRPr="00387441">
        <w:rPr>
          <w:sz w:val="20"/>
          <w:szCs w:val="20"/>
        </w:rPr>
        <w:t xml:space="preserve"> Kopsavilkums par ERAF, ESF</w:t>
      </w:r>
      <w:r w:rsidR="001C24A7" w:rsidRPr="00387441">
        <w:rPr>
          <w:sz w:val="20"/>
          <w:szCs w:val="20"/>
        </w:rPr>
        <w:t xml:space="preserve">, </w:t>
      </w:r>
      <w:r w:rsidR="00060A08" w:rsidRPr="00387441">
        <w:rPr>
          <w:sz w:val="20"/>
          <w:szCs w:val="20"/>
        </w:rPr>
        <w:t xml:space="preserve"> KF </w:t>
      </w:r>
      <w:r w:rsidR="001C24A7" w:rsidRPr="00387441">
        <w:rPr>
          <w:sz w:val="20"/>
          <w:szCs w:val="20"/>
        </w:rPr>
        <w:t xml:space="preserve">un TPF </w:t>
      </w:r>
      <w:r w:rsidR="00060A08" w:rsidRPr="00387441">
        <w:rPr>
          <w:sz w:val="20"/>
          <w:szCs w:val="20"/>
        </w:rPr>
        <w:t>neatbilstībām</w:t>
      </w:r>
      <w:r w:rsidR="001C24A7" w:rsidRPr="00387441">
        <w:rPr>
          <w:sz w:val="20"/>
          <w:szCs w:val="20"/>
        </w:rPr>
        <w:t xml:space="preserve"> 2024.gadā</w:t>
      </w:r>
    </w:p>
    <w:tbl>
      <w:tblPr>
        <w:tblStyle w:val="TableGrid"/>
        <w:tblW w:w="10915" w:type="dxa"/>
        <w:tblInd w:w="-142" w:type="dxa"/>
        <w:shd w:val="clear" w:color="auto" w:fill="29A3FF"/>
        <w:tblLayout w:type="fixed"/>
        <w:tblLook w:val="04A0" w:firstRow="1" w:lastRow="0" w:firstColumn="1" w:lastColumn="0" w:noHBand="0" w:noVBand="1"/>
      </w:tblPr>
      <w:tblGrid>
        <w:gridCol w:w="1418"/>
        <w:gridCol w:w="1276"/>
        <w:gridCol w:w="1417"/>
        <w:gridCol w:w="1407"/>
        <w:gridCol w:w="1428"/>
        <w:gridCol w:w="1276"/>
        <w:gridCol w:w="1418"/>
        <w:gridCol w:w="1275"/>
      </w:tblGrid>
      <w:tr w:rsidR="003D4D8B" w:rsidRPr="00387441" w14:paraId="4D30C8BD" w14:textId="77777777" w:rsidTr="009862AC">
        <w:trPr>
          <w:trHeight w:val="205"/>
        </w:trPr>
        <w:tc>
          <w:tcPr>
            <w:tcW w:w="1418" w:type="dxa"/>
            <w:tcBorders>
              <w:top w:val="nil"/>
              <w:left w:val="nil"/>
              <w:bottom w:val="single" w:sz="4" w:space="0" w:color="auto"/>
              <w:right w:val="single" w:sz="8" w:space="0" w:color="auto"/>
            </w:tcBorders>
            <w:shd w:val="clear" w:color="auto" w:fill="auto"/>
            <w:vAlign w:val="center"/>
          </w:tcPr>
          <w:p w14:paraId="32118D96" w14:textId="77777777" w:rsidR="00254CD8" w:rsidRPr="00387441" w:rsidRDefault="00254CD8" w:rsidP="000D79F4">
            <w:pPr>
              <w:pStyle w:val="ListParagraph"/>
              <w:spacing w:after="0" w:line="240" w:lineRule="auto"/>
              <w:ind w:left="0" w:firstLine="179"/>
              <w:contextualSpacing w:val="0"/>
              <w:jc w:val="center"/>
              <w:rPr>
                <w:rStyle w:val="Strong"/>
                <w:rFonts w:cstheme="majorHAnsi"/>
                <w:sz w:val="20"/>
                <w:szCs w:val="20"/>
                <w:lang w:val="lv-LV"/>
              </w:rPr>
            </w:pPr>
            <w:bookmarkStart w:id="64" w:name="_Hlk160383687"/>
          </w:p>
          <w:p w14:paraId="2121EAAB" w14:textId="4794C9E1" w:rsidR="00060A08" w:rsidRPr="00387441" w:rsidRDefault="00060A08" w:rsidP="00BF2DD7">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20"/>
                <w:szCs w:val="20"/>
                <w:lang w:val="lv-LV"/>
              </w:rPr>
              <w:t>2014 - 2020</w:t>
            </w:r>
            <w:bookmarkEnd w:id="64"/>
          </w:p>
        </w:tc>
        <w:tc>
          <w:tcPr>
            <w:tcW w:w="1276" w:type="dxa"/>
            <w:tcBorders>
              <w:left w:val="single" w:sz="8" w:space="0" w:color="auto"/>
              <w:bottom w:val="single" w:sz="4" w:space="0" w:color="auto"/>
            </w:tcBorders>
            <w:shd w:val="clear" w:color="auto" w:fill="4C94D8" w:themeFill="text2" w:themeFillTint="80"/>
            <w:vAlign w:val="center"/>
          </w:tcPr>
          <w:p w14:paraId="2D3477EA" w14:textId="77777777" w:rsidR="00060A08" w:rsidRPr="00387441" w:rsidRDefault="00060A08" w:rsidP="003D4D8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ERAF</w:t>
            </w:r>
          </w:p>
        </w:tc>
        <w:tc>
          <w:tcPr>
            <w:tcW w:w="1417" w:type="dxa"/>
            <w:tcBorders>
              <w:bottom w:val="single" w:sz="4" w:space="0" w:color="auto"/>
            </w:tcBorders>
            <w:shd w:val="clear" w:color="auto" w:fill="4C94D8" w:themeFill="text2" w:themeFillTint="80"/>
            <w:vAlign w:val="center"/>
          </w:tcPr>
          <w:p w14:paraId="50E92506" w14:textId="77777777" w:rsidR="00060A08" w:rsidRPr="00387441" w:rsidRDefault="00060A08" w:rsidP="003D4D8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ESF</w:t>
            </w:r>
          </w:p>
        </w:tc>
        <w:tc>
          <w:tcPr>
            <w:tcW w:w="1407" w:type="dxa"/>
            <w:tcBorders>
              <w:bottom w:val="single" w:sz="4" w:space="0" w:color="auto"/>
              <w:right w:val="single" w:sz="4" w:space="0" w:color="auto"/>
            </w:tcBorders>
            <w:shd w:val="clear" w:color="auto" w:fill="4C94D8" w:themeFill="text2" w:themeFillTint="80"/>
            <w:vAlign w:val="center"/>
          </w:tcPr>
          <w:p w14:paraId="1B3E28EE" w14:textId="77777777" w:rsidR="00060A08" w:rsidRPr="00387441" w:rsidRDefault="00060A08" w:rsidP="003D4D8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KF</w:t>
            </w:r>
          </w:p>
        </w:tc>
        <w:tc>
          <w:tcPr>
            <w:tcW w:w="1428" w:type="dxa"/>
            <w:tcBorders>
              <w:top w:val="nil"/>
              <w:left w:val="single" w:sz="4" w:space="0" w:color="auto"/>
              <w:bottom w:val="single" w:sz="4" w:space="0" w:color="auto"/>
              <w:right w:val="single" w:sz="4" w:space="0" w:color="auto"/>
            </w:tcBorders>
            <w:shd w:val="clear" w:color="auto" w:fill="auto"/>
            <w:vAlign w:val="center"/>
          </w:tcPr>
          <w:p w14:paraId="3AB4EC75" w14:textId="77777777" w:rsidR="00060A08" w:rsidRPr="00387441" w:rsidRDefault="00060A08"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p>
        </w:tc>
        <w:tc>
          <w:tcPr>
            <w:tcW w:w="1276" w:type="dxa"/>
            <w:tcBorders>
              <w:left w:val="single" w:sz="4" w:space="0" w:color="auto"/>
              <w:bottom w:val="single" w:sz="4" w:space="0" w:color="auto"/>
            </w:tcBorders>
            <w:shd w:val="clear" w:color="auto" w:fill="4C94D8" w:themeFill="text2" w:themeFillTint="80"/>
            <w:vAlign w:val="center"/>
          </w:tcPr>
          <w:p w14:paraId="49E00E9C" w14:textId="77777777" w:rsidR="00060A08" w:rsidRPr="00387441" w:rsidRDefault="00060A08" w:rsidP="003D4D8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ERAF</w:t>
            </w:r>
          </w:p>
        </w:tc>
        <w:tc>
          <w:tcPr>
            <w:tcW w:w="1418" w:type="dxa"/>
            <w:tcBorders>
              <w:bottom w:val="single" w:sz="4" w:space="0" w:color="auto"/>
            </w:tcBorders>
            <w:shd w:val="clear" w:color="auto" w:fill="4C94D8" w:themeFill="text2" w:themeFillTint="80"/>
            <w:vAlign w:val="center"/>
          </w:tcPr>
          <w:p w14:paraId="339D42CD" w14:textId="77777777" w:rsidR="00060A08" w:rsidRPr="00387441" w:rsidRDefault="00060A08" w:rsidP="003D4D8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ESF</w:t>
            </w:r>
          </w:p>
        </w:tc>
        <w:tc>
          <w:tcPr>
            <w:tcW w:w="1275" w:type="dxa"/>
            <w:tcBorders>
              <w:bottom w:val="single" w:sz="4" w:space="0" w:color="auto"/>
            </w:tcBorders>
            <w:shd w:val="clear" w:color="auto" w:fill="4C94D8" w:themeFill="text2" w:themeFillTint="80"/>
            <w:vAlign w:val="center"/>
          </w:tcPr>
          <w:p w14:paraId="33187AEE" w14:textId="77777777" w:rsidR="00060A08" w:rsidRPr="00387441" w:rsidRDefault="00060A08" w:rsidP="003D4D8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KF</w:t>
            </w:r>
          </w:p>
        </w:tc>
      </w:tr>
      <w:tr w:rsidR="00060A08" w:rsidRPr="00387441" w14:paraId="0079AD1B" w14:textId="77777777" w:rsidTr="009862AC">
        <w:trPr>
          <w:trHeight w:val="843"/>
        </w:trPr>
        <w:tc>
          <w:tcPr>
            <w:tcW w:w="1418" w:type="dxa"/>
            <w:tcBorders>
              <w:left w:val="single" w:sz="8" w:space="0" w:color="auto"/>
              <w:right w:val="single" w:sz="8" w:space="0" w:color="auto"/>
            </w:tcBorders>
            <w:shd w:val="clear" w:color="auto" w:fill="DAE9F7" w:themeFill="text2" w:themeFillTint="1A"/>
            <w:vAlign w:val="center"/>
          </w:tcPr>
          <w:p w14:paraId="6391D10D" w14:textId="77777777" w:rsidR="00060A08" w:rsidRPr="00387441" w:rsidRDefault="00060A08" w:rsidP="000D79F4">
            <w:pPr>
              <w:pStyle w:val="ListParagraph"/>
              <w:spacing w:after="0" w:line="240" w:lineRule="auto"/>
              <w:ind w:left="-111" w:right="-106" w:firstLine="6"/>
              <w:contextualSpacing w:val="0"/>
              <w:jc w:val="center"/>
              <w:rPr>
                <w:rStyle w:val="Strong"/>
                <w:rFonts w:cstheme="majorHAnsi"/>
                <w:sz w:val="16"/>
                <w:szCs w:val="16"/>
                <w:lang w:val="lv-LV"/>
              </w:rPr>
            </w:pPr>
            <w:r w:rsidRPr="00387441">
              <w:rPr>
                <w:rStyle w:val="Strong"/>
                <w:rFonts w:cstheme="majorHAnsi"/>
                <w:sz w:val="16"/>
                <w:szCs w:val="16"/>
                <w:lang w:val="lv-LV"/>
              </w:rPr>
              <w:t xml:space="preserve">Neatbilstoši veikto izdevumu summa, EUR </w:t>
            </w:r>
          </w:p>
          <w:p w14:paraId="6C0DCA1E" w14:textId="690C5DFE" w:rsidR="00060A08" w:rsidRPr="00387441" w:rsidRDefault="00060A08" w:rsidP="000D79F4">
            <w:pPr>
              <w:pStyle w:val="ListParagraph"/>
              <w:spacing w:after="0" w:line="240" w:lineRule="auto"/>
              <w:ind w:left="0" w:right="-32" w:firstLine="0"/>
              <w:contextualSpacing w:val="0"/>
              <w:rPr>
                <w:rStyle w:val="Strong"/>
                <w:rFonts w:cstheme="majorHAnsi"/>
                <w:i/>
                <w:iCs/>
                <w:sz w:val="16"/>
                <w:szCs w:val="16"/>
                <w:lang w:val="lv-LV"/>
              </w:rPr>
            </w:pPr>
            <w:r w:rsidRPr="00387441">
              <w:rPr>
                <w:rStyle w:val="Strong"/>
                <w:rFonts w:cstheme="majorHAnsi"/>
                <w:i/>
                <w:iCs/>
                <w:color w:val="A6A6A6" w:themeColor="background1" w:themeShade="A6"/>
                <w:sz w:val="16"/>
                <w:szCs w:val="16"/>
                <w:lang w:val="lv-LV"/>
              </w:rPr>
              <w:t>(202</w:t>
            </w:r>
            <w:r w:rsidR="000D79F4" w:rsidRPr="00387441">
              <w:rPr>
                <w:rStyle w:val="Strong"/>
                <w:rFonts w:cstheme="majorHAnsi"/>
                <w:i/>
                <w:iCs/>
                <w:color w:val="A6A6A6" w:themeColor="background1" w:themeShade="A6"/>
                <w:sz w:val="16"/>
                <w:szCs w:val="16"/>
                <w:lang w:val="lv-LV"/>
              </w:rPr>
              <w:t>3</w:t>
            </w:r>
            <w:r w:rsidRPr="00387441">
              <w:rPr>
                <w:rStyle w:val="Strong"/>
                <w:rFonts w:cstheme="majorHAnsi"/>
                <w:i/>
                <w:iCs/>
                <w:color w:val="A6A6A6" w:themeColor="background1" w:themeShade="A6"/>
                <w:sz w:val="16"/>
                <w:szCs w:val="16"/>
                <w:lang w:val="lv-LV"/>
              </w:rPr>
              <w:t>. gada dati)</w:t>
            </w:r>
          </w:p>
        </w:tc>
        <w:tc>
          <w:tcPr>
            <w:tcW w:w="1276" w:type="dxa"/>
            <w:tcBorders>
              <w:left w:val="single" w:sz="8" w:space="0" w:color="auto"/>
            </w:tcBorders>
            <w:shd w:val="clear" w:color="auto" w:fill="auto"/>
            <w:vAlign w:val="center"/>
          </w:tcPr>
          <w:p w14:paraId="507A5C78" w14:textId="77777777" w:rsidR="004742E4" w:rsidRPr="00387441" w:rsidRDefault="004742E4" w:rsidP="00510231">
            <w:pPr>
              <w:pStyle w:val="ListParagraph"/>
              <w:spacing w:after="0" w:line="240" w:lineRule="auto"/>
              <w:ind w:left="-245" w:right="-77" w:firstLine="245"/>
              <w:contextualSpacing w:val="0"/>
              <w:jc w:val="center"/>
              <w:rPr>
                <w:i/>
                <w:iCs/>
                <w:color w:val="ADADAD" w:themeColor="background2" w:themeShade="BF"/>
                <w:sz w:val="16"/>
                <w:szCs w:val="16"/>
                <w:lang w:val="lv-LV"/>
              </w:rPr>
            </w:pPr>
          </w:p>
          <w:p w14:paraId="34995DBA" w14:textId="77777777" w:rsidR="004742E4" w:rsidRPr="00387441" w:rsidRDefault="004742E4" w:rsidP="00510231">
            <w:pPr>
              <w:pStyle w:val="ListParagraph"/>
              <w:spacing w:after="0" w:line="240" w:lineRule="auto"/>
              <w:ind w:left="-245" w:right="-77" w:firstLine="245"/>
              <w:contextualSpacing w:val="0"/>
              <w:jc w:val="center"/>
              <w:rPr>
                <w:i/>
                <w:iCs/>
                <w:color w:val="ADADAD" w:themeColor="background2" w:themeShade="BF"/>
                <w:sz w:val="16"/>
                <w:szCs w:val="16"/>
                <w:lang w:val="lv-LV"/>
              </w:rPr>
            </w:pPr>
          </w:p>
          <w:p w14:paraId="6D56F47B" w14:textId="727EE3B2" w:rsidR="004742E4" w:rsidRPr="00387441" w:rsidRDefault="006A23E0" w:rsidP="00510231">
            <w:pPr>
              <w:pStyle w:val="ListParagraph"/>
              <w:spacing w:after="0" w:line="240" w:lineRule="auto"/>
              <w:ind w:left="-245" w:right="-77" w:firstLine="245"/>
              <w:contextualSpacing w:val="0"/>
              <w:jc w:val="center"/>
              <w:rPr>
                <w:b/>
                <w:bCs/>
                <w:sz w:val="16"/>
                <w:szCs w:val="16"/>
                <w:lang w:val="lv-LV"/>
              </w:rPr>
            </w:pPr>
            <w:r w:rsidRPr="00387441">
              <w:rPr>
                <w:b/>
                <w:bCs/>
                <w:sz w:val="16"/>
                <w:szCs w:val="16"/>
                <w:lang w:val="lv-LV"/>
              </w:rPr>
              <w:t>22 754 879,44</w:t>
            </w:r>
          </w:p>
          <w:p w14:paraId="29413006" w14:textId="77777777" w:rsidR="00215670" w:rsidRPr="00387441" w:rsidRDefault="00215670" w:rsidP="00510231">
            <w:pPr>
              <w:pStyle w:val="ListParagraph"/>
              <w:spacing w:after="0" w:line="240" w:lineRule="auto"/>
              <w:ind w:left="-245" w:right="-77" w:firstLine="245"/>
              <w:contextualSpacing w:val="0"/>
              <w:jc w:val="center"/>
              <w:rPr>
                <w:i/>
                <w:iCs/>
                <w:color w:val="ADADAD" w:themeColor="background2" w:themeShade="BF"/>
                <w:sz w:val="16"/>
                <w:szCs w:val="16"/>
                <w:lang w:val="lv-LV"/>
              </w:rPr>
            </w:pPr>
          </w:p>
          <w:p w14:paraId="43D3F8D9" w14:textId="3339C6C3" w:rsidR="00060A08" w:rsidRPr="00387441" w:rsidRDefault="004742E4" w:rsidP="00215670">
            <w:pPr>
              <w:pStyle w:val="ListParagraph"/>
              <w:spacing w:after="0" w:line="240" w:lineRule="auto"/>
              <w:ind w:left="-245" w:right="-77" w:firstLine="245"/>
              <w:contextualSpacing w:val="0"/>
              <w:jc w:val="center"/>
              <w:rPr>
                <w:rStyle w:val="Strong"/>
                <w:rFonts w:cstheme="majorHAnsi"/>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15 617 956.09</w:t>
            </w:r>
            <w:r w:rsidRPr="00387441">
              <w:rPr>
                <w:i/>
                <w:iCs/>
                <w:color w:val="ADADAD" w:themeColor="background2" w:themeShade="BF"/>
                <w:sz w:val="16"/>
                <w:szCs w:val="16"/>
                <w:lang w:val="lv-LV"/>
              </w:rPr>
              <w:t>)</w:t>
            </w:r>
          </w:p>
        </w:tc>
        <w:tc>
          <w:tcPr>
            <w:tcW w:w="1417" w:type="dxa"/>
            <w:shd w:val="clear" w:color="auto" w:fill="auto"/>
            <w:vAlign w:val="center"/>
          </w:tcPr>
          <w:p w14:paraId="338BCBED" w14:textId="77777777" w:rsidR="004742E4" w:rsidRPr="00387441" w:rsidRDefault="004742E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49327764" w14:textId="77777777" w:rsidR="004742E4" w:rsidRPr="00387441" w:rsidRDefault="004742E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1788A627" w14:textId="6A9862DD" w:rsidR="004742E4" w:rsidRPr="00387441" w:rsidRDefault="006A23E0" w:rsidP="00510231">
            <w:pPr>
              <w:pStyle w:val="ListParagraph"/>
              <w:spacing w:after="0" w:line="240" w:lineRule="auto"/>
              <w:ind w:left="0" w:right="-107" w:firstLine="0"/>
              <w:contextualSpacing w:val="0"/>
              <w:jc w:val="center"/>
              <w:rPr>
                <w:b/>
                <w:bCs/>
                <w:sz w:val="16"/>
                <w:szCs w:val="16"/>
                <w:lang w:val="lv-LV"/>
              </w:rPr>
            </w:pPr>
            <w:r w:rsidRPr="00387441">
              <w:rPr>
                <w:b/>
                <w:bCs/>
                <w:sz w:val="16"/>
                <w:szCs w:val="16"/>
                <w:lang w:val="lv-LV"/>
              </w:rPr>
              <w:t>153 058,19</w:t>
            </w:r>
          </w:p>
          <w:p w14:paraId="658038FB" w14:textId="77777777" w:rsidR="00215670" w:rsidRPr="00387441" w:rsidRDefault="00215670" w:rsidP="00215670">
            <w:pPr>
              <w:pStyle w:val="ListParagraph"/>
              <w:spacing w:after="0" w:line="240" w:lineRule="auto"/>
              <w:ind w:left="0" w:right="-107" w:firstLine="0"/>
              <w:contextualSpacing w:val="0"/>
              <w:jc w:val="center"/>
              <w:rPr>
                <w:i/>
                <w:iCs/>
                <w:color w:val="ADADAD" w:themeColor="background2" w:themeShade="BF"/>
                <w:sz w:val="16"/>
                <w:szCs w:val="16"/>
                <w:lang w:val="lv-LV"/>
              </w:rPr>
            </w:pPr>
          </w:p>
          <w:p w14:paraId="2DCA91D8" w14:textId="45B901A0" w:rsidR="00060A08" w:rsidRPr="00387441" w:rsidRDefault="004742E4" w:rsidP="00215670">
            <w:pPr>
              <w:pStyle w:val="ListParagraph"/>
              <w:spacing w:after="0" w:line="240" w:lineRule="auto"/>
              <w:ind w:left="0" w:right="-107" w:firstLine="0"/>
              <w:contextualSpacing w:val="0"/>
              <w:jc w:val="center"/>
              <w:rPr>
                <w:rStyle w:val="Strong"/>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373 921.63</w:t>
            </w:r>
            <w:r w:rsidR="00215670" w:rsidRPr="00387441">
              <w:rPr>
                <w:i/>
                <w:iCs/>
                <w:color w:val="ADADAD" w:themeColor="background2" w:themeShade="BF"/>
                <w:sz w:val="16"/>
                <w:szCs w:val="16"/>
                <w:lang w:val="lv-LV"/>
              </w:rPr>
              <w:t>)</w:t>
            </w:r>
          </w:p>
        </w:tc>
        <w:tc>
          <w:tcPr>
            <w:tcW w:w="1407" w:type="dxa"/>
            <w:tcBorders>
              <w:right w:val="single" w:sz="8" w:space="0" w:color="auto"/>
            </w:tcBorders>
            <w:shd w:val="clear" w:color="auto" w:fill="auto"/>
            <w:vAlign w:val="center"/>
          </w:tcPr>
          <w:p w14:paraId="692E372C" w14:textId="77777777" w:rsidR="004742E4" w:rsidRPr="00387441" w:rsidRDefault="004742E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11C12280" w14:textId="77777777" w:rsidR="004742E4" w:rsidRPr="00387441" w:rsidRDefault="004742E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14E80322" w14:textId="2E945FD0" w:rsidR="004742E4" w:rsidRPr="00387441" w:rsidRDefault="006A23E0" w:rsidP="00510231">
            <w:pPr>
              <w:pStyle w:val="ListParagraph"/>
              <w:spacing w:after="0" w:line="240" w:lineRule="auto"/>
              <w:ind w:left="0" w:right="-107" w:firstLine="0"/>
              <w:contextualSpacing w:val="0"/>
              <w:jc w:val="center"/>
              <w:rPr>
                <w:b/>
                <w:bCs/>
                <w:sz w:val="16"/>
                <w:szCs w:val="16"/>
                <w:lang w:val="lv-LV"/>
              </w:rPr>
            </w:pPr>
            <w:r w:rsidRPr="00387441">
              <w:rPr>
                <w:b/>
                <w:bCs/>
                <w:sz w:val="16"/>
                <w:szCs w:val="16"/>
                <w:lang w:val="lv-LV"/>
              </w:rPr>
              <w:t>2 726 705,71</w:t>
            </w:r>
          </w:p>
          <w:p w14:paraId="1E589C1C" w14:textId="77777777" w:rsidR="00215670" w:rsidRPr="00387441" w:rsidRDefault="00215670"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6D951975" w14:textId="75BAE876" w:rsidR="00060A08" w:rsidRPr="00387441" w:rsidRDefault="004742E4" w:rsidP="00215670">
            <w:pPr>
              <w:pStyle w:val="ListParagraph"/>
              <w:spacing w:after="0" w:line="240" w:lineRule="auto"/>
              <w:ind w:left="0" w:right="-107" w:firstLine="0"/>
              <w:contextualSpacing w:val="0"/>
              <w:jc w:val="center"/>
              <w:rPr>
                <w:rStyle w:val="Strong"/>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10 000 926.96</w:t>
            </w:r>
            <w:r w:rsidRPr="00387441">
              <w:rPr>
                <w:i/>
                <w:iCs/>
                <w:color w:val="ADADAD" w:themeColor="background2" w:themeShade="BF"/>
                <w:sz w:val="16"/>
                <w:szCs w:val="16"/>
                <w:lang w:val="lv-LV"/>
              </w:rPr>
              <w:t>)</w:t>
            </w:r>
          </w:p>
        </w:tc>
        <w:tc>
          <w:tcPr>
            <w:tcW w:w="1428" w:type="dxa"/>
            <w:tcBorders>
              <w:top w:val="single" w:sz="4" w:space="0" w:color="auto"/>
              <w:left w:val="single" w:sz="8" w:space="0" w:color="auto"/>
              <w:right w:val="single" w:sz="8" w:space="0" w:color="auto"/>
            </w:tcBorders>
            <w:shd w:val="clear" w:color="auto" w:fill="DAE9F7" w:themeFill="text2" w:themeFillTint="1A"/>
            <w:vAlign w:val="center"/>
          </w:tcPr>
          <w:p w14:paraId="0BFEA1FB" w14:textId="77777777" w:rsidR="00060A08" w:rsidRPr="00387441" w:rsidRDefault="00060A08" w:rsidP="000D79F4">
            <w:pPr>
              <w:spacing w:after="0" w:line="240" w:lineRule="auto"/>
              <w:ind w:firstLine="0"/>
              <w:jc w:val="center"/>
              <w:rPr>
                <w:rStyle w:val="Strong"/>
                <w:rFonts w:cstheme="majorHAnsi"/>
                <w:sz w:val="16"/>
                <w:szCs w:val="16"/>
                <w:lang w:val="lv-LV"/>
              </w:rPr>
            </w:pPr>
            <w:r w:rsidRPr="00387441">
              <w:rPr>
                <w:rStyle w:val="Strong"/>
                <w:rFonts w:cstheme="majorHAnsi"/>
                <w:sz w:val="16"/>
                <w:szCs w:val="16"/>
                <w:lang w:val="lv-LV"/>
              </w:rPr>
              <w:t>Skaits</w:t>
            </w:r>
          </w:p>
          <w:p w14:paraId="0A98C67A" w14:textId="77777777" w:rsidR="000D79F4" w:rsidRPr="00387441" w:rsidRDefault="000D79F4" w:rsidP="000D79F4">
            <w:pPr>
              <w:pStyle w:val="ListParagraph"/>
              <w:spacing w:after="0" w:line="240" w:lineRule="auto"/>
              <w:ind w:left="0" w:firstLine="0"/>
              <w:contextualSpacing w:val="0"/>
              <w:rPr>
                <w:rStyle w:val="Strong"/>
                <w:rFonts w:cstheme="majorHAnsi"/>
                <w:color w:val="A6A6A6" w:themeColor="background1" w:themeShade="A6"/>
                <w:sz w:val="16"/>
                <w:szCs w:val="16"/>
                <w:lang w:val="lv-LV"/>
              </w:rPr>
            </w:pPr>
          </w:p>
          <w:p w14:paraId="653A63FF" w14:textId="77777777" w:rsidR="000D79F4" w:rsidRPr="00387441" w:rsidRDefault="000D79F4" w:rsidP="000D79F4">
            <w:pPr>
              <w:pStyle w:val="ListParagraph"/>
              <w:spacing w:after="0" w:line="240" w:lineRule="auto"/>
              <w:ind w:left="0" w:firstLine="0"/>
              <w:contextualSpacing w:val="0"/>
              <w:rPr>
                <w:rStyle w:val="Strong"/>
                <w:rFonts w:cstheme="majorHAnsi"/>
                <w:color w:val="A6A6A6" w:themeColor="background1" w:themeShade="A6"/>
                <w:sz w:val="16"/>
                <w:szCs w:val="16"/>
                <w:lang w:val="lv-LV"/>
              </w:rPr>
            </w:pPr>
          </w:p>
          <w:p w14:paraId="4298D30E" w14:textId="03E42AE1" w:rsidR="00060A08" w:rsidRPr="00387441" w:rsidRDefault="00060A08" w:rsidP="000D79F4">
            <w:pPr>
              <w:pStyle w:val="ListParagraph"/>
              <w:spacing w:after="0" w:line="240" w:lineRule="auto"/>
              <w:ind w:left="0" w:firstLine="0"/>
              <w:contextualSpacing w:val="0"/>
              <w:rPr>
                <w:rStyle w:val="Strong"/>
                <w:rFonts w:cstheme="majorHAnsi"/>
                <w:i/>
                <w:iCs/>
                <w:sz w:val="16"/>
                <w:szCs w:val="16"/>
                <w:lang w:val="lv-LV"/>
              </w:rPr>
            </w:pPr>
            <w:r w:rsidRPr="00387441">
              <w:rPr>
                <w:rStyle w:val="Strong"/>
                <w:rFonts w:cstheme="majorHAnsi"/>
                <w:i/>
                <w:iCs/>
                <w:color w:val="A6A6A6" w:themeColor="background1" w:themeShade="A6"/>
                <w:sz w:val="16"/>
                <w:szCs w:val="16"/>
                <w:lang w:val="lv-LV"/>
              </w:rPr>
              <w:t>(202</w:t>
            </w:r>
            <w:r w:rsidR="000D79F4" w:rsidRPr="00387441">
              <w:rPr>
                <w:rStyle w:val="Strong"/>
                <w:rFonts w:cstheme="majorHAnsi"/>
                <w:i/>
                <w:iCs/>
                <w:color w:val="A6A6A6" w:themeColor="background1" w:themeShade="A6"/>
                <w:sz w:val="16"/>
                <w:szCs w:val="16"/>
                <w:lang w:val="lv-LV"/>
              </w:rPr>
              <w:t>3</w:t>
            </w:r>
            <w:r w:rsidRPr="00387441">
              <w:rPr>
                <w:rStyle w:val="Strong"/>
                <w:rFonts w:cstheme="majorHAnsi"/>
                <w:i/>
                <w:iCs/>
                <w:color w:val="A6A6A6" w:themeColor="background1" w:themeShade="A6"/>
                <w:sz w:val="16"/>
                <w:szCs w:val="16"/>
                <w:lang w:val="lv-LV"/>
              </w:rPr>
              <w:t>. gada dati)</w:t>
            </w:r>
          </w:p>
        </w:tc>
        <w:tc>
          <w:tcPr>
            <w:tcW w:w="1276" w:type="dxa"/>
            <w:tcBorders>
              <w:left w:val="single" w:sz="8" w:space="0" w:color="auto"/>
            </w:tcBorders>
            <w:shd w:val="clear" w:color="auto" w:fill="auto"/>
            <w:vAlign w:val="center"/>
          </w:tcPr>
          <w:p w14:paraId="0AB4F679" w14:textId="77777777" w:rsidR="00406745" w:rsidRPr="00387441" w:rsidRDefault="00406745" w:rsidP="004D56EA">
            <w:pPr>
              <w:pStyle w:val="ListParagraph"/>
              <w:spacing w:after="0" w:line="240" w:lineRule="auto"/>
              <w:ind w:left="0" w:firstLine="0"/>
              <w:contextualSpacing w:val="0"/>
              <w:rPr>
                <w:i/>
                <w:iCs/>
                <w:color w:val="ADADAD" w:themeColor="background2" w:themeShade="BF"/>
                <w:sz w:val="16"/>
                <w:szCs w:val="16"/>
                <w:lang w:val="lv-LV"/>
              </w:rPr>
            </w:pPr>
          </w:p>
          <w:p w14:paraId="14BBD9D6" w14:textId="2DCC0075" w:rsidR="00406745" w:rsidRPr="00387441" w:rsidRDefault="004D56EA" w:rsidP="000D79F4">
            <w:pPr>
              <w:pStyle w:val="ListParagraph"/>
              <w:spacing w:after="0" w:line="240" w:lineRule="auto"/>
              <w:ind w:left="0" w:firstLine="0"/>
              <w:contextualSpacing w:val="0"/>
              <w:jc w:val="center"/>
              <w:rPr>
                <w:b/>
                <w:bCs/>
                <w:sz w:val="16"/>
                <w:szCs w:val="16"/>
                <w:lang w:val="lv-LV"/>
              </w:rPr>
            </w:pPr>
            <w:r w:rsidRPr="00387441">
              <w:rPr>
                <w:b/>
                <w:bCs/>
                <w:sz w:val="16"/>
                <w:szCs w:val="16"/>
                <w:lang w:val="lv-LV"/>
              </w:rPr>
              <w:t>113</w:t>
            </w:r>
          </w:p>
          <w:p w14:paraId="41CB08DF" w14:textId="77777777" w:rsidR="004D56EA" w:rsidRPr="00387441" w:rsidRDefault="004D56EA" w:rsidP="000D79F4">
            <w:pPr>
              <w:pStyle w:val="ListParagraph"/>
              <w:spacing w:after="0" w:line="240" w:lineRule="auto"/>
              <w:ind w:left="0" w:firstLine="0"/>
              <w:contextualSpacing w:val="0"/>
              <w:jc w:val="center"/>
              <w:rPr>
                <w:b/>
                <w:bCs/>
                <w:sz w:val="16"/>
                <w:szCs w:val="16"/>
                <w:lang w:val="lv-LV"/>
              </w:rPr>
            </w:pPr>
          </w:p>
          <w:p w14:paraId="318893B2" w14:textId="2753373D" w:rsidR="00060A08" w:rsidRPr="00387441" w:rsidRDefault="00B93E7F" w:rsidP="004D56EA">
            <w:pPr>
              <w:pStyle w:val="ListParagraph"/>
              <w:spacing w:after="0" w:line="240" w:lineRule="auto"/>
              <w:ind w:left="0" w:firstLine="0"/>
              <w:contextualSpacing w:val="0"/>
              <w:jc w:val="center"/>
              <w:rPr>
                <w:rStyle w:val="Strong"/>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273</w:t>
            </w:r>
            <w:r w:rsidRPr="00387441">
              <w:rPr>
                <w:i/>
                <w:iCs/>
                <w:color w:val="ADADAD" w:themeColor="background2" w:themeShade="BF"/>
                <w:sz w:val="16"/>
                <w:szCs w:val="16"/>
                <w:lang w:val="lv-LV"/>
              </w:rPr>
              <w:t>)</w:t>
            </w:r>
          </w:p>
        </w:tc>
        <w:tc>
          <w:tcPr>
            <w:tcW w:w="1418" w:type="dxa"/>
            <w:shd w:val="clear" w:color="auto" w:fill="auto"/>
            <w:vAlign w:val="center"/>
          </w:tcPr>
          <w:p w14:paraId="2D608A28" w14:textId="77777777" w:rsidR="00406745" w:rsidRPr="00387441" w:rsidRDefault="00406745" w:rsidP="004D56EA">
            <w:pPr>
              <w:spacing w:after="0" w:line="240" w:lineRule="auto"/>
              <w:ind w:firstLine="0"/>
              <w:rPr>
                <w:i/>
                <w:iCs/>
                <w:color w:val="ADADAD" w:themeColor="background2" w:themeShade="BF"/>
                <w:sz w:val="16"/>
                <w:szCs w:val="16"/>
                <w:lang w:val="lv-LV"/>
              </w:rPr>
            </w:pPr>
          </w:p>
          <w:p w14:paraId="15F4AB41" w14:textId="08F29A9C" w:rsidR="00406745" w:rsidRPr="00387441" w:rsidRDefault="004D56EA" w:rsidP="004D56EA">
            <w:pPr>
              <w:pStyle w:val="ListParagraph"/>
              <w:spacing w:after="0" w:line="240" w:lineRule="auto"/>
              <w:ind w:left="0" w:hanging="49"/>
              <w:contextualSpacing w:val="0"/>
              <w:jc w:val="center"/>
              <w:rPr>
                <w:b/>
                <w:bCs/>
                <w:sz w:val="16"/>
                <w:szCs w:val="16"/>
                <w:lang w:val="lv-LV"/>
              </w:rPr>
            </w:pPr>
            <w:r w:rsidRPr="00387441">
              <w:rPr>
                <w:b/>
                <w:bCs/>
                <w:sz w:val="16"/>
                <w:szCs w:val="16"/>
                <w:lang w:val="lv-LV"/>
              </w:rPr>
              <w:t>26</w:t>
            </w:r>
          </w:p>
          <w:p w14:paraId="626E64B3" w14:textId="77777777" w:rsidR="004D56EA" w:rsidRPr="00387441" w:rsidRDefault="004D56EA" w:rsidP="004D56EA">
            <w:pPr>
              <w:pStyle w:val="ListParagraph"/>
              <w:spacing w:after="0" w:line="240" w:lineRule="auto"/>
              <w:ind w:left="0" w:hanging="49"/>
              <w:contextualSpacing w:val="0"/>
              <w:jc w:val="center"/>
              <w:rPr>
                <w:b/>
                <w:bCs/>
                <w:sz w:val="16"/>
                <w:szCs w:val="16"/>
                <w:lang w:val="lv-LV"/>
              </w:rPr>
            </w:pPr>
          </w:p>
          <w:p w14:paraId="38B2A71C" w14:textId="40644896" w:rsidR="00060A08" w:rsidRPr="00387441" w:rsidRDefault="00B93E7F" w:rsidP="004D56EA">
            <w:pPr>
              <w:pStyle w:val="ListParagraph"/>
              <w:spacing w:after="0" w:line="240" w:lineRule="auto"/>
              <w:ind w:left="0" w:firstLine="0"/>
              <w:contextualSpacing w:val="0"/>
              <w:jc w:val="center"/>
              <w:rPr>
                <w:rStyle w:val="Strong"/>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48</w:t>
            </w:r>
            <w:r w:rsidRPr="00387441">
              <w:rPr>
                <w:i/>
                <w:iCs/>
                <w:color w:val="ADADAD" w:themeColor="background2" w:themeShade="BF"/>
                <w:sz w:val="16"/>
                <w:szCs w:val="16"/>
                <w:lang w:val="lv-LV"/>
              </w:rPr>
              <w:t>)</w:t>
            </w:r>
          </w:p>
        </w:tc>
        <w:tc>
          <w:tcPr>
            <w:tcW w:w="1275" w:type="dxa"/>
            <w:shd w:val="clear" w:color="auto" w:fill="auto"/>
            <w:vAlign w:val="center"/>
          </w:tcPr>
          <w:p w14:paraId="26E4CFC6" w14:textId="77777777" w:rsidR="004D56EA" w:rsidRPr="00387441" w:rsidRDefault="004D56EA" w:rsidP="004D56EA">
            <w:pPr>
              <w:pStyle w:val="ListParagraph"/>
              <w:spacing w:after="0" w:line="240" w:lineRule="auto"/>
              <w:ind w:left="0" w:firstLine="0"/>
              <w:contextualSpacing w:val="0"/>
              <w:rPr>
                <w:b/>
                <w:bCs/>
                <w:sz w:val="16"/>
                <w:szCs w:val="16"/>
                <w:lang w:val="lv-LV"/>
              </w:rPr>
            </w:pPr>
          </w:p>
          <w:p w14:paraId="66F01B73" w14:textId="28538367" w:rsidR="00406745" w:rsidRPr="00387441" w:rsidRDefault="004D56EA" w:rsidP="004D56EA">
            <w:pPr>
              <w:pStyle w:val="ListParagraph"/>
              <w:spacing w:after="0" w:line="240" w:lineRule="auto"/>
              <w:ind w:left="0" w:firstLine="0"/>
              <w:contextualSpacing w:val="0"/>
              <w:jc w:val="center"/>
              <w:rPr>
                <w:b/>
                <w:bCs/>
                <w:sz w:val="16"/>
                <w:szCs w:val="16"/>
                <w:lang w:val="lv-LV"/>
              </w:rPr>
            </w:pPr>
            <w:r w:rsidRPr="00387441">
              <w:rPr>
                <w:b/>
                <w:bCs/>
                <w:sz w:val="16"/>
                <w:szCs w:val="16"/>
                <w:lang w:val="lv-LV"/>
              </w:rPr>
              <w:t>16</w:t>
            </w:r>
          </w:p>
          <w:p w14:paraId="3987B6C4" w14:textId="77777777" w:rsidR="004D56EA" w:rsidRPr="00387441" w:rsidRDefault="004D56EA" w:rsidP="004D56EA">
            <w:pPr>
              <w:pStyle w:val="ListParagraph"/>
              <w:spacing w:after="0" w:line="240" w:lineRule="auto"/>
              <w:ind w:left="0" w:firstLine="0"/>
              <w:contextualSpacing w:val="0"/>
              <w:jc w:val="center"/>
              <w:rPr>
                <w:b/>
                <w:bCs/>
                <w:sz w:val="16"/>
                <w:szCs w:val="16"/>
                <w:lang w:val="lv-LV"/>
              </w:rPr>
            </w:pPr>
          </w:p>
          <w:p w14:paraId="79C7C912" w14:textId="4BCBF626" w:rsidR="00060A08" w:rsidRPr="00387441" w:rsidRDefault="00B93E7F" w:rsidP="004D56EA">
            <w:pPr>
              <w:pStyle w:val="ListParagraph"/>
              <w:spacing w:after="0" w:line="240" w:lineRule="auto"/>
              <w:ind w:left="0" w:firstLine="0"/>
              <w:contextualSpacing w:val="0"/>
              <w:jc w:val="center"/>
              <w:rPr>
                <w:rStyle w:val="Strong"/>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40</w:t>
            </w:r>
            <w:r w:rsidRPr="00387441">
              <w:rPr>
                <w:i/>
                <w:iCs/>
                <w:color w:val="ADADAD" w:themeColor="background2" w:themeShade="BF"/>
                <w:sz w:val="16"/>
                <w:szCs w:val="16"/>
                <w:lang w:val="lv-LV"/>
              </w:rPr>
              <w:t>)</w:t>
            </w:r>
          </w:p>
        </w:tc>
      </w:tr>
      <w:tr w:rsidR="00060A08" w:rsidRPr="00387441" w14:paraId="2E564B20" w14:textId="77777777" w:rsidTr="00D35C5C">
        <w:trPr>
          <w:trHeight w:val="333"/>
        </w:trPr>
        <w:tc>
          <w:tcPr>
            <w:tcW w:w="1418" w:type="dxa"/>
            <w:tcBorders>
              <w:left w:val="single" w:sz="8" w:space="0" w:color="auto"/>
              <w:bottom w:val="single" w:sz="4" w:space="0" w:color="auto"/>
              <w:right w:val="single" w:sz="8" w:space="0" w:color="auto"/>
            </w:tcBorders>
            <w:shd w:val="clear" w:color="auto" w:fill="DAE9F7" w:themeFill="text2" w:themeFillTint="1A"/>
            <w:vAlign w:val="center"/>
          </w:tcPr>
          <w:p w14:paraId="56F29822" w14:textId="51F7A077" w:rsidR="00060A08" w:rsidRPr="00387441" w:rsidRDefault="00060A08" w:rsidP="00BD7828">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Atgūtie neatbilstošie izdevumi, EUR</w:t>
            </w:r>
          </w:p>
        </w:tc>
        <w:tc>
          <w:tcPr>
            <w:tcW w:w="1276" w:type="dxa"/>
            <w:tcBorders>
              <w:left w:val="single" w:sz="8" w:space="0" w:color="auto"/>
              <w:bottom w:val="single" w:sz="4" w:space="0" w:color="auto"/>
            </w:tcBorders>
            <w:shd w:val="clear" w:color="auto" w:fill="auto"/>
          </w:tcPr>
          <w:p w14:paraId="252B0676" w14:textId="77777777" w:rsidR="000D79F4" w:rsidRPr="00387441" w:rsidRDefault="000D79F4" w:rsidP="00BD7828">
            <w:pPr>
              <w:pStyle w:val="ListParagraph"/>
              <w:spacing w:after="0" w:line="240" w:lineRule="auto"/>
              <w:ind w:left="0" w:right="-107" w:firstLine="0"/>
              <w:contextualSpacing w:val="0"/>
              <w:rPr>
                <w:i/>
                <w:iCs/>
                <w:color w:val="ADADAD" w:themeColor="background2" w:themeShade="BF"/>
                <w:sz w:val="16"/>
                <w:szCs w:val="16"/>
                <w:lang w:val="lv-LV"/>
              </w:rPr>
            </w:pPr>
          </w:p>
          <w:p w14:paraId="66BF70CA" w14:textId="77777777" w:rsidR="000D79F4" w:rsidRPr="00387441" w:rsidRDefault="000D79F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47D4783A" w14:textId="77777777" w:rsidR="00B93E7F" w:rsidRPr="00387441" w:rsidRDefault="00B93E7F" w:rsidP="00BD7828">
            <w:pPr>
              <w:pStyle w:val="ListParagraph"/>
              <w:spacing w:after="0" w:line="240" w:lineRule="auto"/>
              <w:ind w:left="0" w:right="-107" w:firstLine="0"/>
              <w:contextualSpacing w:val="0"/>
              <w:rPr>
                <w:i/>
                <w:iCs/>
                <w:color w:val="ADADAD" w:themeColor="background2" w:themeShade="BF"/>
                <w:sz w:val="16"/>
                <w:szCs w:val="16"/>
                <w:lang w:val="lv-LV"/>
              </w:rPr>
            </w:pPr>
          </w:p>
          <w:p w14:paraId="6EAF98E6" w14:textId="0C499616" w:rsidR="00B93E7F" w:rsidRPr="00387441" w:rsidRDefault="0070563A" w:rsidP="00510231">
            <w:pPr>
              <w:pStyle w:val="ListParagraph"/>
              <w:spacing w:after="0" w:line="240" w:lineRule="auto"/>
              <w:ind w:left="0" w:right="-107" w:firstLine="0"/>
              <w:contextualSpacing w:val="0"/>
              <w:jc w:val="center"/>
              <w:rPr>
                <w:b/>
                <w:bCs/>
                <w:sz w:val="16"/>
                <w:szCs w:val="16"/>
                <w:lang w:val="lv-LV"/>
              </w:rPr>
            </w:pPr>
            <w:r w:rsidRPr="00387441">
              <w:rPr>
                <w:b/>
                <w:bCs/>
                <w:sz w:val="16"/>
                <w:szCs w:val="16"/>
                <w:lang w:val="lv-LV"/>
              </w:rPr>
              <w:t>23 157 539,95</w:t>
            </w:r>
          </w:p>
          <w:p w14:paraId="7AF1AE2B" w14:textId="77777777" w:rsidR="00B93E7F" w:rsidRPr="00387441" w:rsidRDefault="00B93E7F"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63A63ADF" w14:textId="5DE409CB" w:rsidR="00060A08" w:rsidRPr="00387441" w:rsidRDefault="00060A08" w:rsidP="00BD7828">
            <w:pPr>
              <w:pStyle w:val="ListParagraph"/>
              <w:spacing w:after="0" w:line="240" w:lineRule="auto"/>
              <w:ind w:left="0" w:right="-107" w:firstLine="0"/>
              <w:contextualSpacing w:val="0"/>
              <w:rPr>
                <w:rStyle w:val="Strong"/>
                <w:rFonts w:cstheme="majorHAnsi"/>
                <w:b w:val="0"/>
                <w:bCs w:val="0"/>
                <w:i/>
                <w:iCs/>
                <w:color w:val="ADADAD" w:themeColor="background2" w:themeShade="BF"/>
                <w:sz w:val="16"/>
                <w:szCs w:val="16"/>
                <w:lang w:val="lv-LV"/>
              </w:rPr>
            </w:pPr>
          </w:p>
        </w:tc>
        <w:tc>
          <w:tcPr>
            <w:tcW w:w="1417" w:type="dxa"/>
            <w:tcBorders>
              <w:bottom w:val="single" w:sz="4" w:space="0" w:color="auto"/>
            </w:tcBorders>
            <w:shd w:val="clear" w:color="auto" w:fill="auto"/>
          </w:tcPr>
          <w:p w14:paraId="766360D2" w14:textId="77777777" w:rsidR="000D79F4" w:rsidRPr="00387441" w:rsidRDefault="000D79F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020F98CA" w14:textId="77777777" w:rsidR="000D79F4" w:rsidRPr="00387441" w:rsidRDefault="000D79F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5E05769B" w14:textId="77777777" w:rsidR="00B93E7F" w:rsidRPr="00387441" w:rsidRDefault="00B93E7F" w:rsidP="00BD7828">
            <w:pPr>
              <w:pStyle w:val="ListParagraph"/>
              <w:spacing w:after="0" w:line="240" w:lineRule="auto"/>
              <w:ind w:left="0" w:right="-107" w:firstLine="0"/>
              <w:contextualSpacing w:val="0"/>
              <w:rPr>
                <w:i/>
                <w:iCs/>
                <w:color w:val="ADADAD" w:themeColor="background2" w:themeShade="BF"/>
                <w:sz w:val="16"/>
                <w:szCs w:val="16"/>
                <w:lang w:val="lv-LV"/>
              </w:rPr>
            </w:pPr>
          </w:p>
          <w:p w14:paraId="3B44B729" w14:textId="7F865F2C" w:rsidR="00B93E7F" w:rsidRPr="00387441" w:rsidRDefault="0070563A" w:rsidP="00510231">
            <w:pPr>
              <w:pStyle w:val="ListParagraph"/>
              <w:spacing w:after="0" w:line="240" w:lineRule="auto"/>
              <w:ind w:left="0" w:right="-107" w:firstLine="0"/>
              <w:contextualSpacing w:val="0"/>
              <w:jc w:val="center"/>
              <w:rPr>
                <w:b/>
                <w:bCs/>
                <w:sz w:val="16"/>
                <w:szCs w:val="16"/>
                <w:lang w:val="lv-LV"/>
              </w:rPr>
            </w:pPr>
            <w:r w:rsidRPr="00387441">
              <w:rPr>
                <w:b/>
                <w:bCs/>
                <w:sz w:val="16"/>
                <w:szCs w:val="16"/>
                <w:lang w:val="lv-LV"/>
              </w:rPr>
              <w:t>153 058,19</w:t>
            </w:r>
          </w:p>
          <w:p w14:paraId="0F143B82" w14:textId="77777777" w:rsidR="00B93E7F" w:rsidRPr="00387441" w:rsidRDefault="00B93E7F"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181B9BD5" w14:textId="77777777" w:rsidR="00060A08" w:rsidRPr="00387441" w:rsidRDefault="00060A08" w:rsidP="00BD7828">
            <w:pPr>
              <w:pStyle w:val="ListParagraph"/>
              <w:spacing w:after="0" w:line="240" w:lineRule="auto"/>
              <w:ind w:left="0" w:right="-107" w:firstLine="0"/>
              <w:contextualSpacing w:val="0"/>
              <w:jc w:val="center"/>
              <w:rPr>
                <w:rStyle w:val="Strong"/>
                <w:rFonts w:cstheme="majorHAnsi"/>
                <w:b w:val="0"/>
                <w:bCs w:val="0"/>
                <w:i/>
                <w:iCs/>
                <w:color w:val="ADADAD" w:themeColor="background2" w:themeShade="BF"/>
                <w:sz w:val="16"/>
                <w:szCs w:val="16"/>
                <w:lang w:val="lv-LV"/>
              </w:rPr>
            </w:pPr>
          </w:p>
        </w:tc>
        <w:tc>
          <w:tcPr>
            <w:tcW w:w="1407" w:type="dxa"/>
            <w:tcBorders>
              <w:bottom w:val="single" w:sz="4" w:space="0" w:color="auto"/>
              <w:right w:val="single" w:sz="8" w:space="0" w:color="auto"/>
            </w:tcBorders>
            <w:shd w:val="clear" w:color="auto" w:fill="auto"/>
          </w:tcPr>
          <w:p w14:paraId="0117BC44" w14:textId="77777777" w:rsidR="000D79F4" w:rsidRPr="00387441" w:rsidRDefault="000D79F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7BAE5D45" w14:textId="77777777" w:rsidR="000D79F4" w:rsidRPr="00387441" w:rsidRDefault="000D79F4" w:rsidP="00510231">
            <w:pPr>
              <w:pStyle w:val="ListParagraph"/>
              <w:spacing w:after="0" w:line="240" w:lineRule="auto"/>
              <w:ind w:left="0" w:right="-107" w:firstLine="0"/>
              <w:contextualSpacing w:val="0"/>
              <w:jc w:val="center"/>
              <w:rPr>
                <w:i/>
                <w:iCs/>
                <w:color w:val="ADADAD" w:themeColor="background2" w:themeShade="BF"/>
                <w:sz w:val="16"/>
                <w:szCs w:val="16"/>
                <w:lang w:val="lv-LV"/>
              </w:rPr>
            </w:pPr>
          </w:p>
          <w:p w14:paraId="4844D019" w14:textId="77777777" w:rsidR="00B93E7F" w:rsidRPr="00387441" w:rsidRDefault="00B93E7F" w:rsidP="00BD7828">
            <w:pPr>
              <w:pStyle w:val="ListParagraph"/>
              <w:spacing w:after="0" w:line="240" w:lineRule="auto"/>
              <w:ind w:left="0" w:right="-107" w:firstLine="0"/>
              <w:contextualSpacing w:val="0"/>
              <w:rPr>
                <w:i/>
                <w:iCs/>
                <w:color w:val="ADADAD" w:themeColor="background2" w:themeShade="BF"/>
                <w:sz w:val="16"/>
                <w:szCs w:val="16"/>
                <w:lang w:val="lv-LV"/>
              </w:rPr>
            </w:pPr>
          </w:p>
          <w:p w14:paraId="2139849A" w14:textId="0F77BC7A" w:rsidR="00B93E7F" w:rsidRPr="00387441" w:rsidRDefault="0070563A" w:rsidP="00510231">
            <w:pPr>
              <w:pStyle w:val="ListParagraph"/>
              <w:spacing w:after="0" w:line="240" w:lineRule="auto"/>
              <w:ind w:left="0" w:right="-107" w:firstLine="0"/>
              <w:contextualSpacing w:val="0"/>
              <w:jc w:val="center"/>
              <w:rPr>
                <w:b/>
                <w:bCs/>
                <w:sz w:val="16"/>
                <w:szCs w:val="16"/>
                <w:lang w:val="lv-LV"/>
              </w:rPr>
            </w:pPr>
            <w:r w:rsidRPr="00387441">
              <w:rPr>
                <w:b/>
                <w:bCs/>
                <w:sz w:val="16"/>
                <w:szCs w:val="16"/>
                <w:lang w:val="lv-LV"/>
              </w:rPr>
              <w:t>5 132 206,62</w:t>
            </w:r>
          </w:p>
          <w:p w14:paraId="4EF27387" w14:textId="77777777" w:rsidR="00B93E7F" w:rsidRPr="00387441" w:rsidRDefault="00B93E7F" w:rsidP="00510231">
            <w:pPr>
              <w:pStyle w:val="ListParagraph"/>
              <w:spacing w:after="0" w:line="240" w:lineRule="auto"/>
              <w:ind w:left="0" w:right="-107" w:firstLine="0"/>
              <w:contextualSpacing w:val="0"/>
              <w:jc w:val="center"/>
              <w:rPr>
                <w:b/>
                <w:bCs/>
                <w:sz w:val="16"/>
                <w:szCs w:val="16"/>
                <w:lang w:val="lv-LV"/>
              </w:rPr>
            </w:pPr>
          </w:p>
          <w:p w14:paraId="0F292E44" w14:textId="77777777" w:rsidR="00060A08" w:rsidRPr="00387441" w:rsidRDefault="00060A08" w:rsidP="00BD7828">
            <w:pPr>
              <w:pStyle w:val="ListParagraph"/>
              <w:spacing w:after="0" w:line="240" w:lineRule="auto"/>
              <w:ind w:left="0" w:right="-107" w:firstLine="0"/>
              <w:contextualSpacing w:val="0"/>
              <w:jc w:val="center"/>
              <w:rPr>
                <w:rStyle w:val="Strong"/>
                <w:rFonts w:cstheme="majorHAnsi"/>
                <w:b w:val="0"/>
                <w:bCs w:val="0"/>
                <w:i/>
                <w:iCs/>
                <w:color w:val="ADADAD" w:themeColor="background2" w:themeShade="BF"/>
                <w:sz w:val="16"/>
                <w:szCs w:val="16"/>
                <w:lang w:val="lv-LV"/>
              </w:rPr>
            </w:pPr>
          </w:p>
        </w:tc>
        <w:tc>
          <w:tcPr>
            <w:tcW w:w="1428" w:type="dxa"/>
            <w:tcBorders>
              <w:left w:val="single" w:sz="8" w:space="0" w:color="auto"/>
              <w:bottom w:val="single" w:sz="4" w:space="0" w:color="auto"/>
              <w:right w:val="single" w:sz="8" w:space="0" w:color="auto"/>
            </w:tcBorders>
            <w:shd w:val="clear" w:color="auto" w:fill="DAE9F7" w:themeFill="text2" w:themeFillTint="1A"/>
            <w:vAlign w:val="center"/>
          </w:tcPr>
          <w:p w14:paraId="04183CC5" w14:textId="77777777" w:rsidR="003D4D8B" w:rsidRPr="00387441" w:rsidRDefault="003D4D8B" w:rsidP="004742E4">
            <w:pPr>
              <w:pStyle w:val="ListParagraph"/>
              <w:spacing w:after="0" w:line="240" w:lineRule="auto"/>
              <w:ind w:left="0" w:hanging="102"/>
              <w:contextualSpacing w:val="0"/>
              <w:jc w:val="center"/>
              <w:rPr>
                <w:rStyle w:val="Strong"/>
                <w:rFonts w:cstheme="majorHAnsi"/>
                <w:sz w:val="16"/>
                <w:szCs w:val="16"/>
                <w:lang w:val="lv-LV"/>
              </w:rPr>
            </w:pPr>
          </w:p>
          <w:p w14:paraId="39E0A92A" w14:textId="56C5FA18" w:rsidR="00060A08" w:rsidRPr="00387441" w:rsidRDefault="00060A08" w:rsidP="004742E4">
            <w:pPr>
              <w:pStyle w:val="ListParagraph"/>
              <w:spacing w:after="0" w:line="240" w:lineRule="auto"/>
              <w:ind w:left="0" w:hanging="102"/>
              <w:contextualSpacing w:val="0"/>
              <w:jc w:val="center"/>
              <w:rPr>
                <w:rStyle w:val="Strong"/>
                <w:rFonts w:cstheme="majorHAnsi"/>
                <w:sz w:val="16"/>
                <w:szCs w:val="16"/>
                <w:lang w:val="lv-LV"/>
              </w:rPr>
            </w:pPr>
            <w:r w:rsidRPr="00387441">
              <w:rPr>
                <w:rStyle w:val="Strong"/>
                <w:rFonts w:cstheme="majorHAnsi"/>
                <w:sz w:val="16"/>
                <w:szCs w:val="16"/>
                <w:lang w:val="lv-LV"/>
              </w:rPr>
              <w:t>Atklāšanas veids</w:t>
            </w:r>
          </w:p>
        </w:tc>
        <w:tc>
          <w:tcPr>
            <w:tcW w:w="3969" w:type="dxa"/>
            <w:gridSpan w:val="3"/>
            <w:tcBorders>
              <w:left w:val="single" w:sz="8" w:space="0" w:color="auto"/>
              <w:bottom w:val="single" w:sz="4" w:space="0" w:color="auto"/>
            </w:tcBorders>
            <w:shd w:val="clear" w:color="auto" w:fill="auto"/>
            <w:vAlign w:val="center"/>
          </w:tcPr>
          <w:p w14:paraId="7AC68E84" w14:textId="2DC003F7" w:rsidR="00060A08" w:rsidRPr="00510378" w:rsidRDefault="00510378" w:rsidP="00510378">
            <w:pPr>
              <w:pStyle w:val="ListParagraph"/>
              <w:spacing w:after="0" w:line="240" w:lineRule="auto"/>
              <w:ind w:left="0" w:firstLine="0"/>
              <w:contextualSpacing w:val="0"/>
              <w:rPr>
                <w:rStyle w:val="Strong"/>
                <w:rFonts w:cstheme="majorHAnsi"/>
                <w:sz w:val="16"/>
                <w:szCs w:val="16"/>
                <w:lang w:val="lv-LV"/>
              </w:rPr>
            </w:pPr>
            <w:r w:rsidRPr="000B78DC">
              <w:rPr>
                <w:rStyle w:val="Strong"/>
                <w:rFonts w:cstheme="majorBidi"/>
                <w:sz w:val="16"/>
                <w:szCs w:val="16"/>
                <w:lang w:val="lv-LV"/>
              </w:rPr>
              <w:t>Maksājumu pieprasījumu pārbaudes, pārbaudes projekta īstenošanas vietā, trešās personas informācija, Eiropas Komisijas audits,  Revīzijas iestādes, Sertifikācijas iestādes pārbaudes, informācijas saņemšana no finansējuma saņēmēja, valsts budžeta iestāžu paziņotie nedeklarējamie izdevumi u.c.</w:t>
            </w:r>
          </w:p>
        </w:tc>
      </w:tr>
    </w:tbl>
    <w:tbl>
      <w:tblPr>
        <w:tblStyle w:val="TableGrid"/>
        <w:tblpPr w:leftFromText="180" w:rightFromText="180" w:vertAnchor="text" w:horzAnchor="margin" w:tblpX="-142" w:tblpY="26"/>
        <w:tblW w:w="10915" w:type="dxa"/>
        <w:shd w:val="clear" w:color="auto" w:fill="29A3FF"/>
        <w:tblLayout w:type="fixed"/>
        <w:tblLook w:val="04A0" w:firstRow="1" w:lastRow="0" w:firstColumn="1" w:lastColumn="0" w:noHBand="0" w:noVBand="1"/>
      </w:tblPr>
      <w:tblGrid>
        <w:gridCol w:w="1553"/>
        <w:gridCol w:w="1283"/>
        <w:gridCol w:w="1186"/>
        <w:gridCol w:w="1186"/>
        <w:gridCol w:w="1314"/>
        <w:gridCol w:w="1147"/>
        <w:gridCol w:w="837"/>
        <w:gridCol w:w="850"/>
        <w:gridCol w:w="851"/>
        <w:gridCol w:w="708"/>
      </w:tblGrid>
      <w:tr w:rsidR="0038427B" w:rsidRPr="00387441" w14:paraId="49566902" w14:textId="77777777" w:rsidTr="009862AC">
        <w:trPr>
          <w:trHeight w:val="199"/>
        </w:trPr>
        <w:tc>
          <w:tcPr>
            <w:tcW w:w="1553" w:type="dxa"/>
            <w:tcBorders>
              <w:top w:val="nil"/>
              <w:left w:val="nil"/>
              <w:bottom w:val="single" w:sz="4" w:space="0" w:color="auto"/>
              <w:right w:val="single" w:sz="8" w:space="0" w:color="auto"/>
            </w:tcBorders>
            <w:shd w:val="clear" w:color="auto" w:fill="auto"/>
            <w:vAlign w:val="center"/>
          </w:tcPr>
          <w:p w14:paraId="31ED5362" w14:textId="77777777" w:rsidR="0038427B" w:rsidRPr="00387441" w:rsidRDefault="0038427B" w:rsidP="0038427B">
            <w:pPr>
              <w:pStyle w:val="ListParagraph"/>
              <w:spacing w:after="0" w:line="240" w:lineRule="auto"/>
              <w:ind w:left="0" w:firstLine="179"/>
              <w:contextualSpacing w:val="0"/>
              <w:jc w:val="center"/>
              <w:rPr>
                <w:rStyle w:val="Strong"/>
                <w:rFonts w:cstheme="majorHAnsi"/>
                <w:sz w:val="20"/>
                <w:szCs w:val="20"/>
                <w:lang w:val="lv-LV"/>
              </w:rPr>
            </w:pPr>
            <w:bookmarkStart w:id="65" w:name="_Toc128581410"/>
          </w:p>
          <w:p w14:paraId="78A4B41C" w14:textId="77777777" w:rsidR="0038427B" w:rsidRPr="00387441" w:rsidRDefault="0038427B" w:rsidP="00BF2DD7">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20"/>
                <w:szCs w:val="20"/>
                <w:lang w:val="lv-LV"/>
              </w:rPr>
              <w:t>2021-2027</w:t>
            </w:r>
          </w:p>
        </w:tc>
        <w:tc>
          <w:tcPr>
            <w:tcW w:w="1283" w:type="dxa"/>
            <w:tcBorders>
              <w:left w:val="single" w:sz="8" w:space="0" w:color="auto"/>
              <w:bottom w:val="single" w:sz="4" w:space="0" w:color="auto"/>
            </w:tcBorders>
            <w:shd w:val="clear" w:color="auto" w:fill="4C94D8" w:themeFill="text2" w:themeFillTint="80"/>
            <w:vAlign w:val="center"/>
          </w:tcPr>
          <w:p w14:paraId="619E8A62"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p>
          <w:p w14:paraId="1A2FC751"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ERAF</w:t>
            </w:r>
          </w:p>
          <w:p w14:paraId="35FE2F9D"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p>
        </w:tc>
        <w:tc>
          <w:tcPr>
            <w:tcW w:w="1186" w:type="dxa"/>
            <w:tcBorders>
              <w:bottom w:val="single" w:sz="4" w:space="0" w:color="auto"/>
            </w:tcBorders>
            <w:shd w:val="clear" w:color="auto" w:fill="4C94D8" w:themeFill="text2" w:themeFillTint="80"/>
            <w:vAlign w:val="center"/>
          </w:tcPr>
          <w:p w14:paraId="737574EC"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p>
          <w:p w14:paraId="7C13683C" w14:textId="441874E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ESF</w:t>
            </w:r>
            <w:r w:rsidR="00E627EB" w:rsidRPr="00387441">
              <w:rPr>
                <w:rStyle w:val="Strong"/>
                <w:rFonts w:cstheme="majorHAnsi"/>
                <w:color w:val="FFFFFF" w:themeColor="background1"/>
                <w:sz w:val="16"/>
                <w:szCs w:val="16"/>
                <w:lang w:val="lv-LV"/>
              </w:rPr>
              <w:t>+</w:t>
            </w:r>
          </w:p>
          <w:p w14:paraId="0F92B239"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p>
        </w:tc>
        <w:tc>
          <w:tcPr>
            <w:tcW w:w="1186" w:type="dxa"/>
            <w:tcBorders>
              <w:bottom w:val="single" w:sz="4" w:space="0" w:color="auto"/>
              <w:right w:val="single" w:sz="8" w:space="0" w:color="auto"/>
            </w:tcBorders>
            <w:shd w:val="clear" w:color="auto" w:fill="4C94D8" w:themeFill="text2" w:themeFillTint="80"/>
            <w:vAlign w:val="center"/>
          </w:tcPr>
          <w:p w14:paraId="09CBE1E4"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p>
          <w:p w14:paraId="6DA5AF9B"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KF</w:t>
            </w:r>
          </w:p>
          <w:p w14:paraId="084ECDF7"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p>
        </w:tc>
        <w:tc>
          <w:tcPr>
            <w:tcW w:w="1314" w:type="dxa"/>
            <w:tcBorders>
              <w:bottom w:val="single" w:sz="4" w:space="0" w:color="auto"/>
              <w:right w:val="single" w:sz="8" w:space="0" w:color="auto"/>
            </w:tcBorders>
            <w:shd w:val="clear" w:color="auto" w:fill="4C94D8" w:themeFill="text2" w:themeFillTint="80"/>
          </w:tcPr>
          <w:p w14:paraId="52402B8F"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p>
          <w:p w14:paraId="02D3FAF3" w14:textId="77777777" w:rsidR="0038427B" w:rsidRPr="00387441" w:rsidRDefault="0038427B" w:rsidP="0038427B">
            <w:pPr>
              <w:pStyle w:val="ListParagraph"/>
              <w:spacing w:after="0" w:line="240" w:lineRule="auto"/>
              <w:ind w:left="0" w:firstLine="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TPF</w:t>
            </w:r>
          </w:p>
        </w:tc>
        <w:tc>
          <w:tcPr>
            <w:tcW w:w="1147" w:type="dxa"/>
            <w:tcBorders>
              <w:top w:val="nil"/>
              <w:left w:val="single" w:sz="8" w:space="0" w:color="auto"/>
              <w:bottom w:val="single" w:sz="4" w:space="0" w:color="auto"/>
              <w:right w:val="single" w:sz="8" w:space="0" w:color="auto"/>
            </w:tcBorders>
            <w:shd w:val="clear" w:color="auto" w:fill="auto"/>
            <w:vAlign w:val="center"/>
          </w:tcPr>
          <w:p w14:paraId="194EE245" w14:textId="77777777" w:rsidR="0038427B" w:rsidRPr="00387441" w:rsidRDefault="0038427B" w:rsidP="0038427B">
            <w:pPr>
              <w:pStyle w:val="ListParagraph"/>
              <w:spacing w:after="0" w:line="240" w:lineRule="auto"/>
              <w:ind w:left="0"/>
              <w:contextualSpacing w:val="0"/>
              <w:jc w:val="center"/>
              <w:rPr>
                <w:rStyle w:val="Strong"/>
                <w:rFonts w:cstheme="majorHAnsi"/>
                <w:color w:val="FFFFFF" w:themeColor="background1"/>
                <w:sz w:val="16"/>
                <w:szCs w:val="16"/>
                <w:lang w:val="lv-LV"/>
              </w:rPr>
            </w:pPr>
          </w:p>
        </w:tc>
        <w:tc>
          <w:tcPr>
            <w:tcW w:w="837" w:type="dxa"/>
            <w:tcBorders>
              <w:left w:val="single" w:sz="8" w:space="0" w:color="auto"/>
              <w:bottom w:val="single" w:sz="4" w:space="0" w:color="auto"/>
            </w:tcBorders>
            <w:shd w:val="clear" w:color="auto" w:fill="4C94D8" w:themeFill="text2" w:themeFillTint="80"/>
            <w:vAlign w:val="center"/>
          </w:tcPr>
          <w:p w14:paraId="024B2812" w14:textId="77777777" w:rsidR="0038427B" w:rsidRPr="00387441" w:rsidRDefault="0038427B" w:rsidP="0038427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ERAF</w:t>
            </w:r>
          </w:p>
        </w:tc>
        <w:tc>
          <w:tcPr>
            <w:tcW w:w="850" w:type="dxa"/>
            <w:tcBorders>
              <w:bottom w:val="single" w:sz="4" w:space="0" w:color="auto"/>
            </w:tcBorders>
            <w:shd w:val="clear" w:color="auto" w:fill="4C94D8" w:themeFill="text2" w:themeFillTint="80"/>
            <w:vAlign w:val="center"/>
          </w:tcPr>
          <w:p w14:paraId="184CEB18" w14:textId="794993F6" w:rsidR="0038427B" w:rsidRPr="00387441" w:rsidRDefault="0038427B" w:rsidP="0038427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ESF</w:t>
            </w:r>
            <w:r w:rsidR="00E627EB" w:rsidRPr="00387441">
              <w:rPr>
                <w:rStyle w:val="Strong"/>
                <w:rFonts w:cstheme="majorHAnsi"/>
                <w:color w:val="FFFFFF" w:themeColor="background1"/>
                <w:sz w:val="16"/>
                <w:szCs w:val="16"/>
                <w:lang w:val="lv-LV"/>
              </w:rPr>
              <w:t>+</w:t>
            </w:r>
          </w:p>
        </w:tc>
        <w:tc>
          <w:tcPr>
            <w:tcW w:w="851" w:type="dxa"/>
            <w:tcBorders>
              <w:bottom w:val="single" w:sz="4" w:space="0" w:color="auto"/>
            </w:tcBorders>
            <w:shd w:val="clear" w:color="auto" w:fill="4C94D8" w:themeFill="text2" w:themeFillTint="80"/>
            <w:vAlign w:val="center"/>
          </w:tcPr>
          <w:p w14:paraId="59E3C62B" w14:textId="77777777" w:rsidR="0038427B" w:rsidRPr="00387441" w:rsidRDefault="0038427B" w:rsidP="0038427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KF</w:t>
            </w:r>
          </w:p>
        </w:tc>
        <w:tc>
          <w:tcPr>
            <w:tcW w:w="708" w:type="dxa"/>
            <w:tcBorders>
              <w:bottom w:val="single" w:sz="4" w:space="0" w:color="auto"/>
            </w:tcBorders>
            <w:shd w:val="clear" w:color="auto" w:fill="4C94D8" w:themeFill="text2" w:themeFillTint="80"/>
          </w:tcPr>
          <w:p w14:paraId="12365749" w14:textId="77777777" w:rsidR="0038427B" w:rsidRPr="00387441" w:rsidRDefault="0038427B" w:rsidP="0038427B">
            <w:pPr>
              <w:pStyle w:val="ListParagraph"/>
              <w:spacing w:after="0" w:line="240" w:lineRule="auto"/>
              <w:ind w:left="0" w:firstLine="0"/>
              <w:contextualSpacing w:val="0"/>
              <w:jc w:val="center"/>
              <w:rPr>
                <w:rStyle w:val="Strong"/>
                <w:rFonts w:cstheme="majorHAnsi"/>
                <w:color w:val="FFFFFF" w:themeColor="background1"/>
                <w:sz w:val="16"/>
                <w:szCs w:val="16"/>
                <w:lang w:val="lv-LV"/>
              </w:rPr>
            </w:pPr>
          </w:p>
          <w:p w14:paraId="49BF4211" w14:textId="77777777" w:rsidR="0038427B" w:rsidRPr="00387441" w:rsidRDefault="0038427B" w:rsidP="0038427B">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TPF</w:t>
            </w:r>
          </w:p>
        </w:tc>
      </w:tr>
      <w:tr w:rsidR="0038427B" w:rsidRPr="00387441" w14:paraId="3776AB0A" w14:textId="77777777" w:rsidTr="00D35C5C">
        <w:trPr>
          <w:trHeight w:val="822"/>
        </w:trPr>
        <w:tc>
          <w:tcPr>
            <w:tcW w:w="1553" w:type="dxa"/>
            <w:tcBorders>
              <w:left w:val="single" w:sz="8" w:space="0" w:color="auto"/>
              <w:right w:val="single" w:sz="8" w:space="0" w:color="auto"/>
            </w:tcBorders>
            <w:shd w:val="clear" w:color="auto" w:fill="DAE9F7" w:themeFill="text2" w:themeFillTint="1A"/>
            <w:vAlign w:val="center"/>
          </w:tcPr>
          <w:p w14:paraId="13073B9C" w14:textId="77777777" w:rsidR="0038427B" w:rsidRPr="00387441" w:rsidRDefault="0038427B" w:rsidP="0038427B">
            <w:pPr>
              <w:pStyle w:val="ListParagraph"/>
              <w:spacing w:after="0" w:line="240" w:lineRule="auto"/>
              <w:ind w:left="-111" w:right="-106" w:firstLine="6"/>
              <w:contextualSpacing w:val="0"/>
              <w:jc w:val="center"/>
              <w:rPr>
                <w:rStyle w:val="Strong"/>
                <w:rFonts w:cstheme="majorHAnsi"/>
                <w:sz w:val="16"/>
                <w:szCs w:val="16"/>
                <w:lang w:val="lv-LV"/>
              </w:rPr>
            </w:pPr>
            <w:r w:rsidRPr="00387441">
              <w:rPr>
                <w:rStyle w:val="Strong"/>
                <w:rFonts w:cstheme="majorHAnsi"/>
                <w:sz w:val="16"/>
                <w:szCs w:val="16"/>
                <w:lang w:val="lv-LV"/>
              </w:rPr>
              <w:t xml:space="preserve">Neatbilstoši veikto izdevumu summa, EUR </w:t>
            </w:r>
          </w:p>
          <w:p w14:paraId="178686E6" w14:textId="77777777" w:rsidR="0038427B" w:rsidRPr="00387441" w:rsidRDefault="0038427B" w:rsidP="0038427B">
            <w:pPr>
              <w:pStyle w:val="ListParagraph"/>
              <w:spacing w:after="0" w:line="240" w:lineRule="auto"/>
              <w:ind w:left="0" w:right="-32" w:firstLine="0"/>
              <w:contextualSpacing w:val="0"/>
              <w:rPr>
                <w:rStyle w:val="Strong"/>
                <w:rFonts w:cstheme="majorHAnsi"/>
                <w:i/>
                <w:iCs/>
                <w:sz w:val="16"/>
                <w:szCs w:val="16"/>
                <w:lang w:val="lv-LV"/>
              </w:rPr>
            </w:pPr>
          </w:p>
        </w:tc>
        <w:tc>
          <w:tcPr>
            <w:tcW w:w="1283" w:type="dxa"/>
            <w:tcBorders>
              <w:left w:val="single" w:sz="8" w:space="0" w:color="auto"/>
            </w:tcBorders>
            <w:shd w:val="clear" w:color="auto" w:fill="auto"/>
            <w:vAlign w:val="center"/>
          </w:tcPr>
          <w:p w14:paraId="1EF1D403" w14:textId="77777777" w:rsidR="0038427B" w:rsidRPr="00387441" w:rsidRDefault="0038427B" w:rsidP="0038427B">
            <w:pPr>
              <w:pStyle w:val="ListParagraph"/>
              <w:spacing w:after="0" w:line="240" w:lineRule="auto"/>
              <w:ind w:left="-245" w:firstLine="11"/>
              <w:contextualSpacing w:val="0"/>
              <w:jc w:val="center"/>
              <w:rPr>
                <w:color w:val="ADADAD" w:themeColor="background2" w:themeShade="BF"/>
                <w:sz w:val="16"/>
                <w:szCs w:val="16"/>
                <w:lang w:val="lv-LV"/>
              </w:rPr>
            </w:pPr>
          </w:p>
          <w:p w14:paraId="53EE70D3" w14:textId="77777777" w:rsidR="0038427B" w:rsidRPr="00387441" w:rsidRDefault="0038427B" w:rsidP="0038427B">
            <w:pPr>
              <w:spacing w:after="0" w:line="240" w:lineRule="auto"/>
              <w:ind w:right="-115" w:firstLine="0"/>
              <w:jc w:val="center"/>
              <w:rPr>
                <w:rStyle w:val="Strong"/>
                <w:rFonts w:cstheme="majorHAnsi"/>
                <w:sz w:val="16"/>
                <w:szCs w:val="16"/>
                <w:lang w:val="lv-LV"/>
              </w:rPr>
            </w:pPr>
            <w:r w:rsidRPr="00387441">
              <w:rPr>
                <w:rStyle w:val="Strong"/>
                <w:rFonts w:cstheme="majorHAnsi"/>
                <w:sz w:val="16"/>
                <w:szCs w:val="16"/>
                <w:lang w:val="lv-LV"/>
              </w:rPr>
              <w:t>0</w:t>
            </w:r>
          </w:p>
          <w:p w14:paraId="3E5F423E" w14:textId="77777777" w:rsidR="005568C5" w:rsidRPr="00387441" w:rsidRDefault="005568C5" w:rsidP="0038427B">
            <w:pPr>
              <w:spacing w:after="0" w:line="240" w:lineRule="auto"/>
              <w:ind w:right="-115" w:firstLine="0"/>
              <w:jc w:val="center"/>
              <w:rPr>
                <w:rStyle w:val="Strong"/>
                <w:rFonts w:cstheme="majorHAnsi"/>
                <w:color w:val="ADADAD" w:themeColor="background2" w:themeShade="BF"/>
                <w:sz w:val="16"/>
                <w:szCs w:val="16"/>
                <w:lang w:val="lv-LV"/>
              </w:rPr>
            </w:pPr>
          </w:p>
        </w:tc>
        <w:tc>
          <w:tcPr>
            <w:tcW w:w="1186" w:type="dxa"/>
            <w:shd w:val="clear" w:color="auto" w:fill="auto"/>
            <w:vAlign w:val="center"/>
          </w:tcPr>
          <w:p w14:paraId="677D257B" w14:textId="77777777" w:rsidR="0038427B" w:rsidRPr="00387441" w:rsidRDefault="0038427B" w:rsidP="0038427B">
            <w:pPr>
              <w:pStyle w:val="ListParagraph"/>
              <w:spacing w:after="0" w:line="240" w:lineRule="auto"/>
              <w:ind w:left="0" w:right="-107" w:firstLine="0"/>
              <w:contextualSpacing w:val="0"/>
              <w:rPr>
                <w:i/>
                <w:iCs/>
                <w:color w:val="ADADAD" w:themeColor="background2" w:themeShade="BF"/>
                <w:sz w:val="16"/>
                <w:szCs w:val="16"/>
                <w:lang w:val="lv-LV"/>
              </w:rPr>
            </w:pPr>
          </w:p>
          <w:p w14:paraId="4713BB2C" w14:textId="77777777" w:rsidR="0038427B" w:rsidRPr="00387441" w:rsidRDefault="0038427B" w:rsidP="0038427B">
            <w:pPr>
              <w:pStyle w:val="ListParagraph"/>
              <w:spacing w:after="0" w:line="240" w:lineRule="auto"/>
              <w:ind w:left="0" w:right="-107" w:firstLine="0"/>
              <w:contextualSpacing w:val="0"/>
              <w:jc w:val="center"/>
              <w:rPr>
                <w:rStyle w:val="Strong"/>
                <w:color w:val="ADADAD" w:themeColor="background2" w:themeShade="BF"/>
                <w:sz w:val="16"/>
                <w:szCs w:val="16"/>
                <w:lang w:val="lv-LV"/>
              </w:rPr>
            </w:pPr>
            <w:r w:rsidRPr="00387441">
              <w:rPr>
                <w:rStyle w:val="Strong"/>
                <w:sz w:val="16"/>
                <w:szCs w:val="16"/>
                <w:lang w:val="lv-LV"/>
              </w:rPr>
              <w:t>6 581,19</w:t>
            </w:r>
          </w:p>
        </w:tc>
        <w:tc>
          <w:tcPr>
            <w:tcW w:w="1186" w:type="dxa"/>
            <w:tcBorders>
              <w:right w:val="single" w:sz="8" w:space="0" w:color="auto"/>
            </w:tcBorders>
            <w:shd w:val="clear" w:color="auto" w:fill="auto"/>
            <w:vAlign w:val="center"/>
          </w:tcPr>
          <w:p w14:paraId="5B005881" w14:textId="77777777" w:rsidR="0038427B" w:rsidRPr="00387441" w:rsidRDefault="0038427B" w:rsidP="0038427B">
            <w:pPr>
              <w:pStyle w:val="ListParagraph"/>
              <w:spacing w:after="0" w:line="240" w:lineRule="auto"/>
              <w:ind w:left="0" w:right="-107" w:firstLine="0"/>
              <w:contextualSpacing w:val="0"/>
              <w:jc w:val="center"/>
              <w:rPr>
                <w:color w:val="ADADAD" w:themeColor="background2" w:themeShade="BF"/>
                <w:sz w:val="16"/>
                <w:szCs w:val="16"/>
                <w:lang w:val="lv-LV"/>
              </w:rPr>
            </w:pPr>
          </w:p>
          <w:p w14:paraId="37503EAE" w14:textId="77777777" w:rsidR="0038427B" w:rsidRPr="00387441" w:rsidRDefault="0038427B" w:rsidP="0038427B">
            <w:pPr>
              <w:pStyle w:val="ListParagraph"/>
              <w:spacing w:after="0" w:line="240" w:lineRule="auto"/>
              <w:ind w:left="0" w:right="-107" w:firstLine="0"/>
              <w:contextualSpacing w:val="0"/>
              <w:jc w:val="center"/>
              <w:rPr>
                <w:rStyle w:val="Strong"/>
                <w:rFonts w:cstheme="majorHAnsi"/>
                <w:sz w:val="16"/>
                <w:szCs w:val="16"/>
                <w:lang w:val="lv-LV"/>
              </w:rPr>
            </w:pPr>
          </w:p>
          <w:p w14:paraId="1C816FAE" w14:textId="77777777" w:rsidR="0038427B" w:rsidRPr="00387441" w:rsidRDefault="0038427B" w:rsidP="0038427B">
            <w:pPr>
              <w:pStyle w:val="ListParagraph"/>
              <w:spacing w:after="0" w:line="240" w:lineRule="auto"/>
              <w:ind w:left="0" w:right="-107" w:firstLine="0"/>
              <w:contextualSpacing w:val="0"/>
              <w:jc w:val="center"/>
              <w:rPr>
                <w:color w:val="ADADAD" w:themeColor="background2" w:themeShade="BF"/>
                <w:sz w:val="16"/>
                <w:szCs w:val="16"/>
                <w:lang w:val="lv-LV"/>
              </w:rPr>
            </w:pPr>
            <w:r w:rsidRPr="00387441">
              <w:rPr>
                <w:rStyle w:val="Strong"/>
                <w:rFonts w:cstheme="majorHAnsi"/>
                <w:sz w:val="16"/>
                <w:szCs w:val="16"/>
                <w:lang w:val="lv-LV"/>
              </w:rPr>
              <w:t>0</w:t>
            </w:r>
          </w:p>
          <w:p w14:paraId="2CA63137" w14:textId="77777777" w:rsidR="0038427B" w:rsidRPr="00387441" w:rsidRDefault="0038427B" w:rsidP="0038427B">
            <w:pPr>
              <w:pStyle w:val="ListParagraph"/>
              <w:spacing w:after="0" w:line="240" w:lineRule="auto"/>
              <w:ind w:left="0" w:right="-107" w:firstLine="0"/>
              <w:contextualSpacing w:val="0"/>
              <w:jc w:val="center"/>
              <w:rPr>
                <w:rStyle w:val="Strong"/>
                <w:rFonts w:cstheme="majorHAnsi"/>
                <w:b w:val="0"/>
                <w:bCs w:val="0"/>
                <w:color w:val="ADADAD" w:themeColor="background2" w:themeShade="BF"/>
                <w:sz w:val="16"/>
                <w:szCs w:val="16"/>
                <w:lang w:val="lv-LV"/>
              </w:rPr>
            </w:pPr>
          </w:p>
        </w:tc>
        <w:tc>
          <w:tcPr>
            <w:tcW w:w="1314" w:type="dxa"/>
            <w:tcBorders>
              <w:right w:val="single" w:sz="8" w:space="0" w:color="auto"/>
            </w:tcBorders>
          </w:tcPr>
          <w:p w14:paraId="7EBADDFF" w14:textId="77777777" w:rsidR="0038427B" w:rsidRPr="00387441" w:rsidRDefault="0038427B" w:rsidP="0038427B">
            <w:pPr>
              <w:spacing w:after="0" w:line="240" w:lineRule="auto"/>
              <w:ind w:firstLine="0"/>
              <w:jc w:val="center"/>
              <w:rPr>
                <w:rStyle w:val="Strong"/>
                <w:rFonts w:cstheme="majorHAnsi"/>
                <w:sz w:val="16"/>
                <w:szCs w:val="16"/>
                <w:lang w:val="lv-LV"/>
              </w:rPr>
            </w:pPr>
          </w:p>
          <w:p w14:paraId="61E389BA" w14:textId="77777777" w:rsidR="0038427B" w:rsidRPr="00387441" w:rsidRDefault="0038427B" w:rsidP="0038427B">
            <w:pPr>
              <w:spacing w:after="0" w:line="240" w:lineRule="auto"/>
              <w:ind w:firstLine="0"/>
              <w:jc w:val="center"/>
              <w:rPr>
                <w:rStyle w:val="Strong"/>
                <w:rFonts w:cstheme="majorHAnsi"/>
                <w:sz w:val="16"/>
                <w:szCs w:val="16"/>
                <w:lang w:val="lv-LV"/>
              </w:rPr>
            </w:pPr>
          </w:p>
          <w:p w14:paraId="71279BC7" w14:textId="77777777" w:rsidR="0038427B" w:rsidRPr="00387441" w:rsidRDefault="0038427B" w:rsidP="0038427B">
            <w:pPr>
              <w:spacing w:after="0" w:line="240" w:lineRule="auto"/>
              <w:ind w:left="-69" w:right="-111" w:firstLine="0"/>
              <w:jc w:val="center"/>
              <w:rPr>
                <w:rStyle w:val="Strong"/>
                <w:rFonts w:cstheme="majorHAnsi"/>
                <w:sz w:val="16"/>
                <w:szCs w:val="16"/>
                <w:lang w:val="lv-LV"/>
              </w:rPr>
            </w:pPr>
            <w:r w:rsidRPr="00387441">
              <w:rPr>
                <w:rStyle w:val="Strong"/>
                <w:rFonts w:cstheme="majorHAnsi"/>
                <w:sz w:val="16"/>
                <w:szCs w:val="16"/>
                <w:lang w:val="lv-LV"/>
              </w:rPr>
              <w:t>0</w:t>
            </w:r>
          </w:p>
        </w:tc>
        <w:tc>
          <w:tcPr>
            <w:tcW w:w="1147" w:type="dxa"/>
            <w:tcBorders>
              <w:left w:val="single" w:sz="8" w:space="0" w:color="auto"/>
              <w:right w:val="single" w:sz="8" w:space="0" w:color="auto"/>
            </w:tcBorders>
            <w:shd w:val="clear" w:color="auto" w:fill="DAE9F7" w:themeFill="text2" w:themeFillTint="1A"/>
            <w:vAlign w:val="center"/>
          </w:tcPr>
          <w:p w14:paraId="17902120" w14:textId="77777777" w:rsidR="0038427B" w:rsidRPr="00387441" w:rsidRDefault="0038427B" w:rsidP="0038427B">
            <w:pPr>
              <w:spacing w:after="0" w:line="240" w:lineRule="auto"/>
              <w:ind w:firstLine="0"/>
              <w:jc w:val="center"/>
              <w:rPr>
                <w:rStyle w:val="Strong"/>
                <w:rFonts w:cstheme="majorHAnsi"/>
                <w:sz w:val="16"/>
                <w:szCs w:val="16"/>
                <w:lang w:val="lv-LV"/>
              </w:rPr>
            </w:pPr>
            <w:r w:rsidRPr="00387441">
              <w:rPr>
                <w:rStyle w:val="Strong"/>
                <w:rFonts w:cstheme="majorHAnsi"/>
                <w:sz w:val="16"/>
                <w:szCs w:val="16"/>
                <w:lang w:val="lv-LV"/>
              </w:rPr>
              <w:t>Skaits</w:t>
            </w:r>
          </w:p>
          <w:p w14:paraId="0F53779C" w14:textId="77777777" w:rsidR="0038427B" w:rsidRPr="00387441" w:rsidRDefault="0038427B" w:rsidP="0038427B">
            <w:pPr>
              <w:pStyle w:val="ListParagraph"/>
              <w:spacing w:after="0" w:line="240" w:lineRule="auto"/>
              <w:ind w:left="0" w:firstLine="0"/>
              <w:contextualSpacing w:val="0"/>
              <w:rPr>
                <w:rStyle w:val="Strong"/>
                <w:rFonts w:cstheme="majorHAnsi"/>
                <w:color w:val="A6A6A6" w:themeColor="background1" w:themeShade="A6"/>
                <w:sz w:val="16"/>
                <w:szCs w:val="16"/>
                <w:lang w:val="lv-LV"/>
              </w:rPr>
            </w:pPr>
          </w:p>
          <w:p w14:paraId="10204AE1" w14:textId="77777777" w:rsidR="0038427B" w:rsidRPr="00387441" w:rsidRDefault="0038427B" w:rsidP="0038427B">
            <w:pPr>
              <w:pStyle w:val="ListParagraph"/>
              <w:spacing w:after="0" w:line="240" w:lineRule="auto"/>
              <w:ind w:left="0" w:firstLine="0"/>
              <w:contextualSpacing w:val="0"/>
              <w:rPr>
                <w:rStyle w:val="Strong"/>
                <w:rFonts w:cstheme="majorHAnsi"/>
                <w:color w:val="A6A6A6" w:themeColor="background1" w:themeShade="A6"/>
                <w:sz w:val="16"/>
                <w:szCs w:val="16"/>
                <w:lang w:val="lv-LV"/>
              </w:rPr>
            </w:pPr>
          </w:p>
          <w:p w14:paraId="41E55DD9" w14:textId="77777777" w:rsidR="0038427B" w:rsidRPr="00387441" w:rsidRDefault="0038427B" w:rsidP="0038427B">
            <w:pPr>
              <w:pStyle w:val="ListParagraph"/>
              <w:spacing w:after="0" w:line="240" w:lineRule="auto"/>
              <w:ind w:left="0" w:firstLine="0"/>
              <w:contextualSpacing w:val="0"/>
              <w:rPr>
                <w:rStyle w:val="Strong"/>
                <w:rFonts w:cstheme="majorHAnsi"/>
                <w:i/>
                <w:iCs/>
                <w:sz w:val="16"/>
                <w:szCs w:val="16"/>
                <w:lang w:val="lv-LV"/>
              </w:rPr>
            </w:pPr>
          </w:p>
        </w:tc>
        <w:tc>
          <w:tcPr>
            <w:tcW w:w="837" w:type="dxa"/>
            <w:tcBorders>
              <w:left w:val="single" w:sz="8" w:space="0" w:color="auto"/>
            </w:tcBorders>
            <w:shd w:val="clear" w:color="auto" w:fill="auto"/>
            <w:vAlign w:val="center"/>
          </w:tcPr>
          <w:p w14:paraId="174E2BF2" w14:textId="77777777" w:rsidR="0038427B" w:rsidRPr="00387441" w:rsidRDefault="0038427B" w:rsidP="0038427B">
            <w:pPr>
              <w:pStyle w:val="ListParagraph"/>
              <w:spacing w:after="0" w:line="240" w:lineRule="auto"/>
              <w:ind w:left="0" w:firstLine="0"/>
              <w:contextualSpacing w:val="0"/>
              <w:rPr>
                <w:color w:val="ADADAD" w:themeColor="background2" w:themeShade="BF"/>
                <w:sz w:val="16"/>
                <w:szCs w:val="16"/>
                <w:lang w:val="lv-LV"/>
              </w:rPr>
            </w:pPr>
          </w:p>
          <w:p w14:paraId="2CF89BC9" w14:textId="77777777" w:rsidR="0038427B" w:rsidRPr="00387441" w:rsidRDefault="0038427B" w:rsidP="0038427B">
            <w:pPr>
              <w:pStyle w:val="ListParagraph"/>
              <w:spacing w:after="0" w:line="240" w:lineRule="auto"/>
              <w:ind w:left="0" w:firstLine="0"/>
              <w:contextualSpacing w:val="0"/>
              <w:jc w:val="center"/>
              <w:rPr>
                <w:rStyle w:val="Strong"/>
                <w:b w:val="0"/>
                <w:bCs w:val="0"/>
                <w:color w:val="ADADAD" w:themeColor="background2" w:themeShade="BF"/>
                <w:sz w:val="16"/>
                <w:szCs w:val="16"/>
                <w:lang w:val="lv-LV"/>
              </w:rPr>
            </w:pPr>
            <w:r w:rsidRPr="00387441">
              <w:rPr>
                <w:rStyle w:val="Strong"/>
                <w:rFonts w:cstheme="majorHAnsi"/>
                <w:sz w:val="16"/>
                <w:szCs w:val="16"/>
                <w:lang w:val="lv-LV"/>
              </w:rPr>
              <w:t>0</w:t>
            </w:r>
          </w:p>
        </w:tc>
        <w:tc>
          <w:tcPr>
            <w:tcW w:w="850" w:type="dxa"/>
            <w:shd w:val="clear" w:color="auto" w:fill="auto"/>
            <w:vAlign w:val="center"/>
          </w:tcPr>
          <w:p w14:paraId="587D42B0" w14:textId="77777777" w:rsidR="0038427B" w:rsidRPr="00387441" w:rsidRDefault="0038427B" w:rsidP="0038427B">
            <w:pPr>
              <w:spacing w:after="0" w:line="240" w:lineRule="auto"/>
              <w:ind w:firstLine="0"/>
              <w:rPr>
                <w:color w:val="ADADAD" w:themeColor="background2" w:themeShade="BF"/>
                <w:sz w:val="16"/>
                <w:szCs w:val="16"/>
                <w:lang w:val="lv-LV"/>
              </w:rPr>
            </w:pPr>
          </w:p>
          <w:p w14:paraId="58743D84" w14:textId="77777777" w:rsidR="0038427B" w:rsidRPr="00387441" w:rsidRDefault="0038427B" w:rsidP="0038427B">
            <w:pPr>
              <w:pStyle w:val="ListParagraph"/>
              <w:spacing w:after="0" w:line="240" w:lineRule="auto"/>
              <w:ind w:left="0" w:firstLine="0"/>
              <w:contextualSpacing w:val="0"/>
              <w:jc w:val="center"/>
              <w:rPr>
                <w:rStyle w:val="Strong"/>
                <w:color w:val="ADADAD" w:themeColor="background2" w:themeShade="BF"/>
                <w:sz w:val="16"/>
                <w:szCs w:val="16"/>
                <w:lang w:val="lv-LV"/>
              </w:rPr>
            </w:pPr>
            <w:r w:rsidRPr="00387441">
              <w:rPr>
                <w:rStyle w:val="Strong"/>
                <w:sz w:val="16"/>
                <w:szCs w:val="16"/>
                <w:lang w:val="lv-LV"/>
              </w:rPr>
              <w:t>1</w:t>
            </w:r>
          </w:p>
        </w:tc>
        <w:tc>
          <w:tcPr>
            <w:tcW w:w="851" w:type="dxa"/>
            <w:shd w:val="clear" w:color="auto" w:fill="auto"/>
            <w:vAlign w:val="center"/>
          </w:tcPr>
          <w:p w14:paraId="7E68DA26" w14:textId="77777777" w:rsidR="0038427B" w:rsidRPr="00387441" w:rsidRDefault="0038427B" w:rsidP="0038427B">
            <w:pPr>
              <w:pStyle w:val="ListParagraph"/>
              <w:spacing w:after="0" w:line="240" w:lineRule="auto"/>
              <w:ind w:left="0" w:right="1181" w:firstLine="0"/>
              <w:contextualSpacing w:val="0"/>
              <w:rPr>
                <w:b/>
                <w:bCs/>
                <w:sz w:val="16"/>
                <w:szCs w:val="16"/>
                <w:lang w:val="lv-LV"/>
              </w:rPr>
            </w:pPr>
          </w:p>
          <w:p w14:paraId="1785E4E9" w14:textId="77777777" w:rsidR="0038427B" w:rsidRPr="00387441" w:rsidRDefault="0038427B" w:rsidP="0038427B">
            <w:pPr>
              <w:pStyle w:val="ListParagraph"/>
              <w:spacing w:after="0" w:line="240" w:lineRule="auto"/>
              <w:ind w:left="0" w:firstLine="0"/>
              <w:contextualSpacing w:val="0"/>
              <w:jc w:val="center"/>
              <w:rPr>
                <w:rStyle w:val="Strong"/>
                <w:b w:val="0"/>
                <w:bCs w:val="0"/>
                <w:color w:val="ADADAD" w:themeColor="background2" w:themeShade="BF"/>
                <w:sz w:val="16"/>
                <w:szCs w:val="16"/>
                <w:lang w:val="lv-LV"/>
              </w:rPr>
            </w:pPr>
            <w:r w:rsidRPr="00387441">
              <w:rPr>
                <w:rStyle w:val="Strong"/>
                <w:rFonts w:cstheme="majorHAnsi"/>
                <w:sz w:val="16"/>
                <w:szCs w:val="16"/>
                <w:lang w:val="lv-LV"/>
              </w:rPr>
              <w:t>0</w:t>
            </w:r>
          </w:p>
        </w:tc>
        <w:tc>
          <w:tcPr>
            <w:tcW w:w="708" w:type="dxa"/>
          </w:tcPr>
          <w:p w14:paraId="06AB70ED" w14:textId="77777777" w:rsidR="0038427B" w:rsidRPr="00387441" w:rsidRDefault="0038427B" w:rsidP="0038427B">
            <w:pPr>
              <w:pStyle w:val="ListParagraph"/>
              <w:spacing w:after="0" w:line="240" w:lineRule="auto"/>
              <w:ind w:left="0" w:right="1181" w:firstLine="0"/>
              <w:contextualSpacing w:val="0"/>
              <w:rPr>
                <w:b/>
                <w:bCs/>
                <w:sz w:val="16"/>
                <w:szCs w:val="16"/>
                <w:lang w:val="lv-LV"/>
              </w:rPr>
            </w:pPr>
          </w:p>
          <w:p w14:paraId="7A17E300" w14:textId="77777777" w:rsidR="0038427B" w:rsidRPr="00387441" w:rsidRDefault="0038427B" w:rsidP="0038427B">
            <w:pPr>
              <w:pStyle w:val="ListParagraph"/>
              <w:spacing w:after="0" w:line="240" w:lineRule="auto"/>
              <w:ind w:left="0" w:right="1181" w:firstLine="0"/>
              <w:contextualSpacing w:val="0"/>
              <w:rPr>
                <w:b/>
                <w:bCs/>
                <w:sz w:val="16"/>
                <w:szCs w:val="16"/>
                <w:lang w:val="lv-LV"/>
              </w:rPr>
            </w:pPr>
          </w:p>
          <w:p w14:paraId="016C6BF8" w14:textId="77777777" w:rsidR="0038427B" w:rsidRPr="00387441" w:rsidRDefault="0038427B" w:rsidP="0038427B">
            <w:pPr>
              <w:pStyle w:val="ListParagraph"/>
              <w:spacing w:after="0" w:line="240" w:lineRule="auto"/>
              <w:ind w:left="0" w:firstLine="0"/>
              <w:contextualSpacing w:val="0"/>
              <w:jc w:val="center"/>
              <w:rPr>
                <w:b/>
                <w:bCs/>
                <w:sz w:val="16"/>
                <w:szCs w:val="16"/>
                <w:lang w:val="lv-LV"/>
              </w:rPr>
            </w:pPr>
            <w:r w:rsidRPr="00387441">
              <w:rPr>
                <w:b/>
                <w:bCs/>
                <w:sz w:val="16"/>
                <w:szCs w:val="16"/>
                <w:lang w:val="lv-LV"/>
              </w:rPr>
              <w:t>0</w:t>
            </w:r>
          </w:p>
        </w:tc>
      </w:tr>
      <w:tr w:rsidR="0038427B" w:rsidRPr="00387441" w14:paraId="3C4C6613" w14:textId="77777777" w:rsidTr="00D35C5C">
        <w:trPr>
          <w:trHeight w:val="324"/>
        </w:trPr>
        <w:tc>
          <w:tcPr>
            <w:tcW w:w="1553" w:type="dxa"/>
            <w:tcBorders>
              <w:left w:val="single" w:sz="8" w:space="0" w:color="auto"/>
              <w:bottom w:val="single" w:sz="4" w:space="0" w:color="auto"/>
              <w:right w:val="single" w:sz="8" w:space="0" w:color="auto"/>
            </w:tcBorders>
            <w:shd w:val="clear" w:color="auto" w:fill="DAE9F7" w:themeFill="text2" w:themeFillTint="1A"/>
            <w:vAlign w:val="center"/>
          </w:tcPr>
          <w:p w14:paraId="5E8C5CF9" w14:textId="77777777" w:rsidR="0038427B" w:rsidRPr="00387441" w:rsidRDefault="0038427B" w:rsidP="0038427B">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 xml:space="preserve">Atgūtie neatbilstošie izdevumi, EUR </w:t>
            </w:r>
          </w:p>
        </w:tc>
        <w:tc>
          <w:tcPr>
            <w:tcW w:w="1283" w:type="dxa"/>
            <w:tcBorders>
              <w:left w:val="single" w:sz="8" w:space="0" w:color="auto"/>
              <w:bottom w:val="single" w:sz="4" w:space="0" w:color="auto"/>
            </w:tcBorders>
            <w:shd w:val="clear" w:color="auto" w:fill="auto"/>
          </w:tcPr>
          <w:p w14:paraId="49D7A68E" w14:textId="77777777" w:rsidR="0038427B" w:rsidRPr="00387441" w:rsidRDefault="0038427B" w:rsidP="0038427B">
            <w:pPr>
              <w:pStyle w:val="ListParagraph"/>
              <w:spacing w:after="0" w:line="240" w:lineRule="auto"/>
              <w:ind w:left="0" w:firstLine="11"/>
              <w:contextualSpacing w:val="0"/>
              <w:jc w:val="center"/>
              <w:rPr>
                <w:rStyle w:val="Strong"/>
                <w:rFonts w:cstheme="majorHAnsi"/>
                <w:sz w:val="16"/>
                <w:szCs w:val="16"/>
                <w:lang w:val="lv-LV"/>
              </w:rPr>
            </w:pPr>
          </w:p>
          <w:p w14:paraId="711D7737" w14:textId="77777777" w:rsidR="0038427B" w:rsidRPr="00387441" w:rsidRDefault="0038427B" w:rsidP="0038427B">
            <w:pPr>
              <w:pStyle w:val="ListParagraph"/>
              <w:spacing w:after="0" w:line="240" w:lineRule="auto"/>
              <w:ind w:left="-96" w:firstLine="0"/>
              <w:contextualSpacing w:val="0"/>
              <w:jc w:val="center"/>
              <w:rPr>
                <w:rStyle w:val="Strong"/>
                <w:rFonts w:cstheme="majorHAnsi"/>
                <w:b w:val="0"/>
                <w:bCs w:val="0"/>
                <w:color w:val="ADADAD" w:themeColor="background2" w:themeShade="BF"/>
                <w:sz w:val="16"/>
                <w:szCs w:val="16"/>
                <w:lang w:val="lv-LV"/>
              </w:rPr>
            </w:pPr>
            <w:r w:rsidRPr="00387441">
              <w:rPr>
                <w:rStyle w:val="Strong"/>
                <w:rFonts w:cstheme="majorHAnsi"/>
                <w:sz w:val="16"/>
                <w:szCs w:val="16"/>
                <w:lang w:val="lv-LV"/>
              </w:rPr>
              <w:t xml:space="preserve">      0</w:t>
            </w:r>
          </w:p>
        </w:tc>
        <w:tc>
          <w:tcPr>
            <w:tcW w:w="1186" w:type="dxa"/>
            <w:tcBorders>
              <w:bottom w:val="single" w:sz="4" w:space="0" w:color="auto"/>
            </w:tcBorders>
            <w:shd w:val="clear" w:color="auto" w:fill="auto"/>
          </w:tcPr>
          <w:p w14:paraId="12736CD3" w14:textId="77777777" w:rsidR="0038427B" w:rsidRPr="00387441" w:rsidRDefault="0038427B" w:rsidP="0038427B">
            <w:pPr>
              <w:pStyle w:val="ListParagraph"/>
              <w:spacing w:after="0" w:line="240" w:lineRule="auto"/>
              <w:ind w:left="0" w:right="-107" w:firstLine="0"/>
              <w:contextualSpacing w:val="0"/>
              <w:rPr>
                <w:rStyle w:val="Strong"/>
                <w:rFonts w:cstheme="majorHAnsi"/>
                <w:b w:val="0"/>
                <w:bCs w:val="0"/>
                <w:i/>
                <w:iCs/>
                <w:color w:val="ADADAD" w:themeColor="background2" w:themeShade="BF"/>
                <w:sz w:val="16"/>
                <w:szCs w:val="16"/>
                <w:lang w:val="lv-LV"/>
              </w:rPr>
            </w:pPr>
          </w:p>
          <w:p w14:paraId="7122873B" w14:textId="77777777" w:rsidR="0038427B" w:rsidRPr="00387441" w:rsidRDefault="0038427B" w:rsidP="0038427B">
            <w:pPr>
              <w:pStyle w:val="ListParagraph"/>
              <w:spacing w:after="0" w:line="240" w:lineRule="auto"/>
              <w:ind w:left="0" w:right="-107" w:firstLine="0"/>
              <w:contextualSpacing w:val="0"/>
              <w:jc w:val="center"/>
              <w:rPr>
                <w:rStyle w:val="Strong"/>
                <w:rFonts w:cstheme="majorHAnsi"/>
                <w:color w:val="ADADAD" w:themeColor="background2" w:themeShade="BF"/>
                <w:sz w:val="16"/>
                <w:szCs w:val="16"/>
                <w:lang w:val="lv-LV"/>
              </w:rPr>
            </w:pPr>
            <w:r w:rsidRPr="00387441">
              <w:rPr>
                <w:rStyle w:val="Strong"/>
                <w:rFonts w:cstheme="majorHAnsi"/>
                <w:sz w:val="16"/>
                <w:szCs w:val="16"/>
                <w:lang w:val="lv-LV"/>
              </w:rPr>
              <w:t>6 581,19</w:t>
            </w:r>
          </w:p>
        </w:tc>
        <w:tc>
          <w:tcPr>
            <w:tcW w:w="1186" w:type="dxa"/>
            <w:tcBorders>
              <w:bottom w:val="single" w:sz="4" w:space="0" w:color="auto"/>
              <w:right w:val="single" w:sz="8" w:space="0" w:color="auto"/>
            </w:tcBorders>
            <w:shd w:val="clear" w:color="auto" w:fill="auto"/>
          </w:tcPr>
          <w:p w14:paraId="54AAE58F" w14:textId="77777777" w:rsidR="0038427B" w:rsidRPr="00387441" w:rsidRDefault="0038427B" w:rsidP="0038427B">
            <w:pPr>
              <w:pStyle w:val="ListParagraph"/>
              <w:spacing w:after="0" w:line="240" w:lineRule="auto"/>
              <w:ind w:left="0" w:right="-107"/>
              <w:contextualSpacing w:val="0"/>
              <w:jc w:val="center"/>
              <w:rPr>
                <w:rStyle w:val="Strong"/>
                <w:rFonts w:cstheme="majorHAnsi"/>
                <w:sz w:val="16"/>
                <w:szCs w:val="16"/>
                <w:lang w:val="lv-LV"/>
              </w:rPr>
            </w:pPr>
          </w:p>
          <w:p w14:paraId="3B3573FE" w14:textId="77777777" w:rsidR="0038427B" w:rsidRPr="00387441" w:rsidRDefault="0038427B" w:rsidP="0038427B">
            <w:pPr>
              <w:pStyle w:val="ListParagraph"/>
              <w:spacing w:after="0" w:line="240" w:lineRule="auto"/>
              <w:ind w:left="0" w:right="-107" w:firstLine="0"/>
              <w:contextualSpacing w:val="0"/>
              <w:jc w:val="center"/>
              <w:rPr>
                <w:rStyle w:val="Strong"/>
                <w:rFonts w:cstheme="majorHAnsi"/>
                <w:b w:val="0"/>
                <w:bCs w:val="0"/>
                <w:color w:val="ADADAD" w:themeColor="background2" w:themeShade="BF"/>
                <w:sz w:val="16"/>
                <w:szCs w:val="16"/>
                <w:lang w:val="lv-LV"/>
              </w:rPr>
            </w:pPr>
            <w:r w:rsidRPr="00387441">
              <w:rPr>
                <w:rStyle w:val="Strong"/>
                <w:rFonts w:cstheme="majorHAnsi"/>
                <w:sz w:val="16"/>
                <w:szCs w:val="16"/>
                <w:lang w:val="lv-LV"/>
              </w:rPr>
              <w:t>0</w:t>
            </w:r>
          </w:p>
        </w:tc>
        <w:tc>
          <w:tcPr>
            <w:tcW w:w="1314" w:type="dxa"/>
            <w:tcBorders>
              <w:bottom w:val="single" w:sz="4" w:space="0" w:color="auto"/>
              <w:right w:val="single" w:sz="8" w:space="0" w:color="auto"/>
            </w:tcBorders>
          </w:tcPr>
          <w:p w14:paraId="0CAFB756" w14:textId="77777777" w:rsidR="0038427B" w:rsidRPr="00387441" w:rsidRDefault="0038427B" w:rsidP="0038427B">
            <w:pPr>
              <w:pStyle w:val="ListParagraph"/>
              <w:spacing w:after="0" w:line="240" w:lineRule="auto"/>
              <w:ind w:left="0" w:hanging="102"/>
              <w:contextualSpacing w:val="0"/>
              <w:jc w:val="center"/>
              <w:rPr>
                <w:rStyle w:val="Strong"/>
                <w:rFonts w:cstheme="majorHAnsi"/>
                <w:sz w:val="16"/>
                <w:szCs w:val="16"/>
                <w:lang w:val="lv-LV"/>
              </w:rPr>
            </w:pPr>
          </w:p>
          <w:p w14:paraId="4C190C79" w14:textId="77777777" w:rsidR="0038427B" w:rsidRPr="00387441" w:rsidRDefault="0038427B" w:rsidP="0038427B">
            <w:pPr>
              <w:pStyle w:val="ListParagraph"/>
              <w:spacing w:after="0" w:line="240" w:lineRule="auto"/>
              <w:ind w:left="-69" w:right="-111" w:firstLine="0"/>
              <w:contextualSpacing w:val="0"/>
              <w:jc w:val="center"/>
              <w:rPr>
                <w:rStyle w:val="Strong"/>
                <w:rFonts w:cstheme="majorHAnsi"/>
                <w:sz w:val="16"/>
                <w:szCs w:val="16"/>
                <w:lang w:val="lv-LV"/>
              </w:rPr>
            </w:pPr>
            <w:r w:rsidRPr="00387441">
              <w:rPr>
                <w:rStyle w:val="Strong"/>
                <w:rFonts w:cstheme="majorHAnsi"/>
                <w:sz w:val="16"/>
                <w:szCs w:val="16"/>
                <w:lang w:val="lv-LV"/>
              </w:rPr>
              <w:t>0</w:t>
            </w:r>
          </w:p>
        </w:tc>
        <w:tc>
          <w:tcPr>
            <w:tcW w:w="1147" w:type="dxa"/>
            <w:tcBorders>
              <w:left w:val="single" w:sz="8" w:space="0" w:color="auto"/>
              <w:bottom w:val="single" w:sz="4" w:space="0" w:color="auto"/>
              <w:right w:val="single" w:sz="8" w:space="0" w:color="auto"/>
            </w:tcBorders>
            <w:shd w:val="clear" w:color="auto" w:fill="DAE9F7" w:themeFill="text2" w:themeFillTint="1A"/>
            <w:vAlign w:val="center"/>
          </w:tcPr>
          <w:p w14:paraId="78005A91" w14:textId="77777777" w:rsidR="0038427B" w:rsidRPr="00387441" w:rsidRDefault="0038427B" w:rsidP="0038427B">
            <w:pPr>
              <w:pStyle w:val="ListParagraph"/>
              <w:spacing w:after="0" w:line="240" w:lineRule="auto"/>
              <w:ind w:left="0" w:hanging="102"/>
              <w:contextualSpacing w:val="0"/>
              <w:jc w:val="center"/>
              <w:rPr>
                <w:rStyle w:val="Strong"/>
                <w:rFonts w:cstheme="majorHAnsi"/>
                <w:sz w:val="16"/>
                <w:szCs w:val="16"/>
                <w:lang w:val="lv-LV"/>
              </w:rPr>
            </w:pPr>
            <w:r w:rsidRPr="00387441">
              <w:rPr>
                <w:rStyle w:val="Strong"/>
                <w:rFonts w:cstheme="majorHAnsi"/>
                <w:sz w:val="16"/>
                <w:szCs w:val="16"/>
                <w:lang w:val="lv-LV"/>
              </w:rPr>
              <w:t>Atklāšanas veids</w:t>
            </w:r>
          </w:p>
        </w:tc>
        <w:tc>
          <w:tcPr>
            <w:tcW w:w="3246" w:type="dxa"/>
            <w:gridSpan w:val="4"/>
            <w:tcBorders>
              <w:left w:val="single" w:sz="8" w:space="0" w:color="auto"/>
              <w:bottom w:val="single" w:sz="4" w:space="0" w:color="auto"/>
            </w:tcBorders>
            <w:shd w:val="clear" w:color="auto" w:fill="auto"/>
            <w:vAlign w:val="center"/>
          </w:tcPr>
          <w:p w14:paraId="409F59FF" w14:textId="572A53D6" w:rsidR="0038427B" w:rsidRPr="00387441" w:rsidRDefault="001B0F78" w:rsidP="001B0F78">
            <w:pPr>
              <w:pStyle w:val="ListParagraph"/>
              <w:spacing w:after="0" w:line="240" w:lineRule="auto"/>
              <w:ind w:left="0" w:firstLine="0"/>
              <w:contextualSpacing w:val="0"/>
              <w:jc w:val="center"/>
              <w:rPr>
                <w:rStyle w:val="Strong"/>
                <w:rFonts w:cstheme="majorHAnsi"/>
                <w:sz w:val="16"/>
                <w:szCs w:val="16"/>
                <w:lang w:val="lv-LV"/>
              </w:rPr>
            </w:pPr>
            <w:r w:rsidRPr="000B78DC">
              <w:rPr>
                <w:rStyle w:val="Strong"/>
                <w:rFonts w:cstheme="majorBidi"/>
                <w:sz w:val="16"/>
                <w:szCs w:val="16"/>
                <w:lang w:val="lv-LV"/>
              </w:rPr>
              <w:t>Maksājuma pieprasījuma pārbaude.</w:t>
            </w:r>
          </w:p>
        </w:tc>
      </w:tr>
    </w:tbl>
    <w:p w14:paraId="55B1E9ED" w14:textId="77777777" w:rsidR="0070563A" w:rsidRPr="00BE0DBF" w:rsidRDefault="0070563A" w:rsidP="00D55499">
      <w:pPr>
        <w:spacing w:after="120" w:line="276" w:lineRule="auto"/>
        <w:rPr>
          <w:highlight w:val="lightGray"/>
          <w:lang w:val="lv-LV"/>
        </w:rPr>
      </w:pPr>
    </w:p>
    <w:p w14:paraId="023187AE" w14:textId="281A69E8" w:rsidR="002F37CE" w:rsidRPr="002F37CE" w:rsidRDefault="002F37CE" w:rsidP="002F37CE">
      <w:pPr>
        <w:spacing w:after="120" w:line="276" w:lineRule="auto"/>
        <w:rPr>
          <w:lang w:val="lv-LV"/>
        </w:rPr>
      </w:pPr>
      <w:r w:rsidRPr="002F37CE">
        <w:rPr>
          <w:lang w:val="lv-LV"/>
        </w:rPr>
        <w:t xml:space="preserve">2014.-2020. gada plānošanas periodā ERAF tika konstatētas 113 neatbilstības ar kopējo neatbilstoši veikto izdevumu summu EUR 22 754 879,44; ESF - 26 neatbilstības ar kopējo neatbilstoši veikto izdevumu summu EUR 153  058,19, savukārt KF - 16 neatbilstības ar kopējo neatbilstoši veikto izdevumu summu EUR 2 726 705,71. Līdz ar to </w:t>
      </w:r>
      <w:r w:rsidRPr="002F37CE">
        <w:rPr>
          <w:b/>
          <w:bCs/>
          <w:lang w:val="lv-LV"/>
        </w:rPr>
        <w:t xml:space="preserve">neatbilstību summas īpatsvars pret kopējo attiecināmo izdevumu summu 2024. gadā veido:  ERAF: 8,5 %,  ESF: 0,39 %, KF: 0,99 %.  </w:t>
      </w:r>
      <w:r w:rsidRPr="00BA0972">
        <w:rPr>
          <w:lang w:val="lv-LV"/>
        </w:rPr>
        <w:t>Secināms, ka</w:t>
      </w:r>
      <w:r w:rsidRPr="00BA0972">
        <w:rPr>
          <w:b/>
          <w:bCs/>
          <w:lang w:val="lv-LV"/>
        </w:rPr>
        <w:t xml:space="preserve"> </w:t>
      </w:r>
      <w:r w:rsidRPr="00BA0972">
        <w:rPr>
          <w:lang w:val="lv-LV"/>
        </w:rPr>
        <w:t xml:space="preserve">2024. gadā </w:t>
      </w:r>
      <w:r w:rsidRPr="00BA0972">
        <w:rPr>
          <w:lang w:val="lv-LV"/>
        </w:rPr>
        <w:lastRenderedPageBreak/>
        <w:t>salīdzinājumā ar 2023. gadu konstatēto neatbilstību skaits ir ievērojami mazāks, kamēr neatbilstoši veikto izdevumu summa aptuveni līdzīga.</w:t>
      </w:r>
    </w:p>
    <w:p w14:paraId="05F25ACE" w14:textId="7B8B36BD" w:rsidR="00F7092C" w:rsidRPr="00BE0DBF" w:rsidRDefault="00F7092C" w:rsidP="00D55499">
      <w:pPr>
        <w:spacing w:after="120" w:line="276" w:lineRule="auto"/>
        <w:rPr>
          <w:lang w:val="lv-LV"/>
        </w:rPr>
      </w:pPr>
      <w:r w:rsidRPr="00BE0DBF">
        <w:rPr>
          <w:lang w:val="lv-LV"/>
        </w:rPr>
        <w:t xml:space="preserve">2021.-2027. gada plānošanas periodā </w:t>
      </w:r>
      <w:r w:rsidR="00877131" w:rsidRPr="00BE0DBF">
        <w:rPr>
          <w:lang w:val="lv-LV"/>
        </w:rPr>
        <w:t>ESF</w:t>
      </w:r>
      <w:r w:rsidR="00E627EB" w:rsidRPr="00BE0DBF">
        <w:rPr>
          <w:lang w:val="lv-LV"/>
        </w:rPr>
        <w:t>+</w:t>
      </w:r>
      <w:r w:rsidR="00877131" w:rsidRPr="00BE0DBF">
        <w:rPr>
          <w:lang w:val="lv-LV"/>
        </w:rPr>
        <w:t xml:space="preserve"> tika </w:t>
      </w:r>
      <w:r w:rsidRPr="00BE0DBF">
        <w:rPr>
          <w:lang w:val="lv-LV"/>
        </w:rPr>
        <w:t>konstatēta</w:t>
      </w:r>
      <w:r w:rsidR="00877131" w:rsidRPr="00BE0DBF">
        <w:rPr>
          <w:lang w:val="lv-LV"/>
        </w:rPr>
        <w:t xml:space="preserve"> </w:t>
      </w:r>
      <w:r w:rsidRPr="00BE0DBF">
        <w:rPr>
          <w:lang w:val="lv-LV"/>
        </w:rPr>
        <w:t>1 neatbilstība</w:t>
      </w:r>
      <w:r w:rsidR="00877131" w:rsidRPr="00BE0DBF">
        <w:rPr>
          <w:lang w:val="lv-LV"/>
        </w:rPr>
        <w:t xml:space="preserve"> iepirkumu jomā</w:t>
      </w:r>
      <w:r w:rsidRPr="00BE0DBF">
        <w:rPr>
          <w:lang w:val="lv-LV"/>
        </w:rPr>
        <w:t xml:space="preserve"> </w:t>
      </w:r>
      <w:r w:rsidR="000917B6" w:rsidRPr="00BE0DBF">
        <w:rPr>
          <w:lang w:val="lv-LV"/>
        </w:rPr>
        <w:t xml:space="preserve">ar </w:t>
      </w:r>
      <w:r w:rsidRPr="00BE0DBF">
        <w:rPr>
          <w:lang w:val="lv-LV"/>
        </w:rPr>
        <w:t xml:space="preserve">kopējo </w:t>
      </w:r>
      <w:r w:rsidR="00847F45">
        <w:rPr>
          <w:lang w:val="lv-LV"/>
        </w:rPr>
        <w:t xml:space="preserve">neatbilstoši veikto </w:t>
      </w:r>
      <w:r w:rsidRPr="00BE0DBF">
        <w:rPr>
          <w:lang w:val="lv-LV"/>
        </w:rPr>
        <w:t xml:space="preserve">izdevumu summu EUR </w:t>
      </w:r>
      <w:r w:rsidR="00A019FD" w:rsidRPr="00BE0DBF">
        <w:rPr>
          <w:lang w:val="lv-LV"/>
        </w:rPr>
        <w:t>6</w:t>
      </w:r>
      <w:r w:rsidR="00B22B9A" w:rsidRPr="00BE0DBF">
        <w:rPr>
          <w:lang w:val="lv-LV"/>
        </w:rPr>
        <w:t xml:space="preserve"> </w:t>
      </w:r>
      <w:r w:rsidR="00A019FD" w:rsidRPr="00BE0DBF">
        <w:rPr>
          <w:lang w:val="lv-LV"/>
        </w:rPr>
        <w:t xml:space="preserve">581,19, kas pilnā apmērā tika atgūta. </w:t>
      </w:r>
      <w:r w:rsidR="00DF20BA" w:rsidRPr="00BE0DBF">
        <w:rPr>
          <w:lang w:val="lv-LV"/>
        </w:rPr>
        <w:t>Neatbilstību summas īpatsvars pret kopējo attiecināmo izdevumu summu ESF</w:t>
      </w:r>
      <w:r w:rsidR="00A67CC0" w:rsidRPr="00BE0DBF">
        <w:rPr>
          <w:lang w:val="lv-LV"/>
        </w:rPr>
        <w:t>+</w:t>
      </w:r>
      <w:r w:rsidR="00DF20BA" w:rsidRPr="00BE0DBF">
        <w:rPr>
          <w:lang w:val="lv-LV"/>
        </w:rPr>
        <w:t xml:space="preserve"> 2024. gadā </w:t>
      </w:r>
      <w:r w:rsidR="00B4776C" w:rsidRPr="00BE0DBF">
        <w:rPr>
          <w:lang w:val="lv-LV"/>
        </w:rPr>
        <w:t xml:space="preserve">veido </w:t>
      </w:r>
      <w:r w:rsidR="00DF20BA" w:rsidRPr="00BE0DBF">
        <w:rPr>
          <w:lang w:val="lv-LV"/>
        </w:rPr>
        <w:t xml:space="preserve">0,04%. </w:t>
      </w:r>
      <w:r w:rsidR="00977479" w:rsidRPr="00BE0DBF">
        <w:rPr>
          <w:lang w:val="lv-LV"/>
        </w:rPr>
        <w:t>ERAF, KF un TPF neatbilstības 2024.</w:t>
      </w:r>
      <w:r w:rsidR="006B49F7" w:rsidRPr="00BE0DBF">
        <w:rPr>
          <w:lang w:val="lv-LV"/>
        </w:rPr>
        <w:t xml:space="preserve"> </w:t>
      </w:r>
      <w:r w:rsidR="00977479" w:rsidRPr="00BE0DBF">
        <w:rPr>
          <w:lang w:val="lv-LV"/>
        </w:rPr>
        <w:t>gadā netika konstatētas.</w:t>
      </w:r>
    </w:p>
    <w:p w14:paraId="5F96920F" w14:textId="2A19496B" w:rsidR="00D56300" w:rsidRPr="00BE0DBF" w:rsidRDefault="00977479" w:rsidP="00D55499">
      <w:pPr>
        <w:spacing w:after="120" w:line="276" w:lineRule="auto"/>
        <w:rPr>
          <w:lang w:val="lv-LV"/>
        </w:rPr>
      </w:pPr>
      <w:r w:rsidRPr="00BE0DBF">
        <w:rPr>
          <w:b/>
          <w:lang w:val="lv-LV"/>
        </w:rPr>
        <w:t>2024. gadā tika identificēti</w:t>
      </w:r>
      <w:r w:rsidR="00F308A0" w:rsidRPr="00BE0DBF">
        <w:rPr>
          <w:b/>
          <w:lang w:val="lv-LV"/>
        </w:rPr>
        <w:t xml:space="preserve"> 2</w:t>
      </w:r>
      <w:r w:rsidRPr="00BE0DBF">
        <w:rPr>
          <w:b/>
          <w:lang w:val="lv-LV"/>
        </w:rPr>
        <w:t xml:space="preserve">  krāpšanas/ aizdomas par krāpšanu neatbilstību gadījumi </w:t>
      </w:r>
      <w:r w:rsidR="00645827" w:rsidRPr="00BE0DBF">
        <w:rPr>
          <w:lang w:val="lv-LV"/>
        </w:rPr>
        <w:t>(1</w:t>
      </w:r>
      <w:r w:rsidR="00794610" w:rsidRPr="00BE0DBF">
        <w:rPr>
          <w:lang w:val="lv-LV"/>
        </w:rPr>
        <w:t xml:space="preserve"> </w:t>
      </w:r>
      <w:r w:rsidR="00645827" w:rsidRPr="00BE0DBF">
        <w:rPr>
          <w:lang w:val="lv-LV"/>
        </w:rPr>
        <w:t>- ERAF un 1 - KF)</w:t>
      </w:r>
      <w:r w:rsidRPr="00BE0DBF">
        <w:rPr>
          <w:lang w:val="lv-LV"/>
        </w:rPr>
        <w:t xml:space="preserve"> ar finanšu ietekmi EUR </w:t>
      </w:r>
      <w:r w:rsidR="00806190" w:rsidRPr="00BE0DBF">
        <w:rPr>
          <w:lang w:val="lv-LV"/>
        </w:rPr>
        <w:t>121</w:t>
      </w:r>
      <w:r w:rsidR="002848E0" w:rsidRPr="00BE0DBF">
        <w:rPr>
          <w:lang w:val="lv-LV"/>
        </w:rPr>
        <w:t xml:space="preserve"> </w:t>
      </w:r>
      <w:r w:rsidR="00806190" w:rsidRPr="00BE0DBF">
        <w:rPr>
          <w:lang w:val="lv-LV"/>
        </w:rPr>
        <w:t>262,29</w:t>
      </w:r>
      <w:r w:rsidR="002848E0" w:rsidRPr="00BE0DBF">
        <w:rPr>
          <w:lang w:val="lv-LV"/>
        </w:rPr>
        <w:t xml:space="preserve"> </w:t>
      </w:r>
      <w:r w:rsidRPr="00BE0DBF">
        <w:rPr>
          <w:lang w:val="lv-LV"/>
        </w:rPr>
        <w:t>apmērā</w:t>
      </w:r>
      <w:r w:rsidR="00B22B9A" w:rsidRPr="00BE0DBF">
        <w:rPr>
          <w:lang w:val="lv-LV"/>
        </w:rPr>
        <w:t>.</w:t>
      </w:r>
      <w:r w:rsidR="00645827" w:rsidRPr="00BE0DBF">
        <w:rPr>
          <w:lang w:val="lv-LV"/>
        </w:rPr>
        <w:t xml:space="preserve"> </w:t>
      </w:r>
      <w:r w:rsidR="00C83960">
        <w:rPr>
          <w:lang w:val="lv-LV"/>
        </w:rPr>
        <w:t xml:space="preserve"> 1 gadījumā CFLA vērsās tiesībaizsardzības iestādē ar aizdomām par iespējamu krāpšanu</w:t>
      </w:r>
      <w:r w:rsidR="00040AF3">
        <w:rPr>
          <w:lang w:val="lv-LV"/>
        </w:rPr>
        <w:t xml:space="preserve"> un 1 gadījumā informāciju par iespējamu krāpšanu saņemta no trešās personas.</w:t>
      </w:r>
    </w:p>
    <w:p w14:paraId="3AF17993" w14:textId="1CB956C0" w:rsidR="00841982" w:rsidRPr="00A2063B" w:rsidRDefault="00841982" w:rsidP="00841982">
      <w:pPr>
        <w:spacing w:before="120"/>
        <w:rPr>
          <w:lang w:val="lv-LV"/>
        </w:rPr>
      </w:pPr>
      <w:r w:rsidRPr="00A2063B">
        <w:rPr>
          <w:b/>
          <w:bCs/>
          <w:lang w:val="lv-LV"/>
        </w:rPr>
        <w:t xml:space="preserve">CFLA šobrīd ir apturējusi izdevumu apstiprināšanu, maksājumu veikšanu un izdevumu deklarēšanu tiem </w:t>
      </w:r>
      <w:r w:rsidR="00C55BEB" w:rsidRPr="00A2063B">
        <w:rPr>
          <w:b/>
          <w:bCs/>
          <w:lang w:val="lv-LV"/>
        </w:rPr>
        <w:t xml:space="preserve">2014.-2020. gada plānošanas perioda </w:t>
      </w:r>
      <w:r w:rsidRPr="00A2063B">
        <w:rPr>
          <w:b/>
          <w:bCs/>
          <w:lang w:val="lv-LV"/>
        </w:rPr>
        <w:t>projektu izdevumiem, kurus skar tiesību aizsardzības iestāžu veiktā izmeklēšana</w:t>
      </w:r>
      <w:r w:rsidRPr="00A2063B">
        <w:rPr>
          <w:lang w:val="lv-LV"/>
        </w:rPr>
        <w:t xml:space="preserve"> – pirmstiesas kriminālprocess un tajā skaitā tiesvedība. Šāda situācija kopumā konstatējama 29 projektos (</w:t>
      </w:r>
      <w:r w:rsidR="00E87AB0" w:rsidRPr="00A2063B">
        <w:rPr>
          <w:lang w:val="lv-LV"/>
        </w:rPr>
        <w:t xml:space="preserve">uzsākti 23 kriminālprocesi - </w:t>
      </w:r>
      <w:r w:rsidRPr="00A2063B">
        <w:rPr>
          <w:lang w:val="lv-LV"/>
        </w:rPr>
        <w:t xml:space="preserve">19 kriminālprocesi pirmstiesas izmeklēšanā,  bet 4 </w:t>
      </w:r>
      <w:r w:rsidR="00662D26" w:rsidRPr="00A2063B">
        <w:rPr>
          <w:lang w:val="lv-LV"/>
        </w:rPr>
        <w:t xml:space="preserve">- </w:t>
      </w:r>
      <w:r w:rsidRPr="00A2063B">
        <w:rPr>
          <w:lang w:val="lv-LV"/>
        </w:rPr>
        <w:t xml:space="preserve">tiesvedībā) </w:t>
      </w:r>
      <w:r w:rsidRPr="00A2063B">
        <w:rPr>
          <w:b/>
          <w:bCs/>
          <w:lang w:val="lv-LV"/>
        </w:rPr>
        <w:t xml:space="preserve">ar kopējo skarto izdevumu summu </w:t>
      </w:r>
      <w:r w:rsidR="00C3743B">
        <w:rPr>
          <w:b/>
          <w:bCs/>
          <w:lang w:val="lv-LV"/>
        </w:rPr>
        <w:t xml:space="preserve">EUR </w:t>
      </w:r>
      <w:r w:rsidRPr="00A2063B">
        <w:rPr>
          <w:b/>
          <w:bCs/>
          <w:lang w:val="lv-LV"/>
        </w:rPr>
        <w:t>17,8 milj. apmērā</w:t>
      </w:r>
      <w:r w:rsidRPr="00A2063B">
        <w:rPr>
          <w:lang w:val="lv-LV"/>
        </w:rPr>
        <w:t xml:space="preserve">. Lielākā daļa no pirmstiesas kriminālprocesiem ir uzsākti 2021.- 2023. gadā, taču pāris gadījumos lietas turpinās jau kopš 2018., 2019. un 2020. gada. </w:t>
      </w:r>
    </w:p>
    <w:p w14:paraId="5CD1D26B" w14:textId="5ED02017" w:rsidR="00841982" w:rsidRPr="00A2063B" w:rsidRDefault="00841982" w:rsidP="00841982">
      <w:pPr>
        <w:spacing w:before="120"/>
        <w:rPr>
          <w:lang w:val="lv-LV"/>
        </w:rPr>
      </w:pPr>
      <w:r w:rsidRPr="00A2063B">
        <w:rPr>
          <w:lang w:val="lv-LV"/>
        </w:rPr>
        <w:t>Atbilstoši Regulai Nr. 2024/795</w:t>
      </w:r>
      <w:r w:rsidRPr="00A2063B">
        <w:rPr>
          <w:rStyle w:val="FootnoteReference"/>
          <w:lang w:val="lv-LV"/>
        </w:rPr>
        <w:footnoteReference w:id="13"/>
      </w:r>
      <w:r w:rsidRPr="00A2063B">
        <w:rPr>
          <w:lang w:val="lv-LV"/>
        </w:rPr>
        <w:t xml:space="preserve"> </w:t>
      </w:r>
      <w:r w:rsidRPr="00A2063B">
        <w:rPr>
          <w:vertAlign w:val="superscript"/>
          <w:lang w:val="lv-LV"/>
        </w:rPr>
        <w:t xml:space="preserve"> </w:t>
      </w:r>
      <w:r w:rsidRPr="00A2063B">
        <w:rPr>
          <w:lang w:val="lv-LV"/>
        </w:rPr>
        <w:t xml:space="preserve">noslēguma izdevumu deklarācija </w:t>
      </w:r>
      <w:r w:rsidR="002C3460" w:rsidRPr="00A2063B">
        <w:rPr>
          <w:lang w:val="lv-LV"/>
        </w:rPr>
        <w:t>EK</w:t>
      </w:r>
      <w:r w:rsidRPr="00A2063B">
        <w:rPr>
          <w:lang w:val="lv-LV"/>
        </w:rPr>
        <w:t xml:space="preserve"> ir jāiesniedz līdz 2025.</w:t>
      </w:r>
      <w:r w:rsidR="002C3460" w:rsidRPr="00A2063B">
        <w:rPr>
          <w:lang w:val="lv-LV"/>
        </w:rPr>
        <w:t xml:space="preserve"> </w:t>
      </w:r>
      <w:r w:rsidRPr="00A2063B">
        <w:rPr>
          <w:lang w:val="lv-LV"/>
        </w:rPr>
        <w:t>gada 31.</w:t>
      </w:r>
      <w:r w:rsidR="002C3460" w:rsidRPr="00A2063B">
        <w:rPr>
          <w:lang w:val="lv-LV"/>
        </w:rPr>
        <w:t xml:space="preserve"> </w:t>
      </w:r>
      <w:r w:rsidRPr="00A2063B">
        <w:rPr>
          <w:lang w:val="lv-LV"/>
        </w:rPr>
        <w:t xml:space="preserve">jūlijam. CFLA </w:t>
      </w:r>
      <w:proofErr w:type="spellStart"/>
      <w:r w:rsidRPr="00A2063B">
        <w:rPr>
          <w:lang w:val="lv-LV"/>
        </w:rPr>
        <w:t>pirmšķietami</w:t>
      </w:r>
      <w:proofErr w:type="spellEnd"/>
      <w:r w:rsidRPr="00A2063B">
        <w:rPr>
          <w:lang w:val="lv-LV"/>
        </w:rPr>
        <w:t xml:space="preserve"> secina, ka līdz galējam termiņam izdevumu deklarēšanai </w:t>
      </w:r>
      <w:r w:rsidR="002C3460" w:rsidRPr="00A2063B">
        <w:rPr>
          <w:lang w:val="lv-LV"/>
        </w:rPr>
        <w:t>EK</w:t>
      </w:r>
      <w:r w:rsidRPr="00A2063B">
        <w:rPr>
          <w:lang w:val="lv-LV"/>
        </w:rPr>
        <w:t xml:space="preserve"> </w:t>
      </w:r>
      <w:r w:rsidRPr="00A2063B">
        <w:rPr>
          <w:b/>
          <w:bCs/>
          <w:lang w:val="lv-LV"/>
        </w:rPr>
        <w:t>nebūs iespējams pārliecināties par izdevumu atbilstību un attiecīgi iekļaut deklarācijā visu vai lielāko daļu no iepriekš minētā norādīto izdevumu apjoma,</w:t>
      </w:r>
      <w:r w:rsidRPr="00A2063B">
        <w:rPr>
          <w:lang w:val="lv-LV"/>
        </w:rPr>
        <w:t xml:space="preserve"> kas apturēts izmeklēšanas iestāžu veikto kriminālprocesu un tiesvedību dēļ. Minēto var pamatot ar dažādiem kriminālprocesuālajiem apstākļiem, piemēram, lietu sarežģītība, nepieciešamais pierādījumu kopums, izmeklēšanas iestāžu resursi, iespējamā iztiesāšana vairākās tiesu instancēs u.c. </w:t>
      </w:r>
    </w:p>
    <w:p w14:paraId="788240CA" w14:textId="0E370C58" w:rsidR="00841982" w:rsidRPr="00A2063B" w:rsidRDefault="00841982" w:rsidP="00841982">
      <w:pPr>
        <w:spacing w:before="120"/>
        <w:rPr>
          <w:lang w:val="lv-LV"/>
        </w:rPr>
      </w:pPr>
      <w:r w:rsidRPr="00A2063B">
        <w:rPr>
          <w:lang w:val="lv-LV"/>
        </w:rPr>
        <w:t xml:space="preserve">Ja finansējuma saņēmēja </w:t>
      </w:r>
      <w:r w:rsidR="0088422F" w:rsidRPr="00A2063B">
        <w:rPr>
          <w:lang w:val="lv-LV"/>
        </w:rPr>
        <w:t>CFLA</w:t>
      </w:r>
      <w:r w:rsidRPr="00A2063B">
        <w:rPr>
          <w:lang w:val="lv-LV"/>
        </w:rPr>
        <w:t xml:space="preserve"> iesniegtie izdevumi atbilst attiecīgās darbības programmas </w:t>
      </w:r>
      <w:r w:rsidR="0063376A" w:rsidRPr="00A2063B">
        <w:rPr>
          <w:lang w:val="lv-LV"/>
        </w:rPr>
        <w:t>MK</w:t>
      </w:r>
      <w:r w:rsidRPr="00A2063B">
        <w:rPr>
          <w:lang w:val="lv-LV"/>
        </w:rPr>
        <w:t xml:space="preserve"> noteikumiem un saistībā ar to pārbaudi nav konstatēti normatīvo aktu pārkāpumi, tad tie ir uzskatāmi par attiecināmiem izdevumiem. Attiecīgi, ja tiesību aizsardzības iestāde konkrēto projektu kriminālprocesu ietvaros nekonstatē noziedzīgu nodarījumu, tad finansējuma saņēmējs var pamatoti saņemt </w:t>
      </w:r>
      <w:r w:rsidR="0088422F" w:rsidRPr="00A2063B">
        <w:rPr>
          <w:lang w:val="lv-LV"/>
        </w:rPr>
        <w:t>CFLA</w:t>
      </w:r>
      <w:r w:rsidRPr="00A2063B">
        <w:rPr>
          <w:lang w:val="lv-LV"/>
        </w:rPr>
        <w:t xml:space="preserve"> apturēto izdevumu apmēru, jo šādas tiesības ir noteiktas gan ārējā normatīvajā aktā, gan </w:t>
      </w:r>
      <w:proofErr w:type="spellStart"/>
      <w:r w:rsidRPr="00A2063B">
        <w:rPr>
          <w:lang w:val="lv-LV"/>
        </w:rPr>
        <w:t>līgumtiesisko</w:t>
      </w:r>
      <w:proofErr w:type="spellEnd"/>
      <w:r w:rsidRPr="00A2063B">
        <w:rPr>
          <w:lang w:val="lv-LV"/>
        </w:rPr>
        <w:t xml:space="preserve"> attiecību ietvaros. </w:t>
      </w:r>
      <w:r w:rsidRPr="00A2063B">
        <w:rPr>
          <w:b/>
          <w:bCs/>
          <w:lang w:val="lv-LV"/>
        </w:rPr>
        <w:t>Tas radīs pienākumu izdevumu atmaksai finansējuma saņēmējiem, veidojot papildu izmaksas no valsts budžeta</w:t>
      </w:r>
      <w:r w:rsidRPr="00A2063B">
        <w:rPr>
          <w:lang w:val="lv-LV"/>
        </w:rPr>
        <w:t xml:space="preserve">, jo šos izdevumus vairs nevarēs deklarēt </w:t>
      </w:r>
      <w:r w:rsidR="00475FA9" w:rsidRPr="00A2063B">
        <w:rPr>
          <w:lang w:val="lv-LV"/>
        </w:rPr>
        <w:t>EK</w:t>
      </w:r>
      <w:r w:rsidRPr="00A2063B">
        <w:rPr>
          <w:lang w:val="lv-LV"/>
        </w:rPr>
        <w:t xml:space="preserve"> pēc 2025. gada 31. jūlija. </w:t>
      </w:r>
    </w:p>
    <w:p w14:paraId="37FC7121" w14:textId="38AFF468" w:rsidR="00841982" w:rsidRPr="00A2063B" w:rsidRDefault="00841982" w:rsidP="00841982">
      <w:pPr>
        <w:spacing w:before="120"/>
        <w:rPr>
          <w:lang w:val="lv-LV"/>
        </w:rPr>
      </w:pPr>
      <w:r w:rsidRPr="00A2063B">
        <w:rPr>
          <w:lang w:val="lv-LV"/>
        </w:rPr>
        <w:lastRenderedPageBreak/>
        <w:t>Saskaņā ar norādīto</w:t>
      </w:r>
      <w:r w:rsidR="007263F7" w:rsidRPr="00A2063B">
        <w:rPr>
          <w:lang w:val="lv-LV"/>
        </w:rPr>
        <w:t>,</w:t>
      </w:r>
      <w:r w:rsidRPr="00A2063B">
        <w:rPr>
          <w:lang w:val="lv-LV"/>
        </w:rPr>
        <w:t xml:space="preserve"> šobrīd nevar paredzēt</w:t>
      </w:r>
      <w:r w:rsidR="007263F7" w:rsidRPr="00A2063B">
        <w:rPr>
          <w:lang w:val="lv-LV"/>
        </w:rPr>
        <w:t xml:space="preserve"> kā noslēgsies uzsāktie kriminālprocesi </w:t>
      </w:r>
      <w:r w:rsidRPr="00A2063B">
        <w:rPr>
          <w:lang w:val="lv-LV"/>
        </w:rPr>
        <w:t xml:space="preserve">un kādi lēmumi tiks pieņemti tiesās. Tāpat nevar izslēgt, ka daļa no šiem izdevumiem </w:t>
      </w:r>
      <w:r w:rsidRPr="00A2063B">
        <w:rPr>
          <w:b/>
          <w:bCs/>
          <w:lang w:val="lv-LV"/>
        </w:rPr>
        <w:t xml:space="preserve">kādā brīdī būs atzīstami par atbilstošiem, </w:t>
      </w:r>
      <w:r w:rsidRPr="00A2063B">
        <w:rPr>
          <w:lang w:val="lv-LV"/>
        </w:rPr>
        <w:t>ja kriminālprocesa ietvaros tomēr neizdosies konstatēt noziedzīgu nodarījumu. Ievērojot iepriekš minēto, šobrīd ir pāragri prognozēt izdevumu apmēru, kas ietekmētu valsts budžetu, jo apturētie un nedeklarētie izdevumi katrā projektā ir atšķirīgi. Lai gan daļa no kriminālprocesiem nākotnē varētu beigties bez rezultāta, var viennozīmīgi secināt, ka</w:t>
      </w:r>
      <w:r w:rsidRPr="00A2063B">
        <w:rPr>
          <w:b/>
          <w:bCs/>
          <w:lang w:val="lv-LV"/>
        </w:rPr>
        <w:t xml:space="preserve"> sekas, radot papildu izdevumus valsts budžetam, iestāsies pakāpeniski vairāku gadu garumā. </w:t>
      </w:r>
    </w:p>
    <w:p w14:paraId="55500470" w14:textId="1D298B08" w:rsidR="006644EC" w:rsidRPr="00BE0DBF" w:rsidRDefault="00841982" w:rsidP="00885394">
      <w:pPr>
        <w:spacing w:before="120"/>
        <w:rPr>
          <w:lang w:val="lv-LV"/>
        </w:rPr>
      </w:pPr>
      <w:r w:rsidRPr="00A2063B">
        <w:rPr>
          <w:lang w:val="lv-LV"/>
        </w:rPr>
        <w:t>Papildus jānorāda, ka CFLA 2025.</w:t>
      </w:r>
      <w:r w:rsidR="00970342" w:rsidRPr="00A2063B">
        <w:rPr>
          <w:lang w:val="lv-LV"/>
        </w:rPr>
        <w:t xml:space="preserve"> </w:t>
      </w:r>
      <w:r w:rsidRPr="00A2063B">
        <w:rPr>
          <w:lang w:val="lv-LV"/>
        </w:rPr>
        <w:t>gada janvārī, individuāli sazinoties ar tiesībsargājošām iestādēm un prokuratūru, ir apkopojusi informāciju par procesu aktualitātēm. Kopējā sadarbība un informācijas apmaiņa ir vērtējama kā konstruktīva un pozitīva. Tāpat CFLA ir atkārtoti vērsusi tiesību aizsardzības iestāžu uzmanību uz pēdējo izdevumu deklarācijas iesniegšanas datumu, vienlaikus iespēju robežās aicinot pieņemt atbilstošus lēmumus, ja lietā netiek saskatīta turpmāka virzības perspektīva.</w:t>
      </w:r>
    </w:p>
    <w:p w14:paraId="535A55D3" w14:textId="20ECF386" w:rsidR="00060A08" w:rsidRPr="00387441" w:rsidRDefault="00364BCF" w:rsidP="00D55499">
      <w:pPr>
        <w:pStyle w:val="Heading4"/>
      </w:pPr>
      <w:bookmarkStart w:id="66" w:name="_Toc128581412"/>
      <w:bookmarkStart w:id="67" w:name="_Toc128581760"/>
      <w:bookmarkStart w:id="68" w:name="_Toc128581992"/>
      <w:bookmarkStart w:id="69" w:name="_Toc167178716"/>
      <w:bookmarkStart w:id="70" w:name="_Toc192753108"/>
      <w:bookmarkEnd w:id="65"/>
      <w:r w:rsidRPr="00387441">
        <w:rPr>
          <w:rStyle w:val="Strong"/>
          <w:b/>
          <w:bCs w:val="0"/>
        </w:rPr>
        <w:t>B.</w:t>
      </w:r>
      <w:r w:rsidR="006644EC" w:rsidRPr="00387441">
        <w:rPr>
          <w:rStyle w:val="Strong"/>
          <w:b/>
          <w:bCs w:val="0"/>
        </w:rPr>
        <w:t>3</w:t>
      </w:r>
      <w:r w:rsidR="00060A08" w:rsidRPr="00387441">
        <w:rPr>
          <w:rStyle w:val="Strong"/>
          <w:b/>
          <w:bCs w:val="0"/>
        </w:rPr>
        <w:t xml:space="preserve">.2. </w:t>
      </w:r>
      <w:r w:rsidR="00060A08" w:rsidRPr="00387441">
        <w:t>Eiropas Lauksaimniecības fonds lauku attīstībai (ELFLA), Eiropas Lauksaimniecības garantiju fonds (ELGF) un Eiropas Jūrlietu un zivsaimniecības fonds (EJZF)</w:t>
      </w:r>
      <w:bookmarkEnd w:id="66"/>
      <w:bookmarkEnd w:id="67"/>
      <w:bookmarkEnd w:id="68"/>
      <w:r w:rsidR="00060A08" w:rsidRPr="00387441">
        <w:t>,  Eiropas Jūrlietu, zvejniecības un akvakultūras fonds (EJZAF)</w:t>
      </w:r>
      <w:bookmarkEnd w:id="69"/>
      <w:bookmarkEnd w:id="70"/>
    </w:p>
    <w:p w14:paraId="4B9B6C5F" w14:textId="4F594597" w:rsidR="00060A08" w:rsidRPr="00387441" w:rsidRDefault="003F769F" w:rsidP="00060A08">
      <w:pPr>
        <w:pStyle w:val="TabulasAttli"/>
        <w:spacing w:after="0"/>
        <w:ind w:left="2694" w:firstLine="0"/>
        <w:rPr>
          <w:sz w:val="20"/>
          <w:szCs w:val="20"/>
        </w:rPr>
      </w:pPr>
      <w:r w:rsidRPr="00387441">
        <w:rPr>
          <w:b/>
          <w:bCs/>
          <w:sz w:val="20"/>
          <w:szCs w:val="20"/>
        </w:rPr>
        <w:t>Attēls Nr.</w:t>
      </w:r>
      <w:r w:rsidR="00CA6DFE" w:rsidRPr="00387441">
        <w:rPr>
          <w:b/>
          <w:bCs/>
          <w:sz w:val="20"/>
          <w:szCs w:val="20"/>
        </w:rPr>
        <w:t>11</w:t>
      </w:r>
      <w:r w:rsidR="00060A08" w:rsidRPr="00387441">
        <w:rPr>
          <w:sz w:val="20"/>
          <w:szCs w:val="20"/>
        </w:rPr>
        <w:t xml:space="preserve"> Kopsavilkums par ELFLA, ELGF un EJZF, EJZAF neatbilstībām</w:t>
      </w:r>
      <w:r w:rsidR="008B6DF3" w:rsidRPr="00387441">
        <w:rPr>
          <w:sz w:val="20"/>
          <w:szCs w:val="20"/>
        </w:rPr>
        <w:t xml:space="preserve"> 2024.gadā</w:t>
      </w:r>
    </w:p>
    <w:p w14:paraId="465B4C19" w14:textId="77777777" w:rsidR="003F769F" w:rsidRPr="00387441" w:rsidRDefault="003F769F" w:rsidP="00060A08">
      <w:pPr>
        <w:pStyle w:val="TabulasAttli"/>
        <w:spacing w:after="0"/>
        <w:ind w:left="2694" w:firstLine="0"/>
        <w:rPr>
          <w:sz w:val="20"/>
          <w:szCs w:val="20"/>
        </w:rPr>
      </w:pPr>
    </w:p>
    <w:tbl>
      <w:tblPr>
        <w:tblStyle w:val="TableGrid"/>
        <w:tblW w:w="10773" w:type="dxa"/>
        <w:shd w:val="clear" w:color="auto" w:fill="29A3FF"/>
        <w:tblLayout w:type="fixed"/>
        <w:tblLook w:val="04A0" w:firstRow="1" w:lastRow="0" w:firstColumn="1" w:lastColumn="0" w:noHBand="0" w:noVBand="1"/>
      </w:tblPr>
      <w:tblGrid>
        <w:gridCol w:w="1647"/>
        <w:gridCol w:w="1188"/>
        <w:gridCol w:w="1276"/>
        <w:gridCol w:w="1418"/>
        <w:gridCol w:w="1471"/>
        <w:gridCol w:w="1080"/>
        <w:gridCol w:w="1134"/>
        <w:gridCol w:w="1559"/>
      </w:tblGrid>
      <w:tr w:rsidR="00060A08" w:rsidRPr="00387441" w14:paraId="27631F01" w14:textId="77777777" w:rsidTr="009862AC">
        <w:trPr>
          <w:trHeight w:val="205"/>
        </w:trPr>
        <w:tc>
          <w:tcPr>
            <w:tcW w:w="1647" w:type="dxa"/>
            <w:tcBorders>
              <w:top w:val="nil"/>
              <w:left w:val="nil"/>
              <w:right w:val="single" w:sz="8" w:space="0" w:color="auto"/>
            </w:tcBorders>
            <w:shd w:val="clear" w:color="auto" w:fill="auto"/>
            <w:vAlign w:val="center"/>
          </w:tcPr>
          <w:p w14:paraId="249967DB" w14:textId="77777777" w:rsidR="00060A08" w:rsidRPr="00387441" w:rsidRDefault="00060A08" w:rsidP="008B32BB">
            <w:pPr>
              <w:pStyle w:val="ListParagraph"/>
              <w:spacing w:after="0"/>
              <w:ind w:left="0" w:firstLine="321"/>
              <w:contextualSpacing w:val="0"/>
              <w:jc w:val="center"/>
              <w:rPr>
                <w:rStyle w:val="Strong"/>
                <w:rFonts w:cstheme="majorHAnsi"/>
                <w:sz w:val="16"/>
                <w:szCs w:val="16"/>
                <w:lang w:val="lv-LV"/>
              </w:rPr>
            </w:pPr>
            <w:r w:rsidRPr="00387441">
              <w:rPr>
                <w:rStyle w:val="Strong"/>
                <w:rFonts w:cstheme="majorHAnsi"/>
                <w:sz w:val="20"/>
                <w:szCs w:val="20"/>
                <w:lang w:val="lv-LV"/>
              </w:rPr>
              <w:t>2014-2020</w:t>
            </w:r>
          </w:p>
        </w:tc>
        <w:tc>
          <w:tcPr>
            <w:tcW w:w="1188" w:type="dxa"/>
            <w:tcBorders>
              <w:left w:val="single" w:sz="8" w:space="0" w:color="auto"/>
            </w:tcBorders>
            <w:shd w:val="clear" w:color="auto" w:fill="4C94D8" w:themeFill="text2" w:themeFillTint="80"/>
            <w:vAlign w:val="center"/>
          </w:tcPr>
          <w:p w14:paraId="2C321341" w14:textId="77777777" w:rsidR="00060A08" w:rsidRPr="00387441" w:rsidRDefault="00060A08" w:rsidP="00E126AD">
            <w:pPr>
              <w:pStyle w:val="ListParagraph"/>
              <w:spacing w:after="0"/>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EJZF</w:t>
            </w:r>
          </w:p>
        </w:tc>
        <w:tc>
          <w:tcPr>
            <w:tcW w:w="1276" w:type="dxa"/>
            <w:shd w:val="clear" w:color="auto" w:fill="4C94D8" w:themeFill="text2" w:themeFillTint="80"/>
            <w:vAlign w:val="center"/>
          </w:tcPr>
          <w:p w14:paraId="18195E29" w14:textId="77777777" w:rsidR="00060A08" w:rsidRPr="00387441" w:rsidRDefault="00060A08" w:rsidP="00E126AD">
            <w:pPr>
              <w:pStyle w:val="ListParagraph"/>
              <w:spacing w:after="0"/>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ELFLA</w:t>
            </w:r>
          </w:p>
        </w:tc>
        <w:tc>
          <w:tcPr>
            <w:tcW w:w="1418" w:type="dxa"/>
            <w:tcBorders>
              <w:right w:val="single" w:sz="8" w:space="0" w:color="auto"/>
            </w:tcBorders>
            <w:shd w:val="clear" w:color="auto" w:fill="4C94D8" w:themeFill="text2" w:themeFillTint="80"/>
            <w:vAlign w:val="center"/>
          </w:tcPr>
          <w:p w14:paraId="203E118E" w14:textId="77777777" w:rsidR="00060A08" w:rsidRPr="00387441" w:rsidRDefault="00060A08" w:rsidP="00E126AD">
            <w:pPr>
              <w:spacing w:after="0"/>
              <w:ind w:firstLine="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ELGF</w:t>
            </w:r>
          </w:p>
        </w:tc>
        <w:tc>
          <w:tcPr>
            <w:tcW w:w="1471" w:type="dxa"/>
            <w:tcBorders>
              <w:top w:val="nil"/>
              <w:left w:val="single" w:sz="8" w:space="0" w:color="auto"/>
              <w:right w:val="single" w:sz="8" w:space="0" w:color="auto"/>
            </w:tcBorders>
            <w:shd w:val="clear" w:color="auto" w:fill="auto"/>
            <w:vAlign w:val="center"/>
          </w:tcPr>
          <w:p w14:paraId="08343314" w14:textId="77777777" w:rsidR="00060A08" w:rsidRPr="00387441" w:rsidRDefault="00060A08" w:rsidP="00F34799">
            <w:pPr>
              <w:pStyle w:val="ListParagraph"/>
              <w:spacing w:after="0"/>
              <w:ind w:left="0"/>
              <w:contextualSpacing w:val="0"/>
              <w:jc w:val="left"/>
              <w:rPr>
                <w:rStyle w:val="Strong"/>
                <w:rFonts w:cstheme="majorHAnsi"/>
                <w:color w:val="FFFFFF" w:themeColor="background1"/>
                <w:sz w:val="16"/>
                <w:szCs w:val="16"/>
                <w:lang w:val="lv-LV"/>
              </w:rPr>
            </w:pPr>
          </w:p>
        </w:tc>
        <w:tc>
          <w:tcPr>
            <w:tcW w:w="1080" w:type="dxa"/>
            <w:tcBorders>
              <w:left w:val="single" w:sz="8" w:space="0" w:color="auto"/>
            </w:tcBorders>
            <w:shd w:val="clear" w:color="auto" w:fill="4C94D8" w:themeFill="text2" w:themeFillTint="80"/>
            <w:vAlign w:val="center"/>
          </w:tcPr>
          <w:p w14:paraId="55984C79" w14:textId="77777777" w:rsidR="00060A08" w:rsidRPr="00387441" w:rsidRDefault="00060A08" w:rsidP="00E126AD">
            <w:pPr>
              <w:pStyle w:val="ListParagraph"/>
              <w:spacing w:after="0"/>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EJZF</w:t>
            </w:r>
          </w:p>
        </w:tc>
        <w:tc>
          <w:tcPr>
            <w:tcW w:w="1134" w:type="dxa"/>
            <w:shd w:val="clear" w:color="auto" w:fill="4C94D8" w:themeFill="text2" w:themeFillTint="80"/>
            <w:vAlign w:val="center"/>
          </w:tcPr>
          <w:p w14:paraId="4EBA9F5D" w14:textId="77777777" w:rsidR="00060A08" w:rsidRPr="00387441" w:rsidRDefault="00060A08" w:rsidP="00E126AD">
            <w:pPr>
              <w:pStyle w:val="ListParagraph"/>
              <w:spacing w:after="0"/>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ELFLA</w:t>
            </w:r>
          </w:p>
        </w:tc>
        <w:tc>
          <w:tcPr>
            <w:tcW w:w="1559" w:type="dxa"/>
            <w:shd w:val="clear" w:color="auto" w:fill="4C94D8" w:themeFill="text2" w:themeFillTint="80"/>
            <w:vAlign w:val="center"/>
          </w:tcPr>
          <w:p w14:paraId="688091B8" w14:textId="77777777" w:rsidR="00060A08" w:rsidRPr="00387441" w:rsidRDefault="00060A08" w:rsidP="00E126AD">
            <w:pPr>
              <w:pStyle w:val="ListParagraph"/>
              <w:spacing w:after="0"/>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ELGF</w:t>
            </w:r>
          </w:p>
        </w:tc>
      </w:tr>
      <w:tr w:rsidR="00060A08" w:rsidRPr="00387441" w14:paraId="74325D4C" w14:textId="77777777" w:rsidTr="00D35C5C">
        <w:trPr>
          <w:trHeight w:val="600"/>
        </w:trPr>
        <w:tc>
          <w:tcPr>
            <w:tcW w:w="1647" w:type="dxa"/>
            <w:tcBorders>
              <w:left w:val="single" w:sz="8" w:space="0" w:color="auto"/>
              <w:right w:val="single" w:sz="8" w:space="0" w:color="auto"/>
            </w:tcBorders>
            <w:shd w:val="clear" w:color="auto" w:fill="DAE9F7" w:themeFill="text2" w:themeFillTint="1A"/>
            <w:vAlign w:val="center"/>
          </w:tcPr>
          <w:p w14:paraId="7106CD19" w14:textId="06A74C4E" w:rsidR="00FB728E" w:rsidRPr="00387441" w:rsidRDefault="00060A08" w:rsidP="004E5C07">
            <w:pPr>
              <w:pStyle w:val="ListParagraph"/>
              <w:spacing w:after="0"/>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Neatbilstoši veikto izdevumu summa, EUR;</w:t>
            </w:r>
          </w:p>
          <w:p w14:paraId="20A93711" w14:textId="13925D02" w:rsidR="00060A08" w:rsidRPr="00387441" w:rsidRDefault="00060A08" w:rsidP="008B32BB">
            <w:pPr>
              <w:pStyle w:val="ListParagraph"/>
              <w:spacing w:after="0"/>
              <w:ind w:left="0" w:firstLine="37"/>
              <w:contextualSpacing w:val="0"/>
              <w:jc w:val="center"/>
              <w:rPr>
                <w:rStyle w:val="Strong"/>
                <w:rFonts w:cstheme="majorHAnsi"/>
                <w:i/>
                <w:iCs/>
                <w:sz w:val="16"/>
                <w:szCs w:val="16"/>
                <w:lang w:val="lv-LV"/>
              </w:rPr>
            </w:pPr>
            <w:r w:rsidRPr="00387441">
              <w:rPr>
                <w:rStyle w:val="Strong"/>
                <w:rFonts w:cstheme="majorHAnsi"/>
                <w:i/>
                <w:iCs/>
                <w:color w:val="A6A6A6" w:themeColor="background1" w:themeShade="A6"/>
                <w:sz w:val="16"/>
                <w:szCs w:val="16"/>
                <w:lang w:val="lv-LV"/>
              </w:rPr>
              <w:t>(202</w:t>
            </w:r>
            <w:r w:rsidR="008D3506" w:rsidRPr="00387441">
              <w:rPr>
                <w:rStyle w:val="Strong"/>
                <w:rFonts w:cstheme="majorHAnsi"/>
                <w:i/>
                <w:iCs/>
                <w:color w:val="A6A6A6" w:themeColor="background1" w:themeShade="A6"/>
                <w:sz w:val="16"/>
                <w:szCs w:val="16"/>
                <w:lang w:val="lv-LV"/>
              </w:rPr>
              <w:t>3</w:t>
            </w:r>
            <w:r w:rsidRPr="00387441">
              <w:rPr>
                <w:rStyle w:val="Strong"/>
                <w:rFonts w:cstheme="majorHAnsi"/>
                <w:i/>
                <w:iCs/>
                <w:color w:val="A6A6A6" w:themeColor="background1" w:themeShade="A6"/>
                <w:sz w:val="16"/>
                <w:szCs w:val="16"/>
                <w:lang w:val="lv-LV"/>
              </w:rPr>
              <w:t>. gada dati)</w:t>
            </w:r>
          </w:p>
        </w:tc>
        <w:tc>
          <w:tcPr>
            <w:tcW w:w="1188" w:type="dxa"/>
            <w:tcBorders>
              <w:left w:val="single" w:sz="8" w:space="0" w:color="auto"/>
            </w:tcBorders>
            <w:shd w:val="clear" w:color="auto" w:fill="auto"/>
            <w:vAlign w:val="center"/>
          </w:tcPr>
          <w:p w14:paraId="48262BFB" w14:textId="77777777" w:rsidR="008D3506" w:rsidRPr="00387441" w:rsidRDefault="008D3506" w:rsidP="00F34799">
            <w:pPr>
              <w:pStyle w:val="ListParagraph"/>
              <w:spacing w:after="0"/>
              <w:ind w:left="0" w:right="-107" w:firstLine="0"/>
              <w:contextualSpacing w:val="0"/>
              <w:jc w:val="left"/>
              <w:rPr>
                <w:rStyle w:val="Strong"/>
                <w:rFonts w:cstheme="majorHAnsi"/>
                <w:i/>
                <w:iCs/>
                <w:color w:val="ADADAD" w:themeColor="background2" w:themeShade="BF"/>
                <w:sz w:val="16"/>
                <w:szCs w:val="16"/>
                <w:lang w:val="lv-LV"/>
              </w:rPr>
            </w:pPr>
          </w:p>
          <w:p w14:paraId="4EA19C26" w14:textId="00A2061B" w:rsidR="008D3506" w:rsidRPr="00387441" w:rsidRDefault="007A4744" w:rsidP="004E5C07">
            <w:pPr>
              <w:pStyle w:val="ListParagraph"/>
              <w:spacing w:after="0"/>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840 813,17</w:t>
            </w:r>
          </w:p>
          <w:p w14:paraId="3C52392F" w14:textId="77777777" w:rsidR="004E5C07" w:rsidRPr="00387441" w:rsidRDefault="004E5C07" w:rsidP="004E5C07">
            <w:pPr>
              <w:pStyle w:val="ListParagraph"/>
              <w:spacing w:after="0"/>
              <w:ind w:left="0" w:right="-107" w:firstLine="0"/>
              <w:contextualSpacing w:val="0"/>
              <w:jc w:val="center"/>
              <w:rPr>
                <w:rStyle w:val="Strong"/>
                <w:rFonts w:cstheme="majorHAnsi"/>
                <w:i/>
                <w:iCs/>
                <w:color w:val="ADADAD" w:themeColor="background2" w:themeShade="BF"/>
                <w:sz w:val="16"/>
                <w:szCs w:val="16"/>
                <w:lang w:val="lv-LV"/>
              </w:rPr>
            </w:pPr>
          </w:p>
          <w:p w14:paraId="5094B26A" w14:textId="5C3D722E" w:rsidR="00060A08" w:rsidRPr="00387441" w:rsidRDefault="008D3506" w:rsidP="004E5C07">
            <w:pPr>
              <w:pStyle w:val="ListParagraph"/>
              <w:spacing w:after="0"/>
              <w:ind w:left="0" w:right="-107" w:firstLine="0"/>
              <w:contextualSpacing w:val="0"/>
              <w:jc w:val="center"/>
              <w:rPr>
                <w:rStyle w:val="Strong"/>
                <w:rFonts w:cstheme="majorHAnsi"/>
                <w:b w:val="0"/>
                <w:bCs w:val="0"/>
                <w:i/>
                <w:iCs/>
                <w:color w:val="ADADAD" w:themeColor="background2" w:themeShade="BF"/>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165 577.62</w:t>
            </w:r>
            <w:r w:rsidRPr="00387441">
              <w:rPr>
                <w:rStyle w:val="Strong"/>
                <w:rFonts w:cstheme="majorHAnsi"/>
                <w:i/>
                <w:iCs/>
                <w:color w:val="ADADAD" w:themeColor="background2" w:themeShade="BF"/>
                <w:sz w:val="16"/>
                <w:szCs w:val="16"/>
                <w:lang w:val="lv-LV"/>
              </w:rPr>
              <w:t>)</w:t>
            </w:r>
          </w:p>
        </w:tc>
        <w:tc>
          <w:tcPr>
            <w:tcW w:w="1276" w:type="dxa"/>
            <w:shd w:val="clear" w:color="auto" w:fill="auto"/>
            <w:vAlign w:val="center"/>
          </w:tcPr>
          <w:p w14:paraId="4A038781" w14:textId="77777777" w:rsidR="008D3506" w:rsidRPr="00387441" w:rsidRDefault="008D3506" w:rsidP="00F34799">
            <w:pPr>
              <w:pStyle w:val="ListParagraph"/>
              <w:spacing w:after="0"/>
              <w:ind w:left="0" w:right="-107" w:firstLine="0"/>
              <w:jc w:val="left"/>
              <w:rPr>
                <w:rStyle w:val="Strong"/>
                <w:rFonts w:cstheme="majorBidi"/>
                <w:i/>
                <w:iCs/>
                <w:color w:val="ADADAD" w:themeColor="background2" w:themeShade="BF"/>
                <w:sz w:val="16"/>
                <w:szCs w:val="16"/>
                <w:lang w:val="lv-LV"/>
              </w:rPr>
            </w:pPr>
          </w:p>
          <w:p w14:paraId="20D03AEB" w14:textId="225F798D" w:rsidR="008D3506" w:rsidRPr="00387441" w:rsidRDefault="000640BF" w:rsidP="004E5C07">
            <w:pPr>
              <w:pStyle w:val="ListParagraph"/>
              <w:spacing w:after="0"/>
              <w:ind w:left="0" w:right="-107" w:firstLine="0"/>
              <w:jc w:val="center"/>
              <w:rPr>
                <w:rStyle w:val="Strong"/>
                <w:rFonts w:cstheme="majorBidi"/>
                <w:sz w:val="16"/>
                <w:szCs w:val="16"/>
                <w:lang w:val="lv-LV"/>
              </w:rPr>
            </w:pPr>
            <w:r w:rsidRPr="00387441">
              <w:rPr>
                <w:rStyle w:val="Strong"/>
                <w:rFonts w:cstheme="majorBidi"/>
                <w:sz w:val="16"/>
                <w:szCs w:val="16"/>
                <w:lang w:val="lv-LV"/>
              </w:rPr>
              <w:t>2 466 499,38</w:t>
            </w:r>
          </w:p>
          <w:p w14:paraId="7FB9AF1B" w14:textId="77777777" w:rsidR="004E5C07" w:rsidRPr="00387441" w:rsidRDefault="004E5C07" w:rsidP="004E5C07">
            <w:pPr>
              <w:pStyle w:val="ListParagraph"/>
              <w:spacing w:after="0"/>
              <w:ind w:left="0" w:right="-107" w:firstLine="0"/>
              <w:jc w:val="center"/>
              <w:rPr>
                <w:rStyle w:val="Strong"/>
                <w:rFonts w:cstheme="majorBidi"/>
                <w:i/>
                <w:iCs/>
                <w:color w:val="ADADAD" w:themeColor="background2" w:themeShade="BF"/>
                <w:sz w:val="16"/>
                <w:szCs w:val="16"/>
                <w:lang w:val="lv-LV"/>
              </w:rPr>
            </w:pPr>
          </w:p>
          <w:p w14:paraId="738D6AC4" w14:textId="2198D896" w:rsidR="00060A08" w:rsidRPr="00387441" w:rsidRDefault="008D3506" w:rsidP="004E5C07">
            <w:pPr>
              <w:pStyle w:val="ListParagraph"/>
              <w:spacing w:after="0"/>
              <w:ind w:left="0" w:right="-107" w:firstLine="0"/>
              <w:jc w:val="center"/>
              <w:rPr>
                <w:rStyle w:val="Strong"/>
                <w:rFonts w:cstheme="majorBidi"/>
                <w:b w:val="0"/>
                <w:bCs w:val="0"/>
                <w:i/>
                <w:iCs/>
                <w:color w:val="ADADAD" w:themeColor="background2" w:themeShade="BF"/>
                <w:sz w:val="16"/>
                <w:szCs w:val="16"/>
                <w:lang w:val="lv-LV"/>
              </w:rPr>
            </w:pPr>
            <w:r w:rsidRPr="00387441">
              <w:rPr>
                <w:rStyle w:val="Strong"/>
                <w:rFonts w:cstheme="majorBidi"/>
                <w:i/>
                <w:iCs/>
                <w:color w:val="ADADAD" w:themeColor="background2" w:themeShade="BF"/>
                <w:sz w:val="16"/>
                <w:szCs w:val="16"/>
                <w:lang w:val="lv-LV"/>
              </w:rPr>
              <w:t>(</w:t>
            </w:r>
            <w:r w:rsidR="00060A08" w:rsidRPr="00387441">
              <w:rPr>
                <w:rStyle w:val="Strong"/>
                <w:rFonts w:cstheme="majorBidi"/>
                <w:i/>
                <w:iCs/>
                <w:color w:val="ADADAD" w:themeColor="background2" w:themeShade="BF"/>
                <w:sz w:val="16"/>
                <w:szCs w:val="16"/>
                <w:lang w:val="lv-LV"/>
              </w:rPr>
              <w:t>2 612 204.79</w:t>
            </w:r>
            <w:r w:rsidRPr="00387441">
              <w:rPr>
                <w:rStyle w:val="Strong"/>
                <w:rFonts w:cstheme="majorBidi"/>
                <w:i/>
                <w:iCs/>
                <w:color w:val="ADADAD" w:themeColor="background2" w:themeShade="BF"/>
                <w:sz w:val="16"/>
                <w:szCs w:val="16"/>
                <w:lang w:val="lv-LV"/>
              </w:rPr>
              <w:t>)</w:t>
            </w:r>
          </w:p>
        </w:tc>
        <w:tc>
          <w:tcPr>
            <w:tcW w:w="1418" w:type="dxa"/>
            <w:tcBorders>
              <w:right w:val="single" w:sz="8" w:space="0" w:color="auto"/>
            </w:tcBorders>
            <w:shd w:val="clear" w:color="auto" w:fill="auto"/>
            <w:vAlign w:val="center"/>
          </w:tcPr>
          <w:p w14:paraId="7373C0F6" w14:textId="77777777" w:rsidR="008D3506" w:rsidRPr="00387441" w:rsidRDefault="008D3506" w:rsidP="008D3506">
            <w:pPr>
              <w:pStyle w:val="ListParagraph"/>
              <w:spacing w:after="0"/>
              <w:ind w:left="0" w:right="-107" w:firstLine="0"/>
              <w:contextualSpacing w:val="0"/>
              <w:jc w:val="left"/>
              <w:rPr>
                <w:rStyle w:val="Strong"/>
                <w:rFonts w:cstheme="majorHAnsi"/>
                <w:i/>
                <w:iCs/>
                <w:color w:val="ADADAD" w:themeColor="background2" w:themeShade="BF"/>
                <w:sz w:val="16"/>
                <w:szCs w:val="16"/>
                <w:lang w:val="lv-LV"/>
              </w:rPr>
            </w:pPr>
          </w:p>
          <w:p w14:paraId="618909FD" w14:textId="10AB2C28" w:rsidR="008D3506" w:rsidRPr="00387441" w:rsidRDefault="003F22B4" w:rsidP="003F22B4">
            <w:pPr>
              <w:pStyle w:val="ListParagraph"/>
              <w:spacing w:after="0"/>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68 125,64</w:t>
            </w:r>
          </w:p>
          <w:p w14:paraId="5773B327" w14:textId="77777777" w:rsidR="004E5C07" w:rsidRPr="00387441" w:rsidRDefault="004E5C07" w:rsidP="004E5C07">
            <w:pPr>
              <w:pStyle w:val="ListParagraph"/>
              <w:spacing w:after="0"/>
              <w:ind w:left="0" w:right="-107" w:firstLine="0"/>
              <w:contextualSpacing w:val="0"/>
              <w:jc w:val="center"/>
              <w:rPr>
                <w:rStyle w:val="Strong"/>
                <w:rFonts w:cstheme="majorHAnsi"/>
                <w:i/>
                <w:iCs/>
                <w:color w:val="ADADAD" w:themeColor="background2" w:themeShade="BF"/>
                <w:sz w:val="16"/>
                <w:szCs w:val="16"/>
                <w:lang w:val="lv-LV"/>
              </w:rPr>
            </w:pPr>
          </w:p>
          <w:p w14:paraId="780B0560" w14:textId="0B806372" w:rsidR="00060A08" w:rsidRPr="00387441" w:rsidRDefault="008D3506" w:rsidP="004E5C07">
            <w:pPr>
              <w:pStyle w:val="ListParagraph"/>
              <w:spacing w:after="0"/>
              <w:ind w:left="0" w:right="-107" w:firstLine="0"/>
              <w:contextualSpacing w:val="0"/>
              <w:jc w:val="center"/>
              <w:rPr>
                <w:rStyle w:val="Strong"/>
                <w:rFonts w:cstheme="majorHAnsi"/>
                <w:b w:val="0"/>
                <w:bCs w:val="0"/>
                <w:i/>
                <w:iCs/>
                <w:color w:val="ADADAD" w:themeColor="background2" w:themeShade="BF"/>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436 022.06)</w:t>
            </w:r>
          </w:p>
        </w:tc>
        <w:tc>
          <w:tcPr>
            <w:tcW w:w="1471" w:type="dxa"/>
            <w:tcBorders>
              <w:left w:val="single" w:sz="8" w:space="0" w:color="auto"/>
              <w:right w:val="single" w:sz="8" w:space="0" w:color="auto"/>
            </w:tcBorders>
            <w:shd w:val="clear" w:color="auto" w:fill="DAE9F7" w:themeFill="text2" w:themeFillTint="1A"/>
            <w:vAlign w:val="center"/>
          </w:tcPr>
          <w:p w14:paraId="1FD8D981" w14:textId="77777777" w:rsidR="00E126AD" w:rsidRPr="00387441" w:rsidRDefault="00E126AD" w:rsidP="00E126AD">
            <w:pPr>
              <w:spacing w:after="0"/>
              <w:ind w:firstLine="0"/>
              <w:rPr>
                <w:rStyle w:val="Strong"/>
                <w:rFonts w:cstheme="majorHAnsi"/>
                <w:sz w:val="16"/>
                <w:szCs w:val="16"/>
                <w:lang w:val="lv-LV"/>
              </w:rPr>
            </w:pPr>
          </w:p>
          <w:p w14:paraId="1CD5E55E" w14:textId="133004DA" w:rsidR="00E126AD" w:rsidRPr="00387441" w:rsidRDefault="00060A08" w:rsidP="004E5C07">
            <w:pPr>
              <w:spacing w:after="0"/>
              <w:ind w:firstLine="0"/>
              <w:jc w:val="center"/>
              <w:rPr>
                <w:rStyle w:val="Strong"/>
                <w:rFonts w:cstheme="majorHAnsi"/>
                <w:sz w:val="16"/>
                <w:szCs w:val="16"/>
                <w:lang w:val="lv-LV"/>
              </w:rPr>
            </w:pPr>
            <w:r w:rsidRPr="00387441">
              <w:rPr>
                <w:rStyle w:val="Strong"/>
                <w:rFonts w:cstheme="majorHAnsi"/>
                <w:sz w:val="16"/>
                <w:szCs w:val="16"/>
                <w:lang w:val="lv-LV"/>
              </w:rPr>
              <w:t>Skaits;</w:t>
            </w:r>
          </w:p>
          <w:p w14:paraId="1A6CD317" w14:textId="77777777" w:rsidR="004E5C07" w:rsidRPr="00387441" w:rsidRDefault="004E5C07" w:rsidP="008D3506">
            <w:pPr>
              <w:pStyle w:val="ListParagraph"/>
              <w:spacing w:after="0"/>
              <w:ind w:left="0" w:firstLine="0"/>
              <w:contextualSpacing w:val="0"/>
              <w:jc w:val="center"/>
              <w:rPr>
                <w:rStyle w:val="Strong"/>
                <w:rFonts w:cstheme="majorHAnsi"/>
                <w:i/>
                <w:iCs/>
                <w:color w:val="A6A6A6" w:themeColor="background1" w:themeShade="A6"/>
                <w:sz w:val="16"/>
                <w:szCs w:val="16"/>
                <w:lang w:val="lv-LV"/>
              </w:rPr>
            </w:pPr>
          </w:p>
          <w:p w14:paraId="1FEAB906" w14:textId="4DC1AF3F" w:rsidR="00060A08" w:rsidRPr="00387441" w:rsidRDefault="00060A08" w:rsidP="008D3506">
            <w:pPr>
              <w:pStyle w:val="ListParagraph"/>
              <w:spacing w:after="0"/>
              <w:ind w:left="0" w:firstLine="0"/>
              <w:contextualSpacing w:val="0"/>
              <w:jc w:val="center"/>
              <w:rPr>
                <w:rStyle w:val="Strong"/>
                <w:rFonts w:cstheme="majorHAnsi"/>
                <w:i/>
                <w:iCs/>
                <w:sz w:val="16"/>
                <w:szCs w:val="16"/>
                <w:lang w:val="lv-LV"/>
              </w:rPr>
            </w:pPr>
            <w:r w:rsidRPr="00387441">
              <w:rPr>
                <w:rStyle w:val="Strong"/>
                <w:rFonts w:cstheme="majorHAnsi"/>
                <w:i/>
                <w:iCs/>
                <w:color w:val="A6A6A6" w:themeColor="background1" w:themeShade="A6"/>
                <w:sz w:val="16"/>
                <w:szCs w:val="16"/>
                <w:lang w:val="lv-LV"/>
              </w:rPr>
              <w:t>(202</w:t>
            </w:r>
            <w:r w:rsidR="008D3506" w:rsidRPr="00387441">
              <w:rPr>
                <w:rStyle w:val="Strong"/>
                <w:rFonts w:cstheme="majorHAnsi"/>
                <w:i/>
                <w:iCs/>
                <w:color w:val="A6A6A6" w:themeColor="background1" w:themeShade="A6"/>
                <w:sz w:val="16"/>
                <w:szCs w:val="16"/>
                <w:lang w:val="lv-LV"/>
              </w:rPr>
              <w:t>3</w:t>
            </w:r>
            <w:r w:rsidRPr="00387441">
              <w:rPr>
                <w:rStyle w:val="Strong"/>
                <w:rFonts w:cstheme="majorHAnsi"/>
                <w:i/>
                <w:iCs/>
                <w:color w:val="A6A6A6" w:themeColor="background1" w:themeShade="A6"/>
                <w:sz w:val="16"/>
                <w:szCs w:val="16"/>
                <w:lang w:val="lv-LV"/>
              </w:rPr>
              <w:t>. gada dati)</w:t>
            </w:r>
          </w:p>
        </w:tc>
        <w:tc>
          <w:tcPr>
            <w:tcW w:w="1080" w:type="dxa"/>
            <w:tcBorders>
              <w:left w:val="single" w:sz="8" w:space="0" w:color="auto"/>
            </w:tcBorders>
            <w:shd w:val="clear" w:color="auto" w:fill="auto"/>
            <w:vAlign w:val="center"/>
          </w:tcPr>
          <w:p w14:paraId="3BDB30CB" w14:textId="77777777" w:rsidR="008D3506" w:rsidRPr="00387441" w:rsidRDefault="008D3506" w:rsidP="00F34799">
            <w:pPr>
              <w:pStyle w:val="ListParagraph"/>
              <w:spacing w:after="0"/>
              <w:ind w:left="0" w:right="-107"/>
              <w:contextualSpacing w:val="0"/>
              <w:jc w:val="left"/>
              <w:rPr>
                <w:rStyle w:val="Strong"/>
                <w:rFonts w:cstheme="majorHAnsi"/>
                <w:i/>
                <w:iCs/>
                <w:color w:val="ADADAD" w:themeColor="background2" w:themeShade="BF"/>
                <w:sz w:val="16"/>
                <w:szCs w:val="16"/>
                <w:lang w:val="lv-LV"/>
              </w:rPr>
            </w:pPr>
          </w:p>
          <w:p w14:paraId="04BF4E68" w14:textId="41428DE0" w:rsidR="008D3506" w:rsidRPr="00387441" w:rsidRDefault="00223D66" w:rsidP="00223D66">
            <w:pPr>
              <w:pStyle w:val="ListParagraph"/>
              <w:spacing w:after="0"/>
              <w:ind w:left="0" w:right="-107" w:firstLine="404"/>
              <w:contextualSpacing w:val="0"/>
              <w:rPr>
                <w:rStyle w:val="Strong"/>
                <w:rFonts w:cstheme="majorHAnsi"/>
                <w:sz w:val="16"/>
                <w:szCs w:val="16"/>
                <w:lang w:val="lv-LV"/>
              </w:rPr>
            </w:pPr>
            <w:r w:rsidRPr="00387441">
              <w:rPr>
                <w:rStyle w:val="Strong"/>
                <w:rFonts w:cstheme="majorHAnsi"/>
                <w:sz w:val="16"/>
                <w:szCs w:val="16"/>
                <w:lang w:val="lv-LV"/>
              </w:rPr>
              <w:t>6</w:t>
            </w:r>
          </w:p>
          <w:p w14:paraId="634AF5B9" w14:textId="77777777" w:rsidR="004E5C07" w:rsidRPr="00387441" w:rsidRDefault="004E5C07" w:rsidP="004E5C07">
            <w:pPr>
              <w:spacing w:after="0"/>
              <w:ind w:right="-107" w:firstLine="0"/>
              <w:jc w:val="center"/>
              <w:rPr>
                <w:rStyle w:val="Strong"/>
                <w:rFonts w:cstheme="majorHAnsi"/>
                <w:i/>
                <w:iCs/>
                <w:color w:val="ADADAD" w:themeColor="background2" w:themeShade="BF"/>
                <w:sz w:val="16"/>
                <w:szCs w:val="16"/>
                <w:lang w:val="lv-LV"/>
              </w:rPr>
            </w:pPr>
          </w:p>
          <w:p w14:paraId="5470776B" w14:textId="5E7901E7" w:rsidR="00060A08" w:rsidRPr="00387441" w:rsidRDefault="008D3506" w:rsidP="004E5C07">
            <w:pPr>
              <w:spacing w:after="0"/>
              <w:ind w:right="-107" w:firstLine="0"/>
              <w:jc w:val="center"/>
              <w:rPr>
                <w:rStyle w:val="Strong"/>
                <w:rFonts w:cstheme="majorHAnsi"/>
                <w:b w:val="0"/>
                <w:bCs w:val="0"/>
                <w:i/>
                <w:iCs/>
                <w:color w:val="ADADAD" w:themeColor="background2" w:themeShade="BF"/>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9</w:t>
            </w:r>
            <w:r w:rsidRPr="00387441">
              <w:rPr>
                <w:rStyle w:val="Strong"/>
                <w:rFonts w:cstheme="majorHAnsi"/>
                <w:i/>
                <w:iCs/>
                <w:color w:val="ADADAD" w:themeColor="background2" w:themeShade="BF"/>
                <w:sz w:val="16"/>
                <w:szCs w:val="16"/>
                <w:lang w:val="lv-LV"/>
              </w:rPr>
              <w:t>)</w:t>
            </w:r>
          </w:p>
        </w:tc>
        <w:tc>
          <w:tcPr>
            <w:tcW w:w="1134" w:type="dxa"/>
            <w:shd w:val="clear" w:color="auto" w:fill="auto"/>
            <w:vAlign w:val="center"/>
          </w:tcPr>
          <w:p w14:paraId="67F61D37" w14:textId="77777777" w:rsidR="008D3506" w:rsidRPr="00387441" w:rsidRDefault="008D3506" w:rsidP="008D3506">
            <w:pPr>
              <w:pStyle w:val="ListParagraph"/>
              <w:spacing w:after="0"/>
              <w:ind w:left="0" w:right="-107" w:firstLine="175"/>
              <w:contextualSpacing w:val="0"/>
              <w:jc w:val="center"/>
              <w:rPr>
                <w:rStyle w:val="Strong"/>
                <w:rFonts w:cstheme="majorHAnsi"/>
                <w:i/>
                <w:iCs/>
                <w:color w:val="ADADAD" w:themeColor="background2" w:themeShade="BF"/>
                <w:sz w:val="16"/>
                <w:szCs w:val="16"/>
                <w:lang w:val="lv-LV"/>
              </w:rPr>
            </w:pPr>
          </w:p>
          <w:p w14:paraId="0A69A404" w14:textId="264C2883" w:rsidR="008D3506" w:rsidRPr="00387441" w:rsidRDefault="00223D66" w:rsidP="00223D66">
            <w:pPr>
              <w:pStyle w:val="ListParagraph"/>
              <w:spacing w:after="0"/>
              <w:ind w:left="0" w:right="-107" w:firstLine="175"/>
              <w:contextualSpacing w:val="0"/>
              <w:jc w:val="center"/>
              <w:rPr>
                <w:rStyle w:val="Strong"/>
                <w:rFonts w:cstheme="majorHAnsi"/>
                <w:sz w:val="16"/>
                <w:szCs w:val="16"/>
                <w:lang w:val="lv-LV"/>
              </w:rPr>
            </w:pPr>
            <w:r w:rsidRPr="00387441">
              <w:rPr>
                <w:rStyle w:val="Strong"/>
                <w:rFonts w:cstheme="majorHAnsi"/>
                <w:sz w:val="16"/>
                <w:szCs w:val="16"/>
                <w:lang w:val="lv-LV"/>
              </w:rPr>
              <w:t>187</w:t>
            </w:r>
          </w:p>
          <w:p w14:paraId="6DC5F5F1" w14:textId="77777777" w:rsidR="004E5C07" w:rsidRPr="00387441" w:rsidRDefault="004E5C07" w:rsidP="004E5C07">
            <w:pPr>
              <w:spacing w:after="0"/>
              <w:ind w:right="-107" w:firstLine="0"/>
              <w:jc w:val="center"/>
              <w:rPr>
                <w:rStyle w:val="Strong"/>
                <w:rFonts w:cstheme="majorHAnsi"/>
                <w:i/>
                <w:iCs/>
                <w:color w:val="ADADAD" w:themeColor="background2" w:themeShade="BF"/>
                <w:sz w:val="16"/>
                <w:szCs w:val="16"/>
                <w:lang w:val="lv-LV"/>
              </w:rPr>
            </w:pPr>
          </w:p>
          <w:p w14:paraId="5CC1F09F" w14:textId="03EE7332" w:rsidR="00E126AD" w:rsidRPr="00387441" w:rsidRDefault="008D3506" w:rsidP="004E5C07">
            <w:pPr>
              <w:spacing w:after="0"/>
              <w:ind w:right="-107" w:firstLine="0"/>
              <w:jc w:val="center"/>
              <w:rPr>
                <w:rStyle w:val="Strong"/>
                <w:rFonts w:cstheme="majorHAnsi"/>
                <w:b w:val="0"/>
                <w:bCs w:val="0"/>
                <w:i/>
                <w:iCs/>
                <w:color w:val="ADADAD" w:themeColor="background2" w:themeShade="BF"/>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424</w:t>
            </w:r>
            <w:r w:rsidRPr="00387441">
              <w:rPr>
                <w:rStyle w:val="Strong"/>
                <w:rFonts w:cstheme="majorHAnsi"/>
                <w:i/>
                <w:iCs/>
                <w:color w:val="ADADAD" w:themeColor="background2" w:themeShade="BF"/>
                <w:sz w:val="16"/>
                <w:szCs w:val="16"/>
                <w:lang w:val="lv-LV"/>
              </w:rPr>
              <w:t>)</w:t>
            </w:r>
          </w:p>
        </w:tc>
        <w:tc>
          <w:tcPr>
            <w:tcW w:w="1559" w:type="dxa"/>
            <w:shd w:val="clear" w:color="auto" w:fill="auto"/>
            <w:vAlign w:val="center"/>
          </w:tcPr>
          <w:p w14:paraId="6F97D907" w14:textId="77777777" w:rsidR="008D3506" w:rsidRPr="00387441" w:rsidRDefault="008D3506" w:rsidP="00F34799">
            <w:pPr>
              <w:pStyle w:val="ListParagraph"/>
              <w:spacing w:after="0"/>
              <w:ind w:left="0" w:right="-107"/>
              <w:contextualSpacing w:val="0"/>
              <w:jc w:val="left"/>
              <w:rPr>
                <w:rStyle w:val="Strong"/>
                <w:rFonts w:cstheme="majorHAnsi"/>
                <w:i/>
                <w:iCs/>
                <w:color w:val="ADADAD" w:themeColor="background2" w:themeShade="BF"/>
                <w:sz w:val="16"/>
                <w:szCs w:val="16"/>
                <w:lang w:val="lv-LV"/>
              </w:rPr>
            </w:pPr>
          </w:p>
          <w:p w14:paraId="22161531" w14:textId="6A0F752F" w:rsidR="008D3506" w:rsidRPr="00387441" w:rsidRDefault="00223D66" w:rsidP="00223D66">
            <w:pPr>
              <w:pStyle w:val="ListParagraph"/>
              <w:spacing w:after="0"/>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73</w:t>
            </w:r>
          </w:p>
          <w:p w14:paraId="7B303858" w14:textId="77777777" w:rsidR="004E5C07" w:rsidRPr="00387441" w:rsidRDefault="004E5C07" w:rsidP="004E5C07">
            <w:pPr>
              <w:spacing w:after="0"/>
              <w:ind w:right="-107" w:firstLine="0"/>
              <w:jc w:val="center"/>
              <w:rPr>
                <w:rStyle w:val="Strong"/>
                <w:rFonts w:cstheme="majorHAnsi"/>
                <w:i/>
                <w:iCs/>
                <w:color w:val="ADADAD" w:themeColor="background2" w:themeShade="BF"/>
                <w:sz w:val="16"/>
                <w:szCs w:val="16"/>
                <w:lang w:val="lv-LV"/>
              </w:rPr>
            </w:pPr>
          </w:p>
          <w:p w14:paraId="7ED6095E" w14:textId="7D59DAEA" w:rsidR="00060A08" w:rsidRPr="00387441" w:rsidRDefault="008D3506" w:rsidP="004E5C07">
            <w:pPr>
              <w:spacing w:after="0"/>
              <w:ind w:right="-107" w:firstLine="0"/>
              <w:jc w:val="center"/>
              <w:rPr>
                <w:rStyle w:val="Strong"/>
                <w:rFonts w:cstheme="majorHAnsi"/>
                <w:b w:val="0"/>
                <w:bCs w:val="0"/>
                <w:i/>
                <w:iCs/>
                <w:color w:val="ADADAD" w:themeColor="background2" w:themeShade="BF"/>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751</w:t>
            </w:r>
            <w:r w:rsidRPr="00387441">
              <w:rPr>
                <w:rStyle w:val="Strong"/>
                <w:rFonts w:cstheme="majorHAnsi"/>
                <w:i/>
                <w:iCs/>
                <w:color w:val="ADADAD" w:themeColor="background2" w:themeShade="BF"/>
                <w:sz w:val="16"/>
                <w:szCs w:val="16"/>
                <w:lang w:val="lv-LV"/>
              </w:rPr>
              <w:t>)</w:t>
            </w:r>
          </w:p>
        </w:tc>
      </w:tr>
      <w:tr w:rsidR="00060A08" w:rsidRPr="00387441" w14:paraId="665504D9" w14:textId="77777777" w:rsidTr="00D35C5C">
        <w:trPr>
          <w:trHeight w:val="901"/>
        </w:trPr>
        <w:tc>
          <w:tcPr>
            <w:tcW w:w="1647" w:type="dxa"/>
            <w:tcBorders>
              <w:left w:val="single" w:sz="8" w:space="0" w:color="auto"/>
              <w:right w:val="single" w:sz="8" w:space="0" w:color="auto"/>
            </w:tcBorders>
            <w:shd w:val="clear" w:color="auto" w:fill="DAE9F7" w:themeFill="text2" w:themeFillTint="1A"/>
            <w:vAlign w:val="center"/>
          </w:tcPr>
          <w:p w14:paraId="4B321A14" w14:textId="2E371B1B" w:rsidR="00060A08" w:rsidRPr="00387441" w:rsidRDefault="00E02658" w:rsidP="00FB728E">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Atgūto naudas līdzekļu summa EUR</w:t>
            </w:r>
          </w:p>
        </w:tc>
        <w:tc>
          <w:tcPr>
            <w:tcW w:w="1188" w:type="dxa"/>
            <w:tcBorders>
              <w:left w:val="single" w:sz="8" w:space="0" w:color="auto"/>
            </w:tcBorders>
            <w:shd w:val="clear" w:color="auto" w:fill="auto"/>
          </w:tcPr>
          <w:p w14:paraId="7EBAF353" w14:textId="77777777" w:rsidR="00FB728E" w:rsidRPr="00387441" w:rsidRDefault="00FB728E" w:rsidP="00FB728E">
            <w:pPr>
              <w:pStyle w:val="ListParagraph"/>
              <w:spacing w:after="0" w:line="240" w:lineRule="auto"/>
              <w:ind w:left="0" w:firstLine="0"/>
              <w:rPr>
                <w:rStyle w:val="Strong"/>
                <w:rFonts w:cstheme="majorBidi"/>
                <w:sz w:val="16"/>
                <w:szCs w:val="16"/>
                <w:lang w:val="lv-LV"/>
              </w:rPr>
            </w:pPr>
          </w:p>
          <w:p w14:paraId="2E9597C7" w14:textId="77777777" w:rsidR="00FB728E" w:rsidRPr="00387441" w:rsidRDefault="00FB728E" w:rsidP="00FB728E">
            <w:pPr>
              <w:pStyle w:val="ListParagraph"/>
              <w:spacing w:after="0" w:line="240" w:lineRule="auto"/>
              <w:ind w:left="0" w:firstLine="0"/>
              <w:rPr>
                <w:rStyle w:val="Strong"/>
                <w:rFonts w:cstheme="majorBidi"/>
                <w:sz w:val="16"/>
                <w:szCs w:val="16"/>
                <w:lang w:val="lv-LV"/>
              </w:rPr>
            </w:pPr>
          </w:p>
          <w:p w14:paraId="5C1F59A4" w14:textId="5AB360CE" w:rsidR="00060A08" w:rsidRPr="00387441" w:rsidRDefault="00AD2B1D" w:rsidP="00FB728E">
            <w:pPr>
              <w:pStyle w:val="ListParagraph"/>
              <w:spacing w:after="0" w:line="240" w:lineRule="auto"/>
              <w:ind w:left="0" w:firstLine="0"/>
              <w:jc w:val="center"/>
              <w:rPr>
                <w:rStyle w:val="Strong"/>
                <w:rFonts w:cstheme="majorBidi"/>
                <w:sz w:val="16"/>
                <w:szCs w:val="16"/>
                <w:lang w:val="lv-LV"/>
              </w:rPr>
            </w:pPr>
            <w:r w:rsidRPr="00387441">
              <w:rPr>
                <w:rStyle w:val="Strong"/>
                <w:rFonts w:cstheme="majorBidi"/>
                <w:sz w:val="16"/>
                <w:szCs w:val="16"/>
                <w:lang w:val="lv-LV"/>
              </w:rPr>
              <w:t>104 237,25</w:t>
            </w:r>
          </w:p>
        </w:tc>
        <w:tc>
          <w:tcPr>
            <w:tcW w:w="1276" w:type="dxa"/>
            <w:shd w:val="clear" w:color="auto" w:fill="auto"/>
          </w:tcPr>
          <w:p w14:paraId="09D2364B" w14:textId="77777777" w:rsidR="00FB728E" w:rsidRPr="00387441" w:rsidRDefault="00FB728E" w:rsidP="00FB728E">
            <w:pPr>
              <w:pStyle w:val="ListParagraph"/>
              <w:spacing w:after="0" w:line="240" w:lineRule="auto"/>
              <w:ind w:left="0" w:firstLine="0"/>
              <w:rPr>
                <w:rStyle w:val="Strong"/>
                <w:rFonts w:cstheme="majorHAnsi"/>
                <w:sz w:val="16"/>
                <w:szCs w:val="16"/>
                <w:lang w:val="lv-LV"/>
              </w:rPr>
            </w:pPr>
          </w:p>
          <w:p w14:paraId="79C72F04" w14:textId="77777777" w:rsidR="00FB728E" w:rsidRPr="00387441" w:rsidRDefault="00FB728E" w:rsidP="00FB728E">
            <w:pPr>
              <w:pStyle w:val="ListParagraph"/>
              <w:spacing w:after="0" w:line="240" w:lineRule="auto"/>
              <w:ind w:left="0" w:firstLine="0"/>
              <w:rPr>
                <w:rStyle w:val="Strong"/>
                <w:rFonts w:cstheme="majorHAnsi"/>
                <w:sz w:val="16"/>
                <w:szCs w:val="16"/>
                <w:lang w:val="lv-LV"/>
              </w:rPr>
            </w:pPr>
          </w:p>
          <w:p w14:paraId="751CCCB8" w14:textId="3BEC7812" w:rsidR="00AD2B1D" w:rsidRPr="00387441" w:rsidRDefault="00AD2B1D" w:rsidP="00FB728E">
            <w:pPr>
              <w:pStyle w:val="ListParagraph"/>
              <w:spacing w:after="0" w:line="240" w:lineRule="auto"/>
              <w:ind w:left="0" w:firstLine="0"/>
              <w:jc w:val="center"/>
              <w:rPr>
                <w:rStyle w:val="Strong"/>
                <w:rFonts w:cstheme="majorHAnsi"/>
                <w:sz w:val="16"/>
                <w:szCs w:val="16"/>
                <w:lang w:val="lv-LV"/>
              </w:rPr>
            </w:pPr>
            <w:r w:rsidRPr="00387441">
              <w:rPr>
                <w:rStyle w:val="Strong"/>
                <w:rFonts w:cstheme="majorHAnsi"/>
                <w:sz w:val="16"/>
                <w:szCs w:val="16"/>
                <w:lang w:val="lv-LV"/>
              </w:rPr>
              <w:t>2 380 937,13</w:t>
            </w:r>
          </w:p>
          <w:p w14:paraId="39BEC364" w14:textId="698958E6" w:rsidR="00060A08" w:rsidRPr="00387441" w:rsidRDefault="00060A08" w:rsidP="00FB728E">
            <w:pPr>
              <w:pStyle w:val="ListParagraph"/>
              <w:spacing w:after="0" w:line="240" w:lineRule="auto"/>
              <w:ind w:left="0"/>
              <w:jc w:val="left"/>
              <w:rPr>
                <w:rStyle w:val="Strong"/>
                <w:rFonts w:cstheme="majorBidi"/>
                <w:b w:val="0"/>
                <w:bCs w:val="0"/>
                <w:sz w:val="16"/>
                <w:szCs w:val="16"/>
                <w:lang w:val="lv-LV"/>
              </w:rPr>
            </w:pPr>
          </w:p>
        </w:tc>
        <w:tc>
          <w:tcPr>
            <w:tcW w:w="1418" w:type="dxa"/>
            <w:tcBorders>
              <w:right w:val="single" w:sz="8" w:space="0" w:color="auto"/>
            </w:tcBorders>
            <w:shd w:val="clear" w:color="auto" w:fill="auto"/>
          </w:tcPr>
          <w:p w14:paraId="33DDAFF0" w14:textId="77777777" w:rsidR="00FB728E" w:rsidRPr="00387441" w:rsidRDefault="00FB728E" w:rsidP="00FB728E">
            <w:pPr>
              <w:pStyle w:val="ListParagraph"/>
              <w:spacing w:after="0" w:line="240" w:lineRule="auto"/>
              <w:ind w:left="0" w:firstLine="0"/>
              <w:rPr>
                <w:rStyle w:val="Strong"/>
                <w:rFonts w:cstheme="majorHAnsi"/>
                <w:sz w:val="16"/>
                <w:szCs w:val="16"/>
                <w:lang w:val="lv-LV"/>
              </w:rPr>
            </w:pPr>
          </w:p>
          <w:p w14:paraId="2D797682" w14:textId="77777777" w:rsidR="00FB728E" w:rsidRPr="00387441" w:rsidRDefault="00FB728E" w:rsidP="00FB728E">
            <w:pPr>
              <w:pStyle w:val="ListParagraph"/>
              <w:spacing w:after="0" w:line="240" w:lineRule="auto"/>
              <w:ind w:left="0" w:firstLine="0"/>
              <w:rPr>
                <w:rStyle w:val="Strong"/>
                <w:rFonts w:cstheme="majorHAnsi"/>
                <w:sz w:val="16"/>
                <w:szCs w:val="16"/>
                <w:lang w:val="lv-LV"/>
              </w:rPr>
            </w:pPr>
          </w:p>
          <w:p w14:paraId="05E767C7" w14:textId="69639C8B" w:rsidR="00AD2B1D" w:rsidRPr="00387441" w:rsidRDefault="00AD2B1D" w:rsidP="00FB728E">
            <w:pPr>
              <w:pStyle w:val="ListParagraph"/>
              <w:spacing w:after="0" w:line="240" w:lineRule="auto"/>
              <w:ind w:left="0" w:firstLine="0"/>
              <w:jc w:val="center"/>
              <w:rPr>
                <w:rStyle w:val="Strong"/>
                <w:rFonts w:cstheme="majorHAnsi"/>
                <w:sz w:val="16"/>
                <w:szCs w:val="16"/>
                <w:lang w:val="lv-LV"/>
              </w:rPr>
            </w:pPr>
            <w:r w:rsidRPr="00387441">
              <w:rPr>
                <w:rStyle w:val="Strong"/>
                <w:rFonts w:cstheme="majorHAnsi"/>
                <w:sz w:val="16"/>
                <w:szCs w:val="16"/>
                <w:lang w:val="lv-LV"/>
              </w:rPr>
              <w:t>124 006,61</w:t>
            </w:r>
          </w:p>
          <w:p w14:paraId="510C5CD3" w14:textId="77777777" w:rsidR="008B6DF3" w:rsidRPr="00387441" w:rsidRDefault="008B6DF3" w:rsidP="00FB728E">
            <w:pPr>
              <w:pStyle w:val="ListParagraph"/>
              <w:spacing w:after="0" w:line="240" w:lineRule="auto"/>
              <w:ind w:left="0"/>
              <w:jc w:val="left"/>
              <w:rPr>
                <w:rStyle w:val="Strong"/>
                <w:rFonts w:cstheme="majorBidi"/>
                <w:b w:val="0"/>
                <w:bCs w:val="0"/>
                <w:sz w:val="16"/>
                <w:szCs w:val="16"/>
                <w:lang w:val="lv-LV"/>
              </w:rPr>
            </w:pPr>
          </w:p>
          <w:p w14:paraId="665AB2DC" w14:textId="55245B73" w:rsidR="008B6DF3" w:rsidRPr="00387441" w:rsidRDefault="008B6DF3" w:rsidP="00FB728E">
            <w:pPr>
              <w:pStyle w:val="ListParagraph"/>
              <w:spacing w:after="0" w:line="240" w:lineRule="auto"/>
              <w:ind w:left="0"/>
              <w:jc w:val="left"/>
              <w:rPr>
                <w:rStyle w:val="Strong"/>
                <w:rFonts w:cstheme="majorBidi"/>
                <w:b w:val="0"/>
                <w:bCs w:val="0"/>
                <w:sz w:val="16"/>
                <w:szCs w:val="16"/>
                <w:lang w:val="lv-LV"/>
              </w:rPr>
            </w:pPr>
          </w:p>
        </w:tc>
        <w:tc>
          <w:tcPr>
            <w:tcW w:w="1471" w:type="dxa"/>
            <w:tcBorders>
              <w:left w:val="single" w:sz="8" w:space="0" w:color="auto"/>
              <w:right w:val="single" w:sz="8" w:space="0" w:color="auto"/>
            </w:tcBorders>
            <w:shd w:val="clear" w:color="auto" w:fill="DAE9F7" w:themeFill="text2" w:themeFillTint="1A"/>
            <w:vAlign w:val="center"/>
          </w:tcPr>
          <w:p w14:paraId="408C9277" w14:textId="77777777" w:rsidR="00060A08" w:rsidRPr="00387441" w:rsidRDefault="00060A08" w:rsidP="00FB728E">
            <w:pPr>
              <w:pStyle w:val="ListParagraph"/>
              <w:spacing w:after="0" w:line="240" w:lineRule="auto"/>
              <w:ind w:left="0" w:firstLine="0"/>
              <w:contextualSpacing w:val="0"/>
              <w:jc w:val="left"/>
              <w:rPr>
                <w:rStyle w:val="Strong"/>
                <w:rFonts w:cstheme="majorHAnsi"/>
                <w:sz w:val="16"/>
                <w:szCs w:val="16"/>
                <w:lang w:val="lv-LV"/>
              </w:rPr>
            </w:pPr>
            <w:r w:rsidRPr="00387441">
              <w:rPr>
                <w:rStyle w:val="Strong"/>
                <w:rFonts w:cstheme="majorHAnsi"/>
                <w:sz w:val="16"/>
                <w:szCs w:val="16"/>
                <w:lang w:val="lv-LV"/>
              </w:rPr>
              <w:t>Atklāšanas veids</w:t>
            </w:r>
          </w:p>
        </w:tc>
        <w:tc>
          <w:tcPr>
            <w:tcW w:w="3773" w:type="dxa"/>
            <w:gridSpan w:val="3"/>
            <w:tcBorders>
              <w:left w:val="single" w:sz="8" w:space="0" w:color="auto"/>
            </w:tcBorders>
            <w:shd w:val="clear" w:color="auto" w:fill="auto"/>
            <w:vAlign w:val="center"/>
          </w:tcPr>
          <w:p w14:paraId="6BDBB253" w14:textId="2BD97620" w:rsidR="00060A08" w:rsidRPr="00387441" w:rsidRDefault="00546B8F" w:rsidP="00546B8F">
            <w:pPr>
              <w:pStyle w:val="ListParagraph"/>
              <w:spacing w:after="0" w:line="240" w:lineRule="auto"/>
              <w:ind w:left="0" w:firstLine="0"/>
              <w:contextualSpacing w:val="0"/>
              <w:jc w:val="center"/>
              <w:rPr>
                <w:rStyle w:val="Strong"/>
                <w:rFonts w:cstheme="majorHAnsi"/>
                <w:b w:val="0"/>
                <w:bCs w:val="0"/>
                <w:sz w:val="16"/>
                <w:szCs w:val="16"/>
                <w:lang w:val="lv-LV"/>
              </w:rPr>
            </w:pPr>
            <w:r w:rsidRPr="00002007">
              <w:rPr>
                <w:rFonts w:cstheme="majorHAnsi"/>
                <w:b/>
                <w:bCs/>
                <w:sz w:val="16"/>
                <w:szCs w:val="16"/>
                <w:lang w:val="lv-LV"/>
              </w:rPr>
              <w:t>Administratīvās pārbaudes (maksājumu pieprasījumu pārbaude, dokumentu pārbaude, atbalsta saņemšanas nosacījumu pārbaude) un pārbaudes uz vietas.</w:t>
            </w:r>
          </w:p>
        </w:tc>
      </w:tr>
      <w:tr w:rsidR="00060A08" w:rsidRPr="00387441" w14:paraId="14A3B8C3" w14:textId="77777777" w:rsidTr="009862AC">
        <w:trPr>
          <w:trHeight w:val="492"/>
        </w:trPr>
        <w:tc>
          <w:tcPr>
            <w:tcW w:w="1647" w:type="dxa"/>
            <w:tcBorders>
              <w:top w:val="nil"/>
              <w:left w:val="nil"/>
              <w:bottom w:val="single" w:sz="4" w:space="0" w:color="auto"/>
              <w:right w:val="single" w:sz="8" w:space="0" w:color="auto"/>
            </w:tcBorders>
            <w:shd w:val="clear" w:color="auto" w:fill="auto"/>
            <w:vAlign w:val="center"/>
          </w:tcPr>
          <w:p w14:paraId="66A7EBD8" w14:textId="64EA8E30" w:rsidR="00060A08" w:rsidRPr="00387441" w:rsidRDefault="00060A08" w:rsidP="008D3506">
            <w:pPr>
              <w:pStyle w:val="ListParagraph"/>
              <w:spacing w:after="0" w:line="240" w:lineRule="auto"/>
              <w:ind w:left="0" w:firstLine="0"/>
              <w:contextualSpacing w:val="0"/>
              <w:jc w:val="center"/>
              <w:rPr>
                <w:rStyle w:val="Strong"/>
                <w:rFonts w:cstheme="majorHAnsi"/>
                <w:sz w:val="20"/>
                <w:szCs w:val="20"/>
                <w:lang w:val="lv-LV"/>
              </w:rPr>
            </w:pPr>
            <w:bookmarkStart w:id="71" w:name="_Hlk160434219"/>
            <w:r w:rsidRPr="00387441">
              <w:rPr>
                <w:rStyle w:val="Strong"/>
                <w:rFonts w:cstheme="majorHAnsi"/>
                <w:sz w:val="20"/>
                <w:szCs w:val="20"/>
                <w:lang w:val="lv-LV"/>
              </w:rPr>
              <w:t>2021-2027</w:t>
            </w:r>
          </w:p>
        </w:tc>
        <w:tc>
          <w:tcPr>
            <w:tcW w:w="1188" w:type="dxa"/>
            <w:tcBorders>
              <w:left w:val="single" w:sz="8" w:space="0" w:color="auto"/>
              <w:bottom w:val="single" w:sz="4" w:space="0" w:color="auto"/>
            </w:tcBorders>
            <w:shd w:val="clear" w:color="auto" w:fill="4C94D8" w:themeFill="text2" w:themeFillTint="80"/>
            <w:vAlign w:val="center"/>
          </w:tcPr>
          <w:p w14:paraId="530FB6B4" w14:textId="77777777" w:rsidR="00060A08" w:rsidRPr="00387441" w:rsidRDefault="00060A08" w:rsidP="008D3506">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EJZAF</w:t>
            </w:r>
          </w:p>
        </w:tc>
        <w:tc>
          <w:tcPr>
            <w:tcW w:w="1276" w:type="dxa"/>
            <w:tcBorders>
              <w:bottom w:val="single" w:sz="4" w:space="0" w:color="auto"/>
            </w:tcBorders>
            <w:shd w:val="clear" w:color="auto" w:fill="4C94D8" w:themeFill="text2" w:themeFillTint="80"/>
            <w:vAlign w:val="center"/>
          </w:tcPr>
          <w:p w14:paraId="1CE0ED30" w14:textId="77777777" w:rsidR="00060A08" w:rsidRPr="00387441" w:rsidRDefault="00060A08" w:rsidP="008D3506">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ELFLA</w:t>
            </w:r>
          </w:p>
        </w:tc>
        <w:tc>
          <w:tcPr>
            <w:tcW w:w="1418" w:type="dxa"/>
            <w:tcBorders>
              <w:bottom w:val="single" w:sz="4" w:space="0" w:color="auto"/>
              <w:right w:val="single" w:sz="4" w:space="0" w:color="auto"/>
            </w:tcBorders>
            <w:shd w:val="clear" w:color="auto" w:fill="4C94D8" w:themeFill="text2" w:themeFillTint="80"/>
            <w:vAlign w:val="center"/>
          </w:tcPr>
          <w:p w14:paraId="7BF7FD16" w14:textId="77777777" w:rsidR="00060A08" w:rsidRPr="00387441" w:rsidRDefault="00060A08" w:rsidP="008D3506">
            <w:pPr>
              <w:pStyle w:val="ListParagraph"/>
              <w:spacing w:after="0" w:line="240" w:lineRule="auto"/>
              <w:ind w:left="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ELGF</w:t>
            </w:r>
          </w:p>
        </w:tc>
        <w:tc>
          <w:tcPr>
            <w:tcW w:w="1471" w:type="dxa"/>
            <w:tcBorders>
              <w:top w:val="nil"/>
              <w:left w:val="single" w:sz="8" w:space="0" w:color="auto"/>
              <w:bottom w:val="single" w:sz="4" w:space="0" w:color="auto"/>
              <w:right w:val="single" w:sz="8" w:space="0" w:color="auto"/>
            </w:tcBorders>
            <w:shd w:val="clear" w:color="auto" w:fill="auto"/>
            <w:vAlign w:val="center"/>
          </w:tcPr>
          <w:p w14:paraId="73B52D19" w14:textId="77777777" w:rsidR="00060A08" w:rsidRPr="00387441" w:rsidRDefault="00060A08" w:rsidP="008D3506">
            <w:pPr>
              <w:pStyle w:val="ListParagraph"/>
              <w:spacing w:after="0" w:line="240" w:lineRule="auto"/>
              <w:ind w:left="0"/>
              <w:contextualSpacing w:val="0"/>
              <w:jc w:val="center"/>
              <w:rPr>
                <w:rStyle w:val="Strong"/>
                <w:rFonts w:cstheme="majorHAnsi"/>
                <w:color w:val="FFFFFF" w:themeColor="background1"/>
                <w:sz w:val="16"/>
                <w:szCs w:val="16"/>
                <w:lang w:val="lv-LV"/>
              </w:rPr>
            </w:pPr>
          </w:p>
        </w:tc>
        <w:tc>
          <w:tcPr>
            <w:tcW w:w="1080" w:type="dxa"/>
            <w:tcBorders>
              <w:left w:val="single" w:sz="8" w:space="0" w:color="auto"/>
              <w:bottom w:val="single" w:sz="4" w:space="0" w:color="auto"/>
            </w:tcBorders>
            <w:shd w:val="clear" w:color="auto" w:fill="4C94D8" w:themeFill="text2" w:themeFillTint="80"/>
            <w:vAlign w:val="center"/>
          </w:tcPr>
          <w:p w14:paraId="08901EE2" w14:textId="77777777" w:rsidR="00060A08" w:rsidRPr="00387441" w:rsidRDefault="00060A08" w:rsidP="008D3506">
            <w:pPr>
              <w:pStyle w:val="ListParagraph"/>
              <w:spacing w:after="0" w:line="240" w:lineRule="auto"/>
              <w:ind w:left="0" w:firstLine="0"/>
              <w:jc w:val="center"/>
              <w:rPr>
                <w:rStyle w:val="Strong"/>
                <w:rFonts w:cstheme="majorBidi"/>
                <w:color w:val="FFFFFF" w:themeColor="background1"/>
                <w:sz w:val="16"/>
                <w:szCs w:val="16"/>
                <w:lang w:val="lv-LV"/>
              </w:rPr>
            </w:pPr>
            <w:r w:rsidRPr="00387441">
              <w:rPr>
                <w:rStyle w:val="Strong"/>
                <w:rFonts w:cstheme="majorBidi"/>
                <w:color w:val="FFFFFF" w:themeColor="background1"/>
                <w:sz w:val="16"/>
                <w:szCs w:val="16"/>
                <w:lang w:val="lv-LV"/>
              </w:rPr>
              <w:t>EJZAF</w:t>
            </w:r>
          </w:p>
        </w:tc>
        <w:tc>
          <w:tcPr>
            <w:tcW w:w="1134" w:type="dxa"/>
            <w:tcBorders>
              <w:bottom w:val="single" w:sz="4" w:space="0" w:color="auto"/>
            </w:tcBorders>
            <w:shd w:val="clear" w:color="auto" w:fill="4C94D8" w:themeFill="text2" w:themeFillTint="80"/>
            <w:vAlign w:val="center"/>
          </w:tcPr>
          <w:p w14:paraId="1BFD6EE3" w14:textId="77777777" w:rsidR="00060A08" w:rsidRPr="00387441" w:rsidRDefault="00060A08" w:rsidP="008D3506">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ELFLA</w:t>
            </w:r>
          </w:p>
        </w:tc>
        <w:tc>
          <w:tcPr>
            <w:tcW w:w="1559" w:type="dxa"/>
            <w:tcBorders>
              <w:bottom w:val="single" w:sz="4" w:space="0" w:color="auto"/>
            </w:tcBorders>
            <w:shd w:val="clear" w:color="auto" w:fill="4C94D8" w:themeFill="text2" w:themeFillTint="80"/>
            <w:vAlign w:val="center"/>
          </w:tcPr>
          <w:p w14:paraId="6493C970" w14:textId="77777777" w:rsidR="00060A08" w:rsidRPr="00387441" w:rsidRDefault="00060A08" w:rsidP="008D3506">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ELGF</w:t>
            </w:r>
          </w:p>
        </w:tc>
      </w:tr>
      <w:tr w:rsidR="00060A08" w:rsidRPr="00387441" w14:paraId="12A6D64F" w14:textId="77777777" w:rsidTr="00BF2DD7">
        <w:trPr>
          <w:trHeight w:val="354"/>
        </w:trPr>
        <w:tc>
          <w:tcPr>
            <w:tcW w:w="1647" w:type="dxa"/>
            <w:tcBorders>
              <w:left w:val="single" w:sz="8" w:space="0" w:color="auto"/>
              <w:right w:val="single" w:sz="8" w:space="0" w:color="auto"/>
            </w:tcBorders>
            <w:shd w:val="clear" w:color="auto" w:fill="DAE9F7" w:themeFill="text2" w:themeFillTint="1A"/>
            <w:vAlign w:val="center"/>
          </w:tcPr>
          <w:p w14:paraId="0FC5A9D0" w14:textId="77777777" w:rsidR="00060A08" w:rsidRPr="00387441" w:rsidRDefault="00060A08" w:rsidP="00E02658">
            <w:pPr>
              <w:pStyle w:val="ListParagraph"/>
              <w:spacing w:after="0" w:line="240" w:lineRule="auto"/>
              <w:ind w:left="0" w:firstLine="37"/>
              <w:contextualSpacing w:val="0"/>
              <w:jc w:val="center"/>
              <w:rPr>
                <w:rStyle w:val="Strong"/>
                <w:rFonts w:cstheme="majorHAnsi"/>
                <w:sz w:val="16"/>
                <w:szCs w:val="16"/>
                <w:lang w:val="lv-LV"/>
              </w:rPr>
            </w:pPr>
            <w:bookmarkStart w:id="72" w:name="_Hlk160434048"/>
            <w:bookmarkEnd w:id="71"/>
            <w:r w:rsidRPr="00387441">
              <w:rPr>
                <w:rStyle w:val="Strong"/>
                <w:rFonts w:cstheme="majorHAnsi"/>
                <w:sz w:val="16"/>
                <w:szCs w:val="16"/>
                <w:lang w:val="lv-LV"/>
              </w:rPr>
              <w:t>Neatbilstoši veikto izdevumu summa</w:t>
            </w:r>
            <w:r w:rsidR="00E02658" w:rsidRPr="00387441">
              <w:rPr>
                <w:rStyle w:val="Strong"/>
                <w:rFonts w:cstheme="majorHAnsi"/>
                <w:sz w:val="16"/>
                <w:szCs w:val="16"/>
                <w:lang w:val="lv-LV"/>
              </w:rPr>
              <w:t xml:space="preserve"> EUR</w:t>
            </w:r>
          </w:p>
          <w:p w14:paraId="67F3D9F8" w14:textId="2D103BB9" w:rsidR="00E126AD" w:rsidRPr="00387441" w:rsidRDefault="00E126AD" w:rsidP="00E02658">
            <w:pPr>
              <w:pStyle w:val="ListParagraph"/>
              <w:spacing w:after="0" w:line="240" w:lineRule="auto"/>
              <w:ind w:left="0" w:firstLine="37"/>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1188" w:type="dxa"/>
            <w:tcBorders>
              <w:left w:val="single" w:sz="8" w:space="0" w:color="auto"/>
            </w:tcBorders>
            <w:shd w:val="clear" w:color="auto" w:fill="auto"/>
            <w:vAlign w:val="center"/>
          </w:tcPr>
          <w:p w14:paraId="612D7500" w14:textId="77777777" w:rsidR="00E126AD" w:rsidRPr="00387441" w:rsidRDefault="00E126AD" w:rsidP="008D3506">
            <w:pPr>
              <w:pStyle w:val="ListParagraph"/>
              <w:spacing w:after="0" w:line="240" w:lineRule="auto"/>
              <w:ind w:left="0" w:right="-107" w:firstLine="0"/>
              <w:jc w:val="left"/>
              <w:rPr>
                <w:rStyle w:val="Strong"/>
                <w:rFonts w:cstheme="majorBidi"/>
                <w:i/>
                <w:iCs/>
                <w:color w:val="ADADAD" w:themeColor="background2" w:themeShade="BF"/>
                <w:sz w:val="16"/>
                <w:szCs w:val="16"/>
                <w:lang w:val="lv-LV"/>
              </w:rPr>
            </w:pPr>
          </w:p>
          <w:p w14:paraId="022A8D39" w14:textId="49314403" w:rsidR="00E126AD" w:rsidRPr="00387441" w:rsidRDefault="009A72CA" w:rsidP="003F22B4">
            <w:pPr>
              <w:pStyle w:val="ListParagraph"/>
              <w:spacing w:after="0" w:line="240" w:lineRule="auto"/>
              <w:ind w:left="0" w:right="-107" w:firstLine="0"/>
              <w:jc w:val="center"/>
              <w:rPr>
                <w:rStyle w:val="Strong"/>
                <w:rFonts w:cstheme="majorBidi"/>
                <w:sz w:val="16"/>
                <w:szCs w:val="16"/>
                <w:lang w:val="lv-LV"/>
              </w:rPr>
            </w:pPr>
            <w:r w:rsidRPr="00387441">
              <w:rPr>
                <w:rStyle w:val="Strong"/>
                <w:rFonts w:cstheme="majorBidi"/>
                <w:sz w:val="16"/>
                <w:szCs w:val="16"/>
                <w:lang w:val="lv-LV"/>
              </w:rPr>
              <w:t>257</w:t>
            </w:r>
            <w:r w:rsidR="000F4A19" w:rsidRPr="00387441">
              <w:rPr>
                <w:rStyle w:val="Strong"/>
                <w:rFonts w:cstheme="majorBidi"/>
                <w:sz w:val="16"/>
                <w:szCs w:val="16"/>
                <w:lang w:val="lv-LV"/>
              </w:rPr>
              <w:t xml:space="preserve"> </w:t>
            </w:r>
            <w:r w:rsidRPr="00387441">
              <w:rPr>
                <w:rStyle w:val="Strong"/>
                <w:rFonts w:cstheme="majorBidi"/>
                <w:sz w:val="16"/>
                <w:szCs w:val="16"/>
                <w:lang w:val="lv-LV"/>
              </w:rPr>
              <w:t>137,25</w:t>
            </w:r>
          </w:p>
          <w:p w14:paraId="6B52C2CC" w14:textId="77777777" w:rsidR="00E126AD" w:rsidRPr="00387441" w:rsidRDefault="00E126AD" w:rsidP="008D3506">
            <w:pPr>
              <w:pStyle w:val="ListParagraph"/>
              <w:spacing w:after="0" w:line="240" w:lineRule="auto"/>
              <w:ind w:left="0" w:right="-107" w:firstLine="0"/>
              <w:jc w:val="left"/>
              <w:rPr>
                <w:rStyle w:val="Strong"/>
                <w:rFonts w:cstheme="majorBidi"/>
                <w:i/>
                <w:iCs/>
                <w:color w:val="ADADAD" w:themeColor="background2" w:themeShade="BF"/>
                <w:sz w:val="16"/>
                <w:szCs w:val="16"/>
                <w:lang w:val="lv-LV"/>
              </w:rPr>
            </w:pPr>
          </w:p>
          <w:p w14:paraId="10FDE3BA" w14:textId="35788352" w:rsidR="00060A08" w:rsidRPr="00387441" w:rsidRDefault="00E126AD" w:rsidP="003F22B4">
            <w:pPr>
              <w:pStyle w:val="ListParagraph"/>
              <w:spacing w:after="0" w:line="240" w:lineRule="auto"/>
              <w:ind w:left="0" w:right="-107" w:firstLine="0"/>
              <w:jc w:val="center"/>
              <w:rPr>
                <w:rStyle w:val="Strong"/>
                <w:rFonts w:cstheme="majorBidi"/>
                <w:b w:val="0"/>
                <w:bCs w:val="0"/>
                <w:i/>
                <w:iCs/>
                <w:color w:val="ADADAD" w:themeColor="background2" w:themeShade="BF"/>
                <w:sz w:val="16"/>
                <w:szCs w:val="16"/>
                <w:lang w:val="lv-LV"/>
              </w:rPr>
            </w:pPr>
            <w:r w:rsidRPr="00387441">
              <w:rPr>
                <w:rStyle w:val="Strong"/>
                <w:rFonts w:cstheme="majorBidi"/>
                <w:i/>
                <w:iCs/>
                <w:color w:val="ADADAD" w:themeColor="background2" w:themeShade="BF"/>
                <w:sz w:val="16"/>
                <w:szCs w:val="16"/>
                <w:lang w:val="lv-LV"/>
              </w:rPr>
              <w:t>(</w:t>
            </w:r>
            <w:r w:rsidR="00060A08" w:rsidRPr="00387441">
              <w:rPr>
                <w:rStyle w:val="Strong"/>
                <w:rFonts w:cstheme="majorBidi"/>
                <w:i/>
                <w:iCs/>
                <w:color w:val="ADADAD" w:themeColor="background2" w:themeShade="BF"/>
                <w:sz w:val="16"/>
                <w:szCs w:val="16"/>
                <w:lang w:val="lv-LV"/>
              </w:rPr>
              <w:t>1 824.57</w:t>
            </w:r>
            <w:r w:rsidRPr="00387441">
              <w:rPr>
                <w:rStyle w:val="Strong"/>
                <w:rFonts w:cstheme="majorBidi"/>
                <w:i/>
                <w:iCs/>
                <w:color w:val="ADADAD" w:themeColor="background2" w:themeShade="BF"/>
                <w:sz w:val="16"/>
                <w:szCs w:val="16"/>
                <w:lang w:val="lv-LV"/>
              </w:rPr>
              <w:t>)</w:t>
            </w:r>
          </w:p>
        </w:tc>
        <w:tc>
          <w:tcPr>
            <w:tcW w:w="1276" w:type="dxa"/>
            <w:shd w:val="clear" w:color="auto" w:fill="auto"/>
            <w:vAlign w:val="center"/>
          </w:tcPr>
          <w:p w14:paraId="68222863" w14:textId="77777777" w:rsidR="00E126AD" w:rsidRPr="00387441" w:rsidRDefault="00E126AD" w:rsidP="00F34799">
            <w:pPr>
              <w:pStyle w:val="ListParagraph"/>
              <w:spacing w:after="0" w:line="240" w:lineRule="auto"/>
              <w:ind w:left="0" w:right="-107"/>
              <w:contextualSpacing w:val="0"/>
              <w:jc w:val="left"/>
              <w:rPr>
                <w:rStyle w:val="Strong"/>
                <w:rFonts w:cstheme="majorHAnsi"/>
                <w:i/>
                <w:iCs/>
                <w:color w:val="ADADAD" w:themeColor="background2" w:themeShade="BF"/>
                <w:sz w:val="16"/>
                <w:szCs w:val="16"/>
                <w:lang w:val="lv-LV"/>
              </w:rPr>
            </w:pPr>
          </w:p>
          <w:p w14:paraId="67E8CDD1" w14:textId="020AF911" w:rsidR="00E126AD" w:rsidRPr="00387441" w:rsidRDefault="000F4A19" w:rsidP="003F22B4">
            <w:pPr>
              <w:pStyle w:val="ListParagraph"/>
              <w:spacing w:after="0" w:line="240" w:lineRule="auto"/>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98 959,64</w:t>
            </w:r>
          </w:p>
          <w:p w14:paraId="7EEDD92F" w14:textId="77777777" w:rsidR="00E126AD" w:rsidRPr="00387441" w:rsidRDefault="00E126AD" w:rsidP="00E126AD">
            <w:pPr>
              <w:pStyle w:val="ListParagraph"/>
              <w:spacing w:after="0" w:line="240" w:lineRule="auto"/>
              <w:ind w:left="0" w:right="-107" w:firstLine="0"/>
              <w:contextualSpacing w:val="0"/>
              <w:jc w:val="center"/>
              <w:rPr>
                <w:rStyle w:val="Strong"/>
                <w:rFonts w:cstheme="majorHAnsi"/>
                <w:i/>
                <w:iCs/>
                <w:color w:val="ADADAD" w:themeColor="background2" w:themeShade="BF"/>
                <w:sz w:val="16"/>
                <w:szCs w:val="16"/>
                <w:lang w:val="lv-LV"/>
              </w:rPr>
            </w:pPr>
          </w:p>
          <w:p w14:paraId="771607DF" w14:textId="54D80969" w:rsidR="00060A08" w:rsidRPr="00387441" w:rsidRDefault="00E126AD" w:rsidP="00E126AD">
            <w:pPr>
              <w:pStyle w:val="ListParagraph"/>
              <w:spacing w:after="0" w:line="240" w:lineRule="auto"/>
              <w:ind w:left="0" w:right="-107" w:firstLine="0"/>
              <w:contextualSpacing w:val="0"/>
              <w:jc w:val="center"/>
              <w:rPr>
                <w:rStyle w:val="Strong"/>
                <w:rFonts w:cstheme="majorHAnsi"/>
                <w:b w:val="0"/>
                <w:bCs w:val="0"/>
                <w:i/>
                <w:iCs/>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w:t>
            </w:r>
            <w:r w:rsidRPr="00387441">
              <w:rPr>
                <w:rStyle w:val="Strong"/>
                <w:rFonts w:cstheme="majorHAnsi"/>
                <w:i/>
                <w:iCs/>
                <w:color w:val="ADADAD" w:themeColor="background2" w:themeShade="BF"/>
                <w:sz w:val="16"/>
                <w:szCs w:val="16"/>
                <w:lang w:val="lv-LV"/>
              </w:rPr>
              <w:t>)</w:t>
            </w:r>
          </w:p>
        </w:tc>
        <w:tc>
          <w:tcPr>
            <w:tcW w:w="1418" w:type="dxa"/>
            <w:tcBorders>
              <w:right w:val="single" w:sz="4" w:space="0" w:color="auto"/>
            </w:tcBorders>
            <w:shd w:val="clear" w:color="auto" w:fill="auto"/>
            <w:vAlign w:val="center"/>
          </w:tcPr>
          <w:p w14:paraId="6B35D5E2" w14:textId="77777777" w:rsidR="00E126AD" w:rsidRPr="00387441" w:rsidRDefault="00E126AD" w:rsidP="00F34799">
            <w:pPr>
              <w:pStyle w:val="ListParagraph"/>
              <w:spacing w:after="0" w:line="240" w:lineRule="auto"/>
              <w:ind w:left="0" w:right="-107"/>
              <w:contextualSpacing w:val="0"/>
              <w:jc w:val="left"/>
              <w:rPr>
                <w:rStyle w:val="Strong"/>
                <w:rFonts w:cstheme="majorHAnsi"/>
                <w:i/>
                <w:iCs/>
                <w:color w:val="ADADAD" w:themeColor="background2" w:themeShade="BF"/>
                <w:sz w:val="16"/>
                <w:szCs w:val="16"/>
                <w:lang w:val="lv-LV"/>
              </w:rPr>
            </w:pPr>
          </w:p>
          <w:p w14:paraId="45761238" w14:textId="7A01A9B5" w:rsidR="00E126AD" w:rsidRPr="00387441" w:rsidRDefault="000F4A19" w:rsidP="003F22B4">
            <w:pPr>
              <w:pStyle w:val="ListParagraph"/>
              <w:spacing w:after="0" w:line="240" w:lineRule="auto"/>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154 470,60</w:t>
            </w:r>
          </w:p>
          <w:p w14:paraId="3D25976D" w14:textId="77777777" w:rsidR="00E126AD" w:rsidRPr="00387441" w:rsidRDefault="00E126AD" w:rsidP="00F34799">
            <w:pPr>
              <w:pStyle w:val="ListParagraph"/>
              <w:spacing w:after="0" w:line="240" w:lineRule="auto"/>
              <w:ind w:left="0" w:right="-107"/>
              <w:contextualSpacing w:val="0"/>
              <w:jc w:val="left"/>
              <w:rPr>
                <w:rStyle w:val="Strong"/>
                <w:rFonts w:cstheme="majorHAnsi"/>
                <w:i/>
                <w:iCs/>
                <w:color w:val="ADADAD" w:themeColor="background2" w:themeShade="BF"/>
                <w:sz w:val="16"/>
                <w:szCs w:val="16"/>
                <w:lang w:val="lv-LV"/>
              </w:rPr>
            </w:pPr>
          </w:p>
          <w:p w14:paraId="2338E3C9" w14:textId="5DA5CFE6" w:rsidR="00060A08" w:rsidRPr="00387441" w:rsidRDefault="00E126AD" w:rsidP="00F34799">
            <w:pPr>
              <w:pStyle w:val="ListParagraph"/>
              <w:spacing w:after="0" w:line="240" w:lineRule="auto"/>
              <w:ind w:left="0" w:right="-107"/>
              <w:contextualSpacing w:val="0"/>
              <w:jc w:val="left"/>
              <w:rPr>
                <w:rStyle w:val="Strong"/>
                <w:rFonts w:cstheme="majorHAnsi"/>
                <w:b w:val="0"/>
                <w:bCs w:val="0"/>
                <w:sz w:val="16"/>
                <w:szCs w:val="16"/>
                <w:lang w:val="lv-LV"/>
              </w:rPr>
            </w:pPr>
            <w:r w:rsidRPr="00387441">
              <w:rPr>
                <w:rStyle w:val="Strong"/>
                <w:rFonts w:cstheme="majorHAnsi"/>
                <w:i/>
                <w:iCs/>
                <w:color w:val="ADADAD" w:themeColor="background2" w:themeShade="BF"/>
                <w:sz w:val="16"/>
                <w:szCs w:val="16"/>
                <w:lang w:val="lv-LV"/>
              </w:rPr>
              <w:t>(-)</w:t>
            </w:r>
          </w:p>
        </w:tc>
        <w:tc>
          <w:tcPr>
            <w:tcW w:w="1471" w:type="dxa"/>
            <w:tcBorders>
              <w:left w:val="single" w:sz="8" w:space="0" w:color="auto"/>
              <w:right w:val="single" w:sz="8" w:space="0" w:color="auto"/>
            </w:tcBorders>
            <w:shd w:val="clear" w:color="auto" w:fill="DAE9F7" w:themeFill="text2" w:themeFillTint="1A"/>
            <w:vAlign w:val="center"/>
          </w:tcPr>
          <w:p w14:paraId="5EC370DC" w14:textId="77777777" w:rsidR="00060A08" w:rsidRPr="00387441" w:rsidRDefault="00060A08" w:rsidP="008D3506">
            <w:pPr>
              <w:spacing w:after="0" w:line="240" w:lineRule="auto"/>
              <w:ind w:firstLine="0"/>
              <w:jc w:val="center"/>
              <w:rPr>
                <w:rStyle w:val="Strong"/>
                <w:rFonts w:cstheme="majorHAnsi"/>
                <w:sz w:val="16"/>
                <w:szCs w:val="16"/>
                <w:lang w:val="lv-LV"/>
              </w:rPr>
            </w:pPr>
            <w:r w:rsidRPr="00387441">
              <w:rPr>
                <w:rStyle w:val="Strong"/>
                <w:rFonts w:cstheme="majorHAnsi"/>
                <w:sz w:val="16"/>
                <w:szCs w:val="16"/>
                <w:lang w:val="lv-LV"/>
              </w:rPr>
              <w:t>Skaits</w:t>
            </w:r>
          </w:p>
          <w:p w14:paraId="6BD747A5" w14:textId="77777777" w:rsidR="00E126AD" w:rsidRPr="00387441" w:rsidRDefault="00E126AD" w:rsidP="008D3506">
            <w:pPr>
              <w:spacing w:after="0" w:line="240" w:lineRule="auto"/>
              <w:ind w:firstLine="0"/>
              <w:jc w:val="center"/>
              <w:rPr>
                <w:rStyle w:val="Strong"/>
                <w:rFonts w:cstheme="majorHAnsi"/>
                <w:i/>
                <w:iCs/>
                <w:color w:val="A6A6A6" w:themeColor="background1" w:themeShade="A6"/>
                <w:sz w:val="16"/>
                <w:szCs w:val="16"/>
                <w:lang w:val="lv-LV"/>
              </w:rPr>
            </w:pPr>
          </w:p>
          <w:p w14:paraId="58874D8A" w14:textId="0C7E7EE8" w:rsidR="00E126AD" w:rsidRPr="00387441" w:rsidRDefault="00E126AD" w:rsidP="008D3506">
            <w:pPr>
              <w:spacing w:after="0" w:line="240" w:lineRule="auto"/>
              <w:ind w:firstLine="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1080" w:type="dxa"/>
            <w:tcBorders>
              <w:left w:val="single" w:sz="8" w:space="0" w:color="auto"/>
            </w:tcBorders>
            <w:shd w:val="clear" w:color="auto" w:fill="auto"/>
            <w:vAlign w:val="center"/>
          </w:tcPr>
          <w:p w14:paraId="35402167" w14:textId="77777777" w:rsidR="00E126AD" w:rsidRPr="00387441" w:rsidRDefault="00E126AD" w:rsidP="00E126AD">
            <w:pPr>
              <w:pStyle w:val="ListParagraph"/>
              <w:spacing w:after="0" w:line="240" w:lineRule="auto"/>
              <w:ind w:left="0" w:firstLine="0"/>
              <w:contextualSpacing w:val="0"/>
              <w:jc w:val="center"/>
              <w:rPr>
                <w:rStyle w:val="Strong"/>
                <w:rFonts w:cstheme="majorHAnsi"/>
                <w:i/>
                <w:iCs/>
                <w:color w:val="ADADAD" w:themeColor="background2" w:themeShade="BF"/>
                <w:sz w:val="16"/>
                <w:szCs w:val="16"/>
                <w:lang w:val="lv-LV"/>
              </w:rPr>
            </w:pPr>
          </w:p>
          <w:p w14:paraId="6EEFB7E1" w14:textId="03379AB4" w:rsidR="00E126AD" w:rsidRPr="00387441" w:rsidRDefault="006163A5" w:rsidP="00E126AD">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7</w:t>
            </w:r>
          </w:p>
          <w:p w14:paraId="7BCFB4A9" w14:textId="77777777" w:rsidR="00E126AD" w:rsidRPr="00387441" w:rsidRDefault="00E126AD" w:rsidP="00E126AD">
            <w:pPr>
              <w:pStyle w:val="ListParagraph"/>
              <w:spacing w:after="0" w:line="240" w:lineRule="auto"/>
              <w:ind w:left="0" w:firstLine="0"/>
              <w:contextualSpacing w:val="0"/>
              <w:jc w:val="center"/>
              <w:rPr>
                <w:rStyle w:val="Strong"/>
                <w:rFonts w:cstheme="majorHAnsi"/>
                <w:i/>
                <w:iCs/>
                <w:color w:val="ADADAD" w:themeColor="background2" w:themeShade="BF"/>
                <w:sz w:val="16"/>
                <w:szCs w:val="16"/>
                <w:lang w:val="lv-LV"/>
              </w:rPr>
            </w:pPr>
          </w:p>
          <w:p w14:paraId="59B697D3" w14:textId="71B9B132" w:rsidR="00060A08" w:rsidRPr="00387441" w:rsidRDefault="00E126AD" w:rsidP="00E126AD">
            <w:pPr>
              <w:pStyle w:val="ListParagraph"/>
              <w:spacing w:after="0" w:line="240" w:lineRule="auto"/>
              <w:ind w:left="0" w:firstLine="0"/>
              <w:contextualSpacing w:val="0"/>
              <w:jc w:val="center"/>
              <w:rPr>
                <w:rStyle w:val="Strong"/>
                <w:rFonts w:cstheme="majorHAnsi"/>
                <w:b w:val="0"/>
                <w:bCs w:val="0"/>
                <w:i/>
                <w:iCs/>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4</w:t>
            </w:r>
            <w:r w:rsidRPr="00387441">
              <w:rPr>
                <w:rStyle w:val="Strong"/>
                <w:rFonts w:cstheme="majorHAnsi"/>
                <w:i/>
                <w:iCs/>
                <w:color w:val="ADADAD" w:themeColor="background2" w:themeShade="BF"/>
                <w:sz w:val="16"/>
                <w:szCs w:val="16"/>
                <w:lang w:val="lv-LV"/>
              </w:rPr>
              <w:t>)</w:t>
            </w:r>
          </w:p>
        </w:tc>
        <w:tc>
          <w:tcPr>
            <w:tcW w:w="1134" w:type="dxa"/>
            <w:shd w:val="clear" w:color="auto" w:fill="auto"/>
            <w:vAlign w:val="center"/>
          </w:tcPr>
          <w:p w14:paraId="6A36DA8E" w14:textId="77777777" w:rsidR="00060A08" w:rsidRPr="00387441" w:rsidRDefault="00060A08" w:rsidP="00E126AD">
            <w:pPr>
              <w:pStyle w:val="ListParagraph"/>
              <w:spacing w:after="0" w:line="240" w:lineRule="auto"/>
              <w:ind w:left="0"/>
              <w:contextualSpacing w:val="0"/>
              <w:jc w:val="center"/>
              <w:rPr>
                <w:rStyle w:val="Strong"/>
                <w:rFonts w:cstheme="majorHAnsi"/>
                <w:b w:val="0"/>
                <w:bCs w:val="0"/>
                <w:sz w:val="16"/>
                <w:szCs w:val="16"/>
                <w:lang w:val="lv-LV"/>
              </w:rPr>
            </w:pPr>
          </w:p>
          <w:p w14:paraId="1762A99A" w14:textId="158658DA" w:rsidR="00E126AD" w:rsidRPr="00387441" w:rsidRDefault="006163A5" w:rsidP="006163A5">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145</w:t>
            </w:r>
          </w:p>
          <w:p w14:paraId="10946067" w14:textId="77777777" w:rsidR="00E126AD" w:rsidRPr="00387441" w:rsidRDefault="00E126AD" w:rsidP="00E126AD">
            <w:pPr>
              <w:pStyle w:val="ListParagraph"/>
              <w:spacing w:after="0" w:line="240" w:lineRule="auto"/>
              <w:ind w:left="0"/>
              <w:contextualSpacing w:val="0"/>
              <w:jc w:val="center"/>
              <w:rPr>
                <w:rStyle w:val="Strong"/>
                <w:rFonts w:cstheme="majorHAnsi"/>
                <w:b w:val="0"/>
                <w:bCs w:val="0"/>
                <w:sz w:val="16"/>
                <w:szCs w:val="16"/>
                <w:lang w:val="lv-LV"/>
              </w:rPr>
            </w:pPr>
          </w:p>
          <w:p w14:paraId="4CEB5AAF" w14:textId="2742FEA0" w:rsidR="00E126AD" w:rsidRPr="00387441" w:rsidRDefault="00E126AD" w:rsidP="00E126AD">
            <w:pPr>
              <w:pStyle w:val="ListParagraph"/>
              <w:spacing w:after="0" w:line="240" w:lineRule="auto"/>
              <w:ind w:left="0" w:firstLine="175"/>
              <w:contextualSpacing w:val="0"/>
              <w:jc w:val="center"/>
              <w:rPr>
                <w:rStyle w:val="Strong"/>
                <w:rFonts w:cstheme="majorHAnsi"/>
                <w:b w:val="0"/>
                <w:bCs w:val="0"/>
                <w:sz w:val="16"/>
                <w:szCs w:val="16"/>
                <w:lang w:val="lv-LV"/>
              </w:rPr>
            </w:pPr>
            <w:r w:rsidRPr="00387441">
              <w:rPr>
                <w:rStyle w:val="Strong"/>
                <w:rFonts w:cstheme="majorHAnsi"/>
                <w:i/>
                <w:iCs/>
                <w:color w:val="ADADAD" w:themeColor="background2" w:themeShade="BF"/>
                <w:sz w:val="16"/>
                <w:szCs w:val="16"/>
                <w:lang w:val="lv-LV"/>
              </w:rPr>
              <w:t>(-)</w:t>
            </w:r>
          </w:p>
        </w:tc>
        <w:tc>
          <w:tcPr>
            <w:tcW w:w="1559" w:type="dxa"/>
            <w:shd w:val="clear" w:color="auto" w:fill="auto"/>
            <w:vAlign w:val="center"/>
          </w:tcPr>
          <w:p w14:paraId="36C24FE8" w14:textId="77777777" w:rsidR="00060A08" w:rsidRPr="00387441" w:rsidRDefault="00060A08" w:rsidP="00E126AD">
            <w:pPr>
              <w:pStyle w:val="ListParagraph"/>
              <w:spacing w:after="0" w:line="240" w:lineRule="auto"/>
              <w:ind w:left="0"/>
              <w:contextualSpacing w:val="0"/>
              <w:jc w:val="center"/>
              <w:rPr>
                <w:rStyle w:val="Strong"/>
                <w:rFonts w:cstheme="majorHAnsi"/>
                <w:b w:val="0"/>
                <w:bCs w:val="0"/>
                <w:sz w:val="16"/>
                <w:szCs w:val="16"/>
                <w:lang w:val="lv-LV"/>
              </w:rPr>
            </w:pPr>
          </w:p>
          <w:p w14:paraId="7183DA9F" w14:textId="79C487DE" w:rsidR="00E126AD" w:rsidRPr="00387441" w:rsidRDefault="006163A5" w:rsidP="006163A5">
            <w:pPr>
              <w:pStyle w:val="ListParagraph"/>
              <w:spacing w:after="0" w:line="240" w:lineRule="auto"/>
              <w:ind w:left="0" w:firstLine="467"/>
              <w:contextualSpacing w:val="0"/>
              <w:rPr>
                <w:rStyle w:val="Strong"/>
                <w:rFonts w:cstheme="majorHAnsi"/>
                <w:sz w:val="16"/>
                <w:szCs w:val="16"/>
                <w:lang w:val="lv-LV"/>
              </w:rPr>
            </w:pPr>
            <w:r w:rsidRPr="00387441">
              <w:rPr>
                <w:rStyle w:val="Strong"/>
                <w:rFonts w:cstheme="majorHAnsi"/>
                <w:sz w:val="16"/>
                <w:szCs w:val="16"/>
                <w:lang w:val="lv-LV"/>
              </w:rPr>
              <w:t>542</w:t>
            </w:r>
          </w:p>
          <w:p w14:paraId="091297E2" w14:textId="77777777" w:rsidR="00E126AD" w:rsidRPr="00387441" w:rsidRDefault="00E126AD" w:rsidP="00E126AD">
            <w:pPr>
              <w:pStyle w:val="ListParagraph"/>
              <w:spacing w:after="0" w:line="240" w:lineRule="auto"/>
              <w:ind w:left="0"/>
              <w:contextualSpacing w:val="0"/>
              <w:jc w:val="center"/>
              <w:rPr>
                <w:rStyle w:val="Strong"/>
                <w:rFonts w:cstheme="majorHAnsi"/>
                <w:b w:val="0"/>
                <w:bCs w:val="0"/>
                <w:sz w:val="16"/>
                <w:szCs w:val="16"/>
                <w:lang w:val="lv-LV"/>
              </w:rPr>
            </w:pPr>
          </w:p>
          <w:p w14:paraId="7C02CE07" w14:textId="29597472" w:rsidR="00E126AD" w:rsidRPr="00387441" w:rsidRDefault="00E126AD" w:rsidP="00E126AD">
            <w:pPr>
              <w:pStyle w:val="ListParagraph"/>
              <w:spacing w:after="0" w:line="240" w:lineRule="auto"/>
              <w:ind w:left="0" w:firstLine="325"/>
              <w:contextualSpacing w:val="0"/>
              <w:jc w:val="center"/>
              <w:rPr>
                <w:rStyle w:val="Strong"/>
                <w:rFonts w:cstheme="majorHAnsi"/>
                <w:b w:val="0"/>
                <w:bCs w:val="0"/>
                <w:sz w:val="16"/>
                <w:szCs w:val="16"/>
                <w:lang w:val="lv-LV"/>
              </w:rPr>
            </w:pPr>
            <w:r w:rsidRPr="00387441">
              <w:rPr>
                <w:rStyle w:val="Strong"/>
                <w:rFonts w:cstheme="majorHAnsi"/>
                <w:i/>
                <w:iCs/>
                <w:color w:val="ADADAD" w:themeColor="background2" w:themeShade="BF"/>
                <w:sz w:val="16"/>
                <w:szCs w:val="16"/>
                <w:lang w:val="lv-LV"/>
              </w:rPr>
              <w:t>(-)</w:t>
            </w:r>
          </w:p>
        </w:tc>
      </w:tr>
      <w:tr w:rsidR="00060A08" w:rsidRPr="00387441" w14:paraId="270456FF" w14:textId="77777777" w:rsidTr="00BF2DD7">
        <w:trPr>
          <w:trHeight w:val="303"/>
        </w:trPr>
        <w:tc>
          <w:tcPr>
            <w:tcW w:w="1647" w:type="dxa"/>
            <w:tcBorders>
              <w:left w:val="single" w:sz="8" w:space="0" w:color="auto"/>
              <w:bottom w:val="single" w:sz="4" w:space="0" w:color="auto"/>
              <w:right w:val="single" w:sz="8" w:space="0" w:color="auto"/>
            </w:tcBorders>
            <w:shd w:val="clear" w:color="auto" w:fill="DAE9F7" w:themeFill="text2" w:themeFillTint="1A"/>
            <w:vAlign w:val="center"/>
          </w:tcPr>
          <w:p w14:paraId="2578609B" w14:textId="1F9862EE" w:rsidR="00060A08" w:rsidRPr="00387441" w:rsidRDefault="00E02658" w:rsidP="00E02658">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Atgūto naudas līdzekļu summa EUR</w:t>
            </w:r>
          </w:p>
        </w:tc>
        <w:tc>
          <w:tcPr>
            <w:tcW w:w="1188" w:type="dxa"/>
            <w:tcBorders>
              <w:left w:val="single" w:sz="8" w:space="0" w:color="auto"/>
              <w:bottom w:val="single" w:sz="4" w:space="0" w:color="auto"/>
            </w:tcBorders>
            <w:shd w:val="clear" w:color="auto" w:fill="auto"/>
          </w:tcPr>
          <w:p w14:paraId="4F9FFD2D" w14:textId="77777777" w:rsidR="00EA3AAF" w:rsidRPr="00387441" w:rsidRDefault="00EA3AAF" w:rsidP="00EA3AAF">
            <w:pPr>
              <w:pStyle w:val="ListParagraph"/>
              <w:spacing w:after="0" w:line="240" w:lineRule="auto"/>
              <w:ind w:left="0" w:right="-107" w:firstLine="0"/>
              <w:jc w:val="center"/>
              <w:rPr>
                <w:rStyle w:val="Strong"/>
                <w:rFonts w:cstheme="majorBidi"/>
                <w:sz w:val="16"/>
                <w:szCs w:val="16"/>
                <w:lang w:val="lv-LV"/>
              </w:rPr>
            </w:pPr>
          </w:p>
          <w:p w14:paraId="161ECDDD" w14:textId="5BD2E2B0" w:rsidR="00060A08" w:rsidRPr="00387441" w:rsidRDefault="00EA3AAF" w:rsidP="00EA3AAF">
            <w:pPr>
              <w:pStyle w:val="ListParagraph"/>
              <w:spacing w:after="0" w:line="240" w:lineRule="auto"/>
              <w:ind w:left="0" w:right="-107" w:firstLine="0"/>
              <w:jc w:val="center"/>
              <w:rPr>
                <w:rStyle w:val="Strong"/>
                <w:rFonts w:cstheme="majorBidi"/>
                <w:sz w:val="16"/>
                <w:szCs w:val="16"/>
                <w:lang w:val="lv-LV"/>
              </w:rPr>
            </w:pPr>
            <w:r w:rsidRPr="00387441">
              <w:rPr>
                <w:rStyle w:val="Strong"/>
                <w:rFonts w:cstheme="majorBidi"/>
                <w:sz w:val="16"/>
                <w:szCs w:val="16"/>
                <w:lang w:val="lv-LV"/>
              </w:rPr>
              <w:t>249 137,25</w:t>
            </w:r>
          </w:p>
        </w:tc>
        <w:tc>
          <w:tcPr>
            <w:tcW w:w="1276" w:type="dxa"/>
            <w:tcBorders>
              <w:bottom w:val="single" w:sz="4" w:space="0" w:color="auto"/>
            </w:tcBorders>
            <w:shd w:val="clear" w:color="auto" w:fill="auto"/>
          </w:tcPr>
          <w:p w14:paraId="3EEC82D3" w14:textId="77777777" w:rsidR="00EA3AAF" w:rsidRPr="00387441" w:rsidRDefault="00EA3AAF" w:rsidP="00EA3AAF">
            <w:pPr>
              <w:pStyle w:val="ListParagraph"/>
              <w:spacing w:after="0" w:line="240" w:lineRule="auto"/>
              <w:ind w:left="0" w:right="-107" w:firstLine="0"/>
              <w:contextualSpacing w:val="0"/>
              <w:jc w:val="center"/>
              <w:rPr>
                <w:rStyle w:val="Strong"/>
                <w:rFonts w:cstheme="majorHAnsi"/>
                <w:sz w:val="16"/>
                <w:szCs w:val="16"/>
                <w:lang w:val="lv-LV"/>
              </w:rPr>
            </w:pPr>
          </w:p>
          <w:p w14:paraId="36CC4990" w14:textId="37AF5168" w:rsidR="00060A08" w:rsidRPr="00387441" w:rsidRDefault="00EA3AAF" w:rsidP="00EA3AAF">
            <w:pPr>
              <w:pStyle w:val="ListParagraph"/>
              <w:spacing w:after="0" w:line="240" w:lineRule="auto"/>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74 600,01</w:t>
            </w:r>
          </w:p>
        </w:tc>
        <w:tc>
          <w:tcPr>
            <w:tcW w:w="1418" w:type="dxa"/>
            <w:tcBorders>
              <w:bottom w:val="single" w:sz="4" w:space="0" w:color="auto"/>
              <w:right w:val="single" w:sz="4" w:space="0" w:color="auto"/>
            </w:tcBorders>
            <w:shd w:val="clear" w:color="auto" w:fill="auto"/>
          </w:tcPr>
          <w:p w14:paraId="172AAD48" w14:textId="77777777" w:rsidR="00EA3AAF" w:rsidRPr="00387441" w:rsidRDefault="00EA3AAF" w:rsidP="00EA3AAF">
            <w:pPr>
              <w:pStyle w:val="ListParagraph"/>
              <w:spacing w:after="0" w:line="240" w:lineRule="auto"/>
              <w:ind w:left="0" w:right="-107" w:firstLine="0"/>
              <w:contextualSpacing w:val="0"/>
              <w:jc w:val="center"/>
              <w:rPr>
                <w:rStyle w:val="Strong"/>
                <w:rFonts w:cstheme="majorHAnsi"/>
                <w:sz w:val="16"/>
                <w:szCs w:val="16"/>
                <w:lang w:val="lv-LV"/>
              </w:rPr>
            </w:pPr>
          </w:p>
          <w:p w14:paraId="562EEE94" w14:textId="5B466C23" w:rsidR="00060A08" w:rsidRPr="00387441" w:rsidRDefault="00EA3AAF" w:rsidP="00EA3AAF">
            <w:pPr>
              <w:pStyle w:val="ListParagraph"/>
              <w:spacing w:after="0" w:line="240" w:lineRule="auto"/>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141 530,50</w:t>
            </w:r>
          </w:p>
        </w:tc>
        <w:tc>
          <w:tcPr>
            <w:tcW w:w="1471" w:type="dxa"/>
            <w:tcBorders>
              <w:left w:val="single" w:sz="8" w:space="0" w:color="auto"/>
              <w:bottom w:val="single" w:sz="4" w:space="0" w:color="auto"/>
              <w:right w:val="single" w:sz="8" w:space="0" w:color="auto"/>
            </w:tcBorders>
            <w:shd w:val="clear" w:color="auto" w:fill="DAE9F7" w:themeFill="text2" w:themeFillTint="1A"/>
            <w:vAlign w:val="center"/>
          </w:tcPr>
          <w:p w14:paraId="618398BA" w14:textId="77777777" w:rsidR="00060A08" w:rsidRPr="00387441" w:rsidRDefault="00060A08" w:rsidP="008D3506">
            <w:pPr>
              <w:pStyle w:val="ListParagraph"/>
              <w:spacing w:after="0" w:line="240" w:lineRule="auto"/>
              <w:ind w:left="0" w:firstLine="0"/>
              <w:contextualSpacing w:val="0"/>
              <w:jc w:val="left"/>
              <w:rPr>
                <w:rStyle w:val="Strong"/>
                <w:rFonts w:cstheme="majorHAnsi"/>
                <w:sz w:val="16"/>
                <w:szCs w:val="16"/>
                <w:lang w:val="lv-LV"/>
              </w:rPr>
            </w:pPr>
            <w:r w:rsidRPr="00387441">
              <w:rPr>
                <w:rStyle w:val="Strong"/>
                <w:rFonts w:cstheme="majorHAnsi"/>
                <w:sz w:val="16"/>
                <w:szCs w:val="16"/>
                <w:lang w:val="lv-LV"/>
              </w:rPr>
              <w:t>Atklāšanas veids</w:t>
            </w:r>
          </w:p>
        </w:tc>
        <w:tc>
          <w:tcPr>
            <w:tcW w:w="3773" w:type="dxa"/>
            <w:gridSpan w:val="3"/>
            <w:tcBorders>
              <w:left w:val="single" w:sz="8" w:space="0" w:color="auto"/>
              <w:bottom w:val="single" w:sz="4" w:space="0" w:color="auto"/>
            </w:tcBorders>
            <w:shd w:val="clear" w:color="auto" w:fill="auto"/>
            <w:vAlign w:val="center"/>
          </w:tcPr>
          <w:p w14:paraId="1087062B" w14:textId="4D6261BD" w:rsidR="00060A08" w:rsidRPr="00387441" w:rsidRDefault="00A4229D" w:rsidP="00A4229D">
            <w:pPr>
              <w:pStyle w:val="ListParagraph"/>
              <w:spacing w:after="0" w:line="240" w:lineRule="auto"/>
              <w:ind w:left="0" w:hanging="21"/>
              <w:jc w:val="center"/>
              <w:rPr>
                <w:rStyle w:val="Strong"/>
                <w:rFonts w:cstheme="majorBidi"/>
                <w:b w:val="0"/>
                <w:bCs w:val="0"/>
                <w:sz w:val="16"/>
                <w:szCs w:val="16"/>
                <w:lang w:val="lv-LV"/>
              </w:rPr>
            </w:pPr>
            <w:r w:rsidRPr="00002007">
              <w:rPr>
                <w:rFonts w:cstheme="majorBidi"/>
                <w:b/>
                <w:bCs/>
                <w:sz w:val="16"/>
                <w:szCs w:val="16"/>
                <w:lang w:val="lv-LV"/>
              </w:rPr>
              <w:t>Administratīvās pārbaudes (maksājumu pieprasījumu pārbaude, dokumentu pārbaude, atbalsta saņemšanas nosacījumu pārbaude) un pārbaudes uz vietas.</w:t>
            </w:r>
          </w:p>
        </w:tc>
      </w:tr>
      <w:bookmarkEnd w:id="72"/>
    </w:tbl>
    <w:p w14:paraId="0984E46A" w14:textId="77777777" w:rsidR="00BD7439" w:rsidRPr="00BE0DBF" w:rsidRDefault="00BD7439" w:rsidP="00D55499">
      <w:pPr>
        <w:spacing w:after="120" w:line="276" w:lineRule="auto"/>
        <w:rPr>
          <w:b/>
          <w:lang w:val="lv-LV"/>
        </w:rPr>
      </w:pPr>
    </w:p>
    <w:p w14:paraId="370F9FF3" w14:textId="3ADE9EF5" w:rsidR="00335122" w:rsidRPr="00BE0DBF" w:rsidRDefault="00335122" w:rsidP="00D55499">
      <w:pPr>
        <w:spacing w:after="120" w:line="276" w:lineRule="auto"/>
        <w:rPr>
          <w:lang w:val="lv-LV"/>
        </w:rPr>
      </w:pPr>
      <w:r w:rsidRPr="00BE0DBF">
        <w:rPr>
          <w:b/>
          <w:lang w:val="lv-LV"/>
        </w:rPr>
        <w:t>2014.-2020. gada plānošanas perioda</w:t>
      </w:r>
      <w:r w:rsidRPr="00BE0DBF">
        <w:rPr>
          <w:lang w:val="lv-LV"/>
        </w:rPr>
        <w:t xml:space="preserve"> ES fondu ieviešana sasniedz noslēguma fāzi. Izvērtējot ELFLA, ELGF un EJZF īstenošanas progresu, secināts, ka </w:t>
      </w:r>
      <w:r w:rsidRPr="00BE0DBF">
        <w:rPr>
          <w:b/>
          <w:lang w:val="lv-LV"/>
        </w:rPr>
        <w:t>ELFLA ietvaros uzņemtas saistības par 99 %</w:t>
      </w:r>
      <w:r w:rsidRPr="00BE0DBF">
        <w:rPr>
          <w:lang w:val="lv-LV"/>
        </w:rPr>
        <w:t xml:space="preserve"> un izmaksāts finansējums atbalsta saņēmējiem 97 % no pieejamā finansējuma, savukārt </w:t>
      </w:r>
      <w:r w:rsidRPr="00BE0DBF">
        <w:rPr>
          <w:b/>
          <w:lang w:val="lv-LV"/>
        </w:rPr>
        <w:t>EJZF finansējums ir apgūts 98 % apmērā</w:t>
      </w:r>
      <w:r w:rsidRPr="00BE0DBF">
        <w:rPr>
          <w:lang w:val="lv-LV"/>
        </w:rPr>
        <w:t xml:space="preserve"> un tā īstenošana ir noslēgusies.</w:t>
      </w:r>
    </w:p>
    <w:p w14:paraId="2FAD6778" w14:textId="0EB05F91" w:rsidR="00335122" w:rsidRPr="00BE0DBF" w:rsidRDefault="00335122" w:rsidP="08F51D4B">
      <w:pPr>
        <w:spacing w:after="120" w:line="276" w:lineRule="auto"/>
      </w:pPr>
      <w:r w:rsidRPr="08F51D4B">
        <w:t xml:space="preserve">Lielākā daļa no neatbilstībām 2014.-2020. gada plānošanas periodā 2024. gadā ir atklātas ELGF un ELFLA ietvaros saistībā ar projektos plānoto mērķu un/ vai iznākuma rādītāju neizpildi (ELFLA gadījumā) </w:t>
      </w:r>
      <w:r w:rsidRPr="08F51D4B">
        <w:lastRenderedPageBreak/>
        <w:t xml:space="preserve">un noteikto ieviešanas nosacījumu neizpildi (ELGF gadījumā). Izvērtējot informāciju par 2024. gadu, secināms, ka vidējais vienas neatbilstības apjoms 2014.-2020. gada plānošanas periodā ELFLA ietvaros veido </w:t>
      </w:r>
      <w:r w:rsidR="0003319D" w:rsidRPr="08F51D4B">
        <w:t xml:space="preserve">EUR </w:t>
      </w:r>
      <w:r w:rsidRPr="08F51D4B">
        <w:t xml:space="preserve">13 190, ELGF - </w:t>
      </w:r>
      <w:r w:rsidR="0003319D" w:rsidRPr="08F51D4B">
        <w:t xml:space="preserve">EUR </w:t>
      </w:r>
      <w:r w:rsidRPr="08F51D4B">
        <w:t xml:space="preserve">933, bet EJZF ietvaros – </w:t>
      </w:r>
      <w:r w:rsidR="0003319D" w:rsidRPr="08F51D4B">
        <w:t xml:space="preserve">EUR </w:t>
      </w:r>
      <w:r w:rsidRPr="08F51D4B">
        <w:t xml:space="preserve">140 136 (fondā ir neliels atklāto neatbilstību skaits, bet projekti, kuros tās atklātas, ir finanšu ietilpīgi). Kopējais </w:t>
      </w:r>
      <w:r w:rsidRPr="08F51D4B">
        <w:rPr>
          <w:b/>
          <w:bCs/>
        </w:rPr>
        <w:t>neatbilstoši veikto izdevumu apjoms no izmaksātā finansējuma atbalsta saņēmējiem 2014.-2020. gada plānošanas periodā ELFLA ietvaros ir 2,26 %, bet EJZF ietvaros 4,2</w:t>
      </w:r>
      <w:r w:rsidR="00C74CFA" w:rsidRPr="08F51D4B">
        <w:rPr>
          <w:b/>
          <w:bCs/>
        </w:rPr>
        <w:t>5</w:t>
      </w:r>
      <w:r w:rsidRPr="08F51D4B">
        <w:rPr>
          <w:b/>
          <w:bCs/>
        </w:rPr>
        <w:t xml:space="preserve"> %. </w:t>
      </w:r>
      <w:r w:rsidRPr="08F51D4B">
        <w:t xml:space="preserve"> </w:t>
      </w:r>
    </w:p>
    <w:p w14:paraId="2A673BA4" w14:textId="36A94E61" w:rsidR="00335122" w:rsidRPr="00BE0DBF" w:rsidRDefault="00335122" w:rsidP="00D55499">
      <w:pPr>
        <w:spacing w:after="120" w:line="276" w:lineRule="auto"/>
        <w:rPr>
          <w:lang w:val="lv-LV"/>
        </w:rPr>
      </w:pPr>
      <w:r w:rsidRPr="00BE0DBF">
        <w:rPr>
          <w:lang w:val="lv-LV"/>
        </w:rPr>
        <w:t xml:space="preserve">Savukārt izvērtējot </w:t>
      </w:r>
      <w:r w:rsidRPr="00BE0DBF">
        <w:rPr>
          <w:b/>
          <w:lang w:val="lv-LV"/>
        </w:rPr>
        <w:t>2021.-2027. gada plānošanas perioda</w:t>
      </w:r>
      <w:r w:rsidRPr="00BE0DBF">
        <w:rPr>
          <w:lang w:val="lv-LV"/>
        </w:rPr>
        <w:t xml:space="preserve"> īstenošanas progresu, secināts, ka </w:t>
      </w:r>
      <w:r w:rsidRPr="00BE0DBF">
        <w:rPr>
          <w:b/>
          <w:lang w:val="lv-LV"/>
        </w:rPr>
        <w:t>ELFLA ietvaros uzņemtas saistības par 17%</w:t>
      </w:r>
      <w:r w:rsidRPr="00BE0DBF">
        <w:rPr>
          <w:lang w:val="lv-LV"/>
        </w:rPr>
        <w:t xml:space="preserve"> un izmaksāts finansējums atbalsta saņēmējiem 11 % no pieejamā finansējuma un </w:t>
      </w:r>
      <w:r w:rsidRPr="00BE0DBF">
        <w:rPr>
          <w:b/>
          <w:lang w:val="lv-LV"/>
        </w:rPr>
        <w:t>EJZAF ietvaros – uzņemtas saistības par 35 %</w:t>
      </w:r>
      <w:r w:rsidRPr="00BE0DBF">
        <w:rPr>
          <w:lang w:val="lv-LV"/>
        </w:rPr>
        <w:t xml:space="preserve"> un izmaksāts finansējums </w:t>
      </w:r>
      <w:r w:rsidR="000429D5">
        <w:rPr>
          <w:lang w:val="lv-LV"/>
        </w:rPr>
        <w:t>13</w:t>
      </w:r>
      <w:r w:rsidRPr="00BE0DBF">
        <w:rPr>
          <w:lang w:val="lv-LV"/>
        </w:rPr>
        <w:t xml:space="preserve"> % no pieejamā finansējuma.</w:t>
      </w:r>
    </w:p>
    <w:p w14:paraId="3C23C646" w14:textId="4C4C41AF" w:rsidR="00335122" w:rsidRPr="00BE0DBF" w:rsidRDefault="00335122" w:rsidP="00D55499">
      <w:pPr>
        <w:spacing w:after="120" w:line="276" w:lineRule="auto"/>
        <w:rPr>
          <w:lang w:val="lv-LV"/>
        </w:rPr>
      </w:pPr>
      <w:r w:rsidRPr="00BE0DBF">
        <w:rPr>
          <w:lang w:val="lv-LV"/>
        </w:rPr>
        <w:t xml:space="preserve">Lielākā daļa no neatbilstībām 2021.-2027. gada plānošanas periodā 2024. gadā ir atklātas ELGF un ELFLA ietvaros saistībā ar saistībā noteikto ieviešanas nosacījumu neizpildi. 2021.-2027. gada plānošanas periodā vidējais vienas neatbilstības apjoms 2024. gadā ELFLA ietvaros veido </w:t>
      </w:r>
      <w:r w:rsidR="0098315A" w:rsidRPr="00BE0DBF">
        <w:rPr>
          <w:lang w:val="lv-LV"/>
        </w:rPr>
        <w:t xml:space="preserve">EUR </w:t>
      </w:r>
      <w:r w:rsidRPr="00BE0DBF">
        <w:rPr>
          <w:lang w:val="lv-LV"/>
        </w:rPr>
        <w:t xml:space="preserve">682, ELGF - </w:t>
      </w:r>
      <w:r w:rsidR="0098315A" w:rsidRPr="00BE0DBF">
        <w:rPr>
          <w:lang w:val="lv-LV"/>
        </w:rPr>
        <w:t xml:space="preserve">EUR </w:t>
      </w:r>
      <w:r w:rsidRPr="00BE0DBF">
        <w:rPr>
          <w:lang w:val="lv-LV"/>
        </w:rPr>
        <w:t xml:space="preserve">285, bet EJZAF ietvaros – </w:t>
      </w:r>
      <w:r w:rsidR="0098315A" w:rsidRPr="00BE0DBF">
        <w:rPr>
          <w:lang w:val="lv-LV"/>
        </w:rPr>
        <w:t xml:space="preserve">EUR </w:t>
      </w:r>
      <w:r w:rsidRPr="00BE0DBF">
        <w:rPr>
          <w:lang w:val="lv-LV"/>
        </w:rPr>
        <w:t xml:space="preserve">36 734 (fondā ir neliels atklāto neatbilstību skaits, bet projekti, kuros tās atklātas, ir finanšu ietilpīgi). Kopējais </w:t>
      </w:r>
      <w:r w:rsidRPr="00BE0DBF">
        <w:rPr>
          <w:b/>
          <w:lang w:val="lv-LV"/>
        </w:rPr>
        <w:t>neatbilstoši veikto izdevumu apjoms</w:t>
      </w:r>
      <w:r w:rsidRPr="00BE0DBF">
        <w:rPr>
          <w:lang w:val="lv-LV"/>
        </w:rPr>
        <w:t xml:space="preserve"> no izmaksātā finansējuma atbalsta saņēmējiem </w:t>
      </w:r>
      <w:r w:rsidRPr="00BE0DBF">
        <w:rPr>
          <w:b/>
          <w:lang w:val="lv-LV"/>
        </w:rPr>
        <w:t xml:space="preserve">2021.-2027. gada plānošanas periodā EJZAF ietvaros 1,1 %, ELFLA ietvaros ir 0,12 %, savukārt ELGF ietvaros 0,04 </w:t>
      </w:r>
      <w:r w:rsidRPr="00BE0DBF">
        <w:rPr>
          <w:b/>
          <w:bCs/>
          <w:lang w:val="lv-LV"/>
        </w:rPr>
        <w:t>%</w:t>
      </w:r>
      <w:r w:rsidR="00CD5DD7" w:rsidRPr="00BE0DBF">
        <w:rPr>
          <w:lang w:val="lv-LV"/>
        </w:rPr>
        <w:t>.</w:t>
      </w:r>
    </w:p>
    <w:p w14:paraId="0183681C" w14:textId="1A113E8F" w:rsidR="00885394" w:rsidRPr="00BE0DBF" w:rsidRDefault="00060A08" w:rsidP="00885394">
      <w:pPr>
        <w:spacing w:after="120" w:line="276" w:lineRule="auto"/>
        <w:rPr>
          <w:lang w:val="lv-LV"/>
        </w:rPr>
      </w:pPr>
      <w:r w:rsidRPr="00BE0DBF">
        <w:rPr>
          <w:b/>
          <w:lang w:val="lv-LV"/>
        </w:rPr>
        <w:t>202</w:t>
      </w:r>
      <w:r w:rsidR="00FA0417" w:rsidRPr="00BE0DBF">
        <w:rPr>
          <w:b/>
          <w:lang w:val="lv-LV"/>
        </w:rPr>
        <w:t>4</w:t>
      </w:r>
      <w:r w:rsidRPr="00BE0DBF">
        <w:rPr>
          <w:b/>
          <w:lang w:val="lv-LV"/>
        </w:rPr>
        <w:t xml:space="preserve">. gadā tika identificēti </w:t>
      </w:r>
      <w:r w:rsidR="00FA0417" w:rsidRPr="00BE0DBF">
        <w:rPr>
          <w:b/>
          <w:lang w:val="lv-LV"/>
        </w:rPr>
        <w:t>3</w:t>
      </w:r>
      <w:r w:rsidRPr="00BE0DBF">
        <w:rPr>
          <w:b/>
          <w:lang w:val="lv-LV"/>
        </w:rPr>
        <w:t xml:space="preserve"> krāpšanas/ aizdomas par krāpšanu neatbilstību gadījumi</w:t>
      </w:r>
      <w:r w:rsidRPr="00BE0DBF">
        <w:rPr>
          <w:lang w:val="lv-LV"/>
        </w:rPr>
        <w:t xml:space="preserve"> ar finanšu ietekmi EUR </w:t>
      </w:r>
      <w:r w:rsidR="00C24577" w:rsidRPr="00BE0DBF">
        <w:rPr>
          <w:lang w:val="lv-LV"/>
        </w:rPr>
        <w:t xml:space="preserve">360 752,79 </w:t>
      </w:r>
      <w:r w:rsidRPr="00BE0DBF">
        <w:rPr>
          <w:lang w:val="lv-LV"/>
        </w:rPr>
        <w:t>apmērā</w:t>
      </w:r>
      <w:r w:rsidR="000956F0" w:rsidRPr="00BE0DBF">
        <w:rPr>
          <w:lang w:val="lv-LV"/>
        </w:rPr>
        <w:t xml:space="preserve">. </w:t>
      </w:r>
      <w:r w:rsidR="0009739B" w:rsidRPr="00BE0DBF">
        <w:rPr>
          <w:lang w:val="lv-LV"/>
        </w:rPr>
        <w:t>K</w:t>
      </w:r>
      <w:r w:rsidR="000956F0" w:rsidRPr="00BE0DBF">
        <w:rPr>
          <w:lang w:val="lv-LV"/>
        </w:rPr>
        <w:t>onstatēti</w:t>
      </w:r>
      <w:r w:rsidR="0009739B" w:rsidRPr="00BE0DBF">
        <w:rPr>
          <w:lang w:val="lv-LV"/>
        </w:rPr>
        <w:t xml:space="preserve"> tādi pārkāpumi</w:t>
      </w:r>
      <w:r w:rsidR="000956F0" w:rsidRPr="00BE0DBF">
        <w:rPr>
          <w:lang w:val="lv-LV"/>
        </w:rPr>
        <w:t xml:space="preserve"> </w:t>
      </w:r>
      <w:r w:rsidR="0009739B" w:rsidRPr="00BE0DBF">
        <w:rPr>
          <w:lang w:val="lv-LV"/>
        </w:rPr>
        <w:t>kā</w:t>
      </w:r>
      <w:r w:rsidR="00C041C4" w:rsidRPr="00BE0DBF">
        <w:rPr>
          <w:lang w:val="lv-LV"/>
        </w:rPr>
        <w:t xml:space="preserve"> </w:t>
      </w:r>
      <w:r w:rsidR="000956F0" w:rsidRPr="00BE0DBF">
        <w:rPr>
          <w:lang w:val="lv-LV"/>
        </w:rPr>
        <w:t>nepatiesas informācijas sniegšana</w:t>
      </w:r>
      <w:r w:rsidR="0009739B" w:rsidRPr="00BE0DBF">
        <w:rPr>
          <w:lang w:val="lv-LV"/>
        </w:rPr>
        <w:t xml:space="preserve">, </w:t>
      </w:r>
      <w:r w:rsidR="00A06495" w:rsidRPr="00BE0DBF">
        <w:rPr>
          <w:lang w:val="lv-LV"/>
        </w:rPr>
        <w:t>saskaņot</w:t>
      </w:r>
      <w:r w:rsidR="0009739B" w:rsidRPr="00BE0DBF">
        <w:rPr>
          <w:lang w:val="lv-LV"/>
        </w:rPr>
        <w:t>u</w:t>
      </w:r>
      <w:r w:rsidR="00A06495" w:rsidRPr="00BE0DBF">
        <w:rPr>
          <w:lang w:val="lv-LV"/>
        </w:rPr>
        <w:t xml:space="preserve"> piedāvājum</w:t>
      </w:r>
      <w:r w:rsidR="0009739B" w:rsidRPr="00BE0DBF">
        <w:rPr>
          <w:lang w:val="lv-LV"/>
        </w:rPr>
        <w:t xml:space="preserve">u </w:t>
      </w:r>
      <w:r w:rsidR="0016346A" w:rsidRPr="00BE0DBF">
        <w:rPr>
          <w:lang w:val="lv-LV"/>
        </w:rPr>
        <w:t>sagatavošana,</w:t>
      </w:r>
      <w:r w:rsidR="00D63AF9" w:rsidRPr="00BE0DBF">
        <w:rPr>
          <w:lang w:val="lv-LV"/>
        </w:rPr>
        <w:t xml:space="preserve"> nomas līgum</w:t>
      </w:r>
      <w:r w:rsidR="0016346A" w:rsidRPr="00BE0DBF">
        <w:rPr>
          <w:lang w:val="lv-LV"/>
        </w:rPr>
        <w:t>a viltošana</w:t>
      </w:r>
      <w:r w:rsidR="00D63AF9" w:rsidRPr="00BE0DBF">
        <w:rPr>
          <w:lang w:val="lv-LV"/>
        </w:rPr>
        <w:t xml:space="preserve"> un </w:t>
      </w:r>
      <w:r w:rsidR="0016346A" w:rsidRPr="00BE0DBF">
        <w:rPr>
          <w:lang w:val="lv-LV"/>
        </w:rPr>
        <w:t>investīciju atsavināšana</w:t>
      </w:r>
      <w:r w:rsidR="00D63AF9" w:rsidRPr="00BE0DBF">
        <w:rPr>
          <w:lang w:val="lv-LV"/>
        </w:rPr>
        <w:t>.</w:t>
      </w:r>
      <w:r w:rsidR="004B0D85" w:rsidRPr="00BE0DBF">
        <w:rPr>
          <w:lang w:val="lv-LV"/>
        </w:rPr>
        <w:t xml:space="preserve"> </w:t>
      </w:r>
      <w:r w:rsidR="00CF11F3" w:rsidRPr="00BE0DBF">
        <w:rPr>
          <w:lang w:val="lv-LV"/>
        </w:rPr>
        <w:t>Pārkāpumi konstatēti pārbaudes projekta īstenošanas vietā</w:t>
      </w:r>
      <w:r w:rsidR="004B0D85" w:rsidRPr="00BE0DBF">
        <w:rPr>
          <w:lang w:val="lv-LV"/>
        </w:rPr>
        <w:t xml:space="preserve"> </w:t>
      </w:r>
      <w:r w:rsidR="00CF11F3" w:rsidRPr="00BE0DBF">
        <w:rPr>
          <w:lang w:val="lv-LV"/>
        </w:rPr>
        <w:t xml:space="preserve">vai administratīvās kontroles laikā. Vienā </w:t>
      </w:r>
      <w:r w:rsidRPr="00BE0DBF">
        <w:rPr>
          <w:lang w:val="lv-LV"/>
        </w:rPr>
        <w:t>gadījum</w:t>
      </w:r>
      <w:r w:rsidR="00CF11F3" w:rsidRPr="00BE0DBF">
        <w:rPr>
          <w:lang w:val="lv-LV"/>
        </w:rPr>
        <w:t>ā</w:t>
      </w:r>
      <w:r w:rsidRPr="00BE0DBF">
        <w:rPr>
          <w:lang w:val="lv-LV"/>
        </w:rPr>
        <w:t xml:space="preserve"> aizdomas par krāpšanu tika identificētas vēl pirms maksājum</w:t>
      </w:r>
      <w:r w:rsidR="00CF11F3" w:rsidRPr="00BE0DBF">
        <w:rPr>
          <w:lang w:val="lv-LV"/>
        </w:rPr>
        <w:t>a</w:t>
      </w:r>
      <w:r w:rsidRPr="00BE0DBF">
        <w:rPr>
          <w:lang w:val="lv-LV"/>
        </w:rPr>
        <w:t xml:space="preserve"> veikšanas, </w:t>
      </w:r>
      <w:r w:rsidR="00CF11F3" w:rsidRPr="00BE0DBF">
        <w:rPr>
          <w:lang w:val="lv-LV"/>
        </w:rPr>
        <w:t xml:space="preserve">līdz ar to </w:t>
      </w:r>
      <w:r w:rsidR="00B636E7" w:rsidRPr="00BE0DBF">
        <w:rPr>
          <w:lang w:val="lv-LV"/>
        </w:rPr>
        <w:t>netika izmaksāti</w:t>
      </w:r>
      <w:r w:rsidR="00CF11F3" w:rsidRPr="00BE0DBF">
        <w:rPr>
          <w:lang w:val="lv-LV"/>
        </w:rPr>
        <w:t xml:space="preserve"> </w:t>
      </w:r>
      <w:r w:rsidR="0098315A" w:rsidRPr="00BE0DBF">
        <w:rPr>
          <w:lang w:val="lv-LV"/>
        </w:rPr>
        <w:t xml:space="preserve">EUR </w:t>
      </w:r>
      <w:r w:rsidR="00CF11F3" w:rsidRPr="00BE0DBF">
        <w:rPr>
          <w:lang w:val="lv-LV"/>
        </w:rPr>
        <w:t>329</w:t>
      </w:r>
      <w:r w:rsidR="004B0D85" w:rsidRPr="00BE0DBF">
        <w:rPr>
          <w:lang w:val="lv-LV"/>
        </w:rPr>
        <w:t xml:space="preserve"> </w:t>
      </w:r>
      <w:r w:rsidR="00CF11F3" w:rsidRPr="00BE0DBF">
        <w:rPr>
          <w:lang w:val="lv-LV"/>
        </w:rPr>
        <w:t>874,46</w:t>
      </w:r>
      <w:r w:rsidR="00E378DC" w:rsidRPr="00BE0DBF">
        <w:rPr>
          <w:lang w:val="lv-LV"/>
        </w:rPr>
        <w:t xml:space="preserve">, </w:t>
      </w:r>
      <w:r w:rsidRPr="00BE0DBF">
        <w:rPr>
          <w:lang w:val="lv-LV"/>
        </w:rPr>
        <w:t>tādējādi pasargājot ES un nacionālo budžetu</w:t>
      </w:r>
      <w:r w:rsidR="00E378DC" w:rsidRPr="00BE0DBF">
        <w:rPr>
          <w:lang w:val="lv-LV"/>
        </w:rPr>
        <w:t>, kas, savukārt, norāda uz kontroles sistēmas efektivitāti</w:t>
      </w:r>
      <w:r w:rsidR="001A43E9" w:rsidRPr="00BE0DBF">
        <w:rPr>
          <w:lang w:val="lv-LV"/>
        </w:rPr>
        <w:t>.</w:t>
      </w:r>
      <w:r w:rsidRPr="00BE0DBF">
        <w:rPr>
          <w:lang w:val="lv-LV"/>
        </w:rPr>
        <w:t xml:space="preserve"> </w:t>
      </w:r>
      <w:r w:rsidR="001A43E9" w:rsidRPr="00BE0DBF">
        <w:rPr>
          <w:lang w:val="lv-LV"/>
        </w:rPr>
        <w:t>Divi no gadījumiem atrodas</w:t>
      </w:r>
      <w:r w:rsidRPr="00BE0DBF">
        <w:rPr>
          <w:lang w:val="lv-LV"/>
        </w:rPr>
        <w:t xml:space="preserve"> EPPO</w:t>
      </w:r>
      <w:r w:rsidR="001A43E9" w:rsidRPr="00BE0DBF">
        <w:rPr>
          <w:lang w:val="lv-LV"/>
        </w:rPr>
        <w:t xml:space="preserve"> un 1 </w:t>
      </w:r>
      <w:r w:rsidR="00F75B8A" w:rsidRPr="00BE0DBF">
        <w:rPr>
          <w:lang w:val="lv-LV"/>
        </w:rPr>
        <w:t>V</w:t>
      </w:r>
      <w:r w:rsidR="001A43E9" w:rsidRPr="00BE0DBF">
        <w:rPr>
          <w:lang w:val="lv-LV"/>
        </w:rPr>
        <w:t>alsts policijas lietvedībā.</w:t>
      </w:r>
    </w:p>
    <w:p w14:paraId="62934CFA" w14:textId="7467F94C" w:rsidR="002D5A96" w:rsidRPr="00387441" w:rsidRDefault="00364BCF" w:rsidP="00D55499">
      <w:pPr>
        <w:pStyle w:val="Heading4"/>
      </w:pPr>
      <w:bookmarkStart w:id="73" w:name="_Toc128581413"/>
      <w:bookmarkStart w:id="74" w:name="_Toc128581761"/>
      <w:bookmarkStart w:id="75" w:name="_Toc128581993"/>
      <w:bookmarkStart w:id="76" w:name="_Toc167178717"/>
      <w:bookmarkStart w:id="77" w:name="_Toc192753109"/>
      <w:r w:rsidRPr="00387441">
        <w:rPr>
          <w:rStyle w:val="Strong"/>
          <w:b/>
          <w:bCs w:val="0"/>
        </w:rPr>
        <w:t>B.</w:t>
      </w:r>
      <w:r w:rsidR="00060A08" w:rsidRPr="00387441">
        <w:rPr>
          <w:rStyle w:val="Strong"/>
          <w:b/>
          <w:bCs w:val="0"/>
        </w:rPr>
        <w:t>3.3. Eiropas Teritoriālās sadarbības (ETS) programma</w:t>
      </w:r>
      <w:bookmarkEnd w:id="73"/>
      <w:bookmarkEnd w:id="74"/>
      <w:bookmarkEnd w:id="75"/>
      <w:bookmarkEnd w:id="76"/>
      <w:r w:rsidR="002E6D32">
        <w:rPr>
          <w:rStyle w:val="Strong"/>
          <w:b/>
          <w:bCs w:val="0"/>
        </w:rPr>
        <w:t>s</w:t>
      </w:r>
      <w:bookmarkEnd w:id="77"/>
    </w:p>
    <w:p w14:paraId="43D60F8A" w14:textId="59A62EF4" w:rsidR="00060A08" w:rsidRPr="00387441" w:rsidRDefault="002D5A96" w:rsidP="006A3941">
      <w:pPr>
        <w:pStyle w:val="TabulasAttli"/>
        <w:spacing w:after="0"/>
        <w:ind w:firstLine="4678"/>
        <w:rPr>
          <w:sz w:val="20"/>
          <w:szCs w:val="20"/>
        </w:rPr>
      </w:pPr>
      <w:r w:rsidRPr="00387441">
        <w:rPr>
          <w:b/>
          <w:bCs/>
          <w:sz w:val="20"/>
          <w:szCs w:val="20"/>
        </w:rPr>
        <w:t>Attēls Nr.</w:t>
      </w:r>
      <w:r w:rsidR="00CA6DFE" w:rsidRPr="00387441">
        <w:rPr>
          <w:b/>
          <w:bCs/>
          <w:sz w:val="20"/>
          <w:szCs w:val="20"/>
        </w:rPr>
        <w:t>12</w:t>
      </w:r>
      <w:r w:rsidRPr="00387441">
        <w:rPr>
          <w:b/>
          <w:bCs/>
          <w:sz w:val="20"/>
          <w:szCs w:val="20"/>
        </w:rPr>
        <w:t xml:space="preserve"> </w:t>
      </w:r>
      <w:r w:rsidR="00060A08" w:rsidRPr="00387441">
        <w:rPr>
          <w:sz w:val="20"/>
          <w:szCs w:val="20"/>
        </w:rPr>
        <w:t xml:space="preserve"> Kopsavilkums par ETS </w:t>
      </w:r>
      <w:r w:rsidR="008F230B" w:rsidRPr="00387441">
        <w:rPr>
          <w:sz w:val="20"/>
          <w:szCs w:val="20"/>
        </w:rPr>
        <w:t xml:space="preserve">konstatētajām neattiecināmajām izmaksām </w:t>
      </w:r>
      <w:r w:rsidR="008B6DF3" w:rsidRPr="00387441">
        <w:rPr>
          <w:sz w:val="20"/>
          <w:szCs w:val="20"/>
        </w:rPr>
        <w:t>2024.gadā</w:t>
      </w:r>
    </w:p>
    <w:p w14:paraId="1A95261A" w14:textId="77777777" w:rsidR="002D5A96" w:rsidRPr="00387441" w:rsidRDefault="002D5A96" w:rsidP="00060A08">
      <w:pPr>
        <w:pStyle w:val="TabulasAttli"/>
        <w:spacing w:after="0"/>
        <w:rPr>
          <w:sz w:val="20"/>
          <w:szCs w:val="20"/>
        </w:rPr>
      </w:pPr>
    </w:p>
    <w:tbl>
      <w:tblPr>
        <w:tblStyle w:val="TableGrid"/>
        <w:tblW w:w="10773" w:type="dxa"/>
        <w:shd w:val="clear" w:color="auto" w:fill="29A3FF"/>
        <w:tblLayout w:type="fixed"/>
        <w:tblLook w:val="04A0" w:firstRow="1" w:lastRow="0" w:firstColumn="1" w:lastColumn="0" w:noHBand="0" w:noVBand="1"/>
      </w:tblPr>
      <w:tblGrid>
        <w:gridCol w:w="7"/>
        <w:gridCol w:w="2153"/>
        <w:gridCol w:w="14"/>
        <w:gridCol w:w="7"/>
        <w:gridCol w:w="2950"/>
        <w:gridCol w:w="2153"/>
        <w:gridCol w:w="7"/>
        <w:gridCol w:w="3482"/>
      </w:tblGrid>
      <w:tr w:rsidR="00060A08" w:rsidRPr="00387441" w14:paraId="0DD70EC1" w14:textId="77777777" w:rsidTr="009862AC">
        <w:trPr>
          <w:gridBefore w:val="1"/>
          <w:wBefore w:w="7" w:type="dxa"/>
          <w:trHeight w:val="209"/>
        </w:trPr>
        <w:tc>
          <w:tcPr>
            <w:tcW w:w="2174" w:type="dxa"/>
            <w:gridSpan w:val="3"/>
            <w:tcBorders>
              <w:top w:val="nil"/>
              <w:left w:val="nil"/>
            </w:tcBorders>
            <w:shd w:val="clear" w:color="auto" w:fill="auto"/>
            <w:vAlign w:val="center"/>
          </w:tcPr>
          <w:p w14:paraId="061F08C3" w14:textId="77777777" w:rsidR="00060A08" w:rsidRPr="00387441" w:rsidRDefault="00060A08" w:rsidP="00510C90">
            <w:pPr>
              <w:pStyle w:val="ListParagraph"/>
              <w:spacing w:after="0"/>
              <w:ind w:left="0"/>
              <w:contextualSpacing w:val="0"/>
              <w:jc w:val="center"/>
              <w:rPr>
                <w:rStyle w:val="Strong"/>
                <w:rFonts w:cstheme="majorHAnsi"/>
                <w:b w:val="0"/>
                <w:bCs w:val="0"/>
                <w:sz w:val="16"/>
                <w:szCs w:val="16"/>
                <w:lang w:val="lv-LV"/>
              </w:rPr>
            </w:pPr>
            <w:r w:rsidRPr="00387441">
              <w:rPr>
                <w:rStyle w:val="Strong"/>
                <w:rFonts w:cstheme="majorHAnsi"/>
                <w:sz w:val="20"/>
                <w:szCs w:val="20"/>
                <w:lang w:val="lv-LV"/>
              </w:rPr>
              <w:t>2014-2020</w:t>
            </w:r>
          </w:p>
        </w:tc>
        <w:tc>
          <w:tcPr>
            <w:tcW w:w="2950" w:type="dxa"/>
            <w:shd w:val="clear" w:color="auto" w:fill="4C94D8" w:themeFill="text2" w:themeFillTint="80"/>
            <w:vAlign w:val="center"/>
          </w:tcPr>
          <w:p w14:paraId="6F9FDC55" w14:textId="77777777" w:rsidR="00060A08" w:rsidRPr="00387441" w:rsidRDefault="00060A08" w:rsidP="00510C90">
            <w:pPr>
              <w:pStyle w:val="ListParagraph"/>
              <w:spacing w:after="0"/>
              <w:ind w:left="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ETS</w:t>
            </w:r>
          </w:p>
        </w:tc>
        <w:tc>
          <w:tcPr>
            <w:tcW w:w="2160" w:type="dxa"/>
            <w:gridSpan w:val="2"/>
            <w:tcBorders>
              <w:top w:val="nil"/>
            </w:tcBorders>
            <w:shd w:val="clear" w:color="auto" w:fill="auto"/>
            <w:vAlign w:val="center"/>
          </w:tcPr>
          <w:p w14:paraId="62D48B42" w14:textId="77777777" w:rsidR="00060A08" w:rsidRPr="00387441" w:rsidRDefault="00060A08" w:rsidP="00510C90">
            <w:pPr>
              <w:pStyle w:val="ListParagraph"/>
              <w:spacing w:after="0"/>
              <w:ind w:left="0"/>
              <w:contextualSpacing w:val="0"/>
              <w:jc w:val="center"/>
              <w:rPr>
                <w:rStyle w:val="Strong"/>
                <w:rFonts w:cstheme="majorHAnsi"/>
                <w:b w:val="0"/>
                <w:bCs w:val="0"/>
                <w:color w:val="FFFFFF" w:themeColor="background1"/>
                <w:sz w:val="16"/>
                <w:szCs w:val="16"/>
                <w:lang w:val="lv-LV"/>
              </w:rPr>
            </w:pPr>
          </w:p>
        </w:tc>
        <w:tc>
          <w:tcPr>
            <w:tcW w:w="3482" w:type="dxa"/>
            <w:shd w:val="clear" w:color="auto" w:fill="4C94D8" w:themeFill="text2" w:themeFillTint="80"/>
            <w:vAlign w:val="center"/>
          </w:tcPr>
          <w:p w14:paraId="0EEF4FDA" w14:textId="77777777" w:rsidR="00060A08" w:rsidRPr="00387441" w:rsidRDefault="00060A08" w:rsidP="00510C90">
            <w:pPr>
              <w:pStyle w:val="ListParagraph"/>
              <w:spacing w:after="0"/>
              <w:ind w:left="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ETS</w:t>
            </w:r>
          </w:p>
        </w:tc>
      </w:tr>
      <w:tr w:rsidR="00060A08" w:rsidRPr="00387441" w14:paraId="4DA55C83" w14:textId="77777777" w:rsidTr="00D35C5C">
        <w:trPr>
          <w:trHeight w:val="209"/>
        </w:trPr>
        <w:tc>
          <w:tcPr>
            <w:tcW w:w="2174" w:type="dxa"/>
            <w:gridSpan w:val="3"/>
            <w:shd w:val="clear" w:color="auto" w:fill="DAE9F7" w:themeFill="text2" w:themeFillTint="1A"/>
            <w:vAlign w:val="center"/>
          </w:tcPr>
          <w:p w14:paraId="0E5DAA34" w14:textId="31A74B9C" w:rsidR="00060A08" w:rsidRPr="00387441" w:rsidRDefault="00060A08" w:rsidP="0081523F">
            <w:pPr>
              <w:pStyle w:val="ListParagraph"/>
              <w:spacing w:after="0"/>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 xml:space="preserve">Neatbilstoši veikto izdevumu summa </w:t>
            </w:r>
            <w:r w:rsidR="00A415E8" w:rsidRPr="00387441">
              <w:rPr>
                <w:rStyle w:val="Strong"/>
                <w:rFonts w:cstheme="majorHAnsi"/>
                <w:sz w:val="16"/>
                <w:szCs w:val="16"/>
                <w:lang w:val="lv-LV"/>
              </w:rPr>
              <w:t xml:space="preserve">EUR </w:t>
            </w:r>
            <w:r w:rsidRPr="00387441">
              <w:rPr>
                <w:rStyle w:val="Strong"/>
                <w:rFonts w:cstheme="majorHAnsi"/>
                <w:i/>
                <w:iCs/>
                <w:color w:val="A6A6A6" w:themeColor="background1" w:themeShade="A6"/>
                <w:sz w:val="16"/>
                <w:szCs w:val="16"/>
                <w:lang w:val="lv-LV"/>
              </w:rPr>
              <w:t>(20</w:t>
            </w:r>
            <w:r w:rsidR="00AD16E7" w:rsidRPr="00387441">
              <w:rPr>
                <w:rStyle w:val="Strong"/>
                <w:rFonts w:cstheme="majorHAnsi"/>
                <w:i/>
                <w:iCs/>
                <w:color w:val="A6A6A6" w:themeColor="background1" w:themeShade="A6"/>
                <w:sz w:val="16"/>
                <w:szCs w:val="16"/>
                <w:lang w:val="lv-LV"/>
              </w:rPr>
              <w:t>23</w:t>
            </w:r>
            <w:r w:rsidRPr="00387441">
              <w:rPr>
                <w:rStyle w:val="Strong"/>
                <w:rFonts w:cstheme="majorHAnsi"/>
                <w:i/>
                <w:iCs/>
                <w:color w:val="A6A6A6" w:themeColor="background1" w:themeShade="A6"/>
                <w:sz w:val="16"/>
                <w:szCs w:val="16"/>
                <w:lang w:val="lv-LV"/>
              </w:rPr>
              <w:t>. gada dati)</w:t>
            </w:r>
          </w:p>
        </w:tc>
        <w:tc>
          <w:tcPr>
            <w:tcW w:w="2957" w:type="dxa"/>
            <w:gridSpan w:val="2"/>
            <w:shd w:val="clear" w:color="auto" w:fill="auto"/>
            <w:vAlign w:val="center"/>
          </w:tcPr>
          <w:p w14:paraId="47A971D8" w14:textId="77777777" w:rsidR="00523F0B" w:rsidRPr="00387441" w:rsidRDefault="00523F0B" w:rsidP="00A415E8">
            <w:pPr>
              <w:pStyle w:val="ListParagraph"/>
              <w:spacing w:after="0"/>
              <w:ind w:left="0"/>
              <w:contextualSpacing w:val="0"/>
              <w:jc w:val="center"/>
              <w:rPr>
                <w:rStyle w:val="Strong"/>
                <w:rFonts w:cstheme="majorHAnsi"/>
                <w:i/>
                <w:iCs/>
                <w:color w:val="ADADAD" w:themeColor="background2" w:themeShade="BF"/>
                <w:sz w:val="16"/>
                <w:szCs w:val="16"/>
                <w:lang w:val="lv-LV"/>
              </w:rPr>
            </w:pPr>
            <w:r w:rsidRPr="00387441">
              <w:rPr>
                <w:rStyle w:val="Strong"/>
                <w:rFonts w:cstheme="majorBidi"/>
                <w:sz w:val="16"/>
                <w:szCs w:val="16"/>
                <w:lang w:val="lv-LV"/>
              </w:rPr>
              <w:t>155 880,61</w:t>
            </w:r>
            <w:r w:rsidRPr="00387441">
              <w:rPr>
                <w:rStyle w:val="Strong"/>
                <w:rFonts w:cstheme="majorHAnsi"/>
                <w:i/>
                <w:iCs/>
                <w:color w:val="ADADAD" w:themeColor="background2" w:themeShade="BF"/>
                <w:sz w:val="16"/>
                <w:szCs w:val="16"/>
                <w:lang w:val="lv-LV"/>
              </w:rPr>
              <w:t xml:space="preserve"> </w:t>
            </w:r>
          </w:p>
          <w:p w14:paraId="2D9F91D5" w14:textId="77777777" w:rsidR="00F74F32" w:rsidRPr="00387441" w:rsidRDefault="00F74F32" w:rsidP="00A415E8">
            <w:pPr>
              <w:pStyle w:val="ListParagraph"/>
              <w:spacing w:after="0"/>
              <w:ind w:left="0"/>
              <w:contextualSpacing w:val="0"/>
              <w:jc w:val="center"/>
              <w:rPr>
                <w:rStyle w:val="Strong"/>
                <w:rFonts w:cstheme="majorHAnsi"/>
                <w:b w:val="0"/>
                <w:bCs w:val="0"/>
                <w:i/>
                <w:iCs/>
                <w:color w:val="ADADAD" w:themeColor="background2" w:themeShade="BF"/>
                <w:sz w:val="16"/>
                <w:szCs w:val="16"/>
                <w:lang w:val="lv-LV"/>
              </w:rPr>
            </w:pPr>
          </w:p>
          <w:p w14:paraId="4152BC0D" w14:textId="7F95B722" w:rsidR="00A415E8" w:rsidRPr="00387441" w:rsidRDefault="00AD16E7" w:rsidP="00A415E8">
            <w:pPr>
              <w:pStyle w:val="ListParagraph"/>
              <w:spacing w:after="0"/>
              <w:ind w:left="0"/>
              <w:contextualSpacing w:val="0"/>
              <w:jc w:val="center"/>
              <w:rPr>
                <w:rStyle w:val="Strong"/>
                <w:rFonts w:cstheme="majorHAnsi"/>
                <w:b w:val="0"/>
                <w:bCs w:val="0"/>
                <w:i/>
                <w:iCs/>
                <w:color w:val="ADADAD" w:themeColor="background2" w:themeShade="BF"/>
                <w:sz w:val="16"/>
                <w:szCs w:val="16"/>
                <w:lang w:val="lv-LV"/>
              </w:rPr>
            </w:pPr>
            <w:r w:rsidRPr="00387441">
              <w:rPr>
                <w:rStyle w:val="Strong"/>
                <w:rFonts w:cstheme="majorHAnsi"/>
                <w:b w:val="0"/>
                <w:bCs w:val="0"/>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308</w:t>
            </w:r>
            <w:r w:rsidR="00817209" w:rsidRPr="00387441">
              <w:rPr>
                <w:rStyle w:val="Strong"/>
                <w:rFonts w:cstheme="majorHAnsi"/>
                <w:i/>
                <w:iCs/>
                <w:color w:val="ADADAD" w:themeColor="background2" w:themeShade="BF"/>
                <w:sz w:val="16"/>
                <w:szCs w:val="16"/>
                <w:lang w:val="lv-LV"/>
              </w:rPr>
              <w:t> </w:t>
            </w:r>
            <w:r w:rsidR="00060A08" w:rsidRPr="00387441">
              <w:rPr>
                <w:rStyle w:val="Strong"/>
                <w:rFonts w:cstheme="majorHAnsi"/>
                <w:i/>
                <w:iCs/>
                <w:color w:val="ADADAD" w:themeColor="background2" w:themeShade="BF"/>
                <w:sz w:val="16"/>
                <w:szCs w:val="16"/>
                <w:lang w:val="lv-LV"/>
              </w:rPr>
              <w:t>091</w:t>
            </w:r>
            <w:r w:rsidR="00817209"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12</w:t>
            </w:r>
            <w:r w:rsidRPr="00387441">
              <w:rPr>
                <w:rStyle w:val="Strong"/>
                <w:rFonts w:cstheme="majorHAnsi"/>
                <w:i/>
                <w:iCs/>
                <w:color w:val="ADADAD" w:themeColor="background2" w:themeShade="BF"/>
                <w:sz w:val="16"/>
                <w:szCs w:val="16"/>
                <w:lang w:val="lv-LV"/>
              </w:rPr>
              <w:t>)</w:t>
            </w:r>
          </w:p>
        </w:tc>
        <w:tc>
          <w:tcPr>
            <w:tcW w:w="2160" w:type="dxa"/>
            <w:gridSpan w:val="2"/>
            <w:shd w:val="clear" w:color="auto" w:fill="DAE9F7" w:themeFill="text2" w:themeFillTint="1A"/>
            <w:vAlign w:val="center"/>
          </w:tcPr>
          <w:p w14:paraId="159046CD" w14:textId="77777777" w:rsidR="00060A08" w:rsidRPr="00387441" w:rsidRDefault="00060A08" w:rsidP="0081523F">
            <w:pPr>
              <w:pStyle w:val="ListParagraph"/>
              <w:spacing w:after="0"/>
              <w:ind w:left="0" w:firstLine="153"/>
              <w:contextualSpacing w:val="0"/>
              <w:jc w:val="center"/>
              <w:rPr>
                <w:rStyle w:val="Strong"/>
                <w:rFonts w:cstheme="majorHAnsi"/>
                <w:sz w:val="16"/>
                <w:szCs w:val="16"/>
                <w:lang w:val="lv-LV"/>
              </w:rPr>
            </w:pPr>
            <w:r w:rsidRPr="00387441">
              <w:rPr>
                <w:rStyle w:val="Strong"/>
                <w:rFonts w:cstheme="majorHAnsi"/>
                <w:sz w:val="16"/>
                <w:szCs w:val="16"/>
                <w:lang w:val="lv-LV"/>
              </w:rPr>
              <w:t>Skaits</w:t>
            </w:r>
          </w:p>
          <w:p w14:paraId="1E0520BB" w14:textId="5AF8F299" w:rsidR="009E73ED" w:rsidRPr="00387441" w:rsidRDefault="009E73ED" w:rsidP="0081523F">
            <w:pPr>
              <w:pStyle w:val="ListParagraph"/>
              <w:spacing w:after="0"/>
              <w:ind w:left="0" w:firstLine="153"/>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3482" w:type="dxa"/>
            <w:shd w:val="clear" w:color="auto" w:fill="auto"/>
            <w:vAlign w:val="center"/>
          </w:tcPr>
          <w:p w14:paraId="45C56FE3" w14:textId="0905A5FB" w:rsidR="00060A08" w:rsidRPr="00387441" w:rsidRDefault="0081523F" w:rsidP="00F74F32">
            <w:pPr>
              <w:pStyle w:val="ListParagraph"/>
              <w:spacing w:after="0"/>
              <w:ind w:left="0" w:hanging="23"/>
              <w:contextualSpacing w:val="0"/>
              <w:jc w:val="center"/>
              <w:rPr>
                <w:rStyle w:val="Strong"/>
                <w:rFonts w:cstheme="majorHAnsi"/>
                <w:b w:val="0"/>
                <w:bCs w:val="0"/>
                <w:sz w:val="16"/>
                <w:szCs w:val="16"/>
                <w:lang w:val="lv-LV"/>
              </w:rPr>
            </w:pPr>
            <w:r w:rsidRPr="00387441">
              <w:rPr>
                <w:rStyle w:val="Strong"/>
                <w:rFonts w:cstheme="majorHAnsi"/>
                <w:sz w:val="16"/>
                <w:szCs w:val="16"/>
                <w:lang w:val="lv-LV"/>
              </w:rPr>
              <w:t>15</w:t>
            </w:r>
          </w:p>
          <w:p w14:paraId="4394B989" w14:textId="77777777" w:rsidR="00F74F32" w:rsidRPr="00387441" w:rsidRDefault="00F74F32" w:rsidP="00F74F32">
            <w:pPr>
              <w:spacing w:after="0"/>
              <w:ind w:firstLine="0"/>
              <w:jc w:val="center"/>
              <w:rPr>
                <w:rStyle w:val="Strong"/>
                <w:rFonts w:cstheme="majorHAnsi"/>
                <w:i/>
                <w:iCs/>
                <w:color w:val="A6A6A6" w:themeColor="background1" w:themeShade="A6"/>
                <w:sz w:val="16"/>
                <w:szCs w:val="16"/>
                <w:lang w:val="lv-LV"/>
              </w:rPr>
            </w:pPr>
          </w:p>
          <w:p w14:paraId="42623C05" w14:textId="256C375D" w:rsidR="00060A08" w:rsidRPr="00387441" w:rsidRDefault="00060A08" w:rsidP="00F74F32">
            <w:pPr>
              <w:spacing w:after="0"/>
              <w:ind w:firstLine="0"/>
              <w:jc w:val="center"/>
              <w:rPr>
                <w:rStyle w:val="Strong"/>
                <w:rFonts w:cstheme="majorHAnsi"/>
                <w:b w:val="0"/>
                <w:bCs w:val="0"/>
                <w:sz w:val="16"/>
                <w:szCs w:val="16"/>
                <w:lang w:val="lv-LV"/>
              </w:rPr>
            </w:pPr>
            <w:r w:rsidRPr="00387441">
              <w:rPr>
                <w:rStyle w:val="Strong"/>
                <w:rFonts w:cstheme="majorHAnsi"/>
                <w:i/>
                <w:iCs/>
                <w:color w:val="A6A6A6" w:themeColor="background1" w:themeShade="A6"/>
                <w:sz w:val="16"/>
                <w:szCs w:val="16"/>
                <w:lang w:val="lv-LV"/>
              </w:rPr>
              <w:t>(</w:t>
            </w:r>
            <w:r w:rsidR="0081523F" w:rsidRPr="00387441">
              <w:rPr>
                <w:rStyle w:val="Strong"/>
                <w:rFonts w:cstheme="majorHAnsi"/>
                <w:i/>
                <w:iCs/>
                <w:color w:val="A6A6A6" w:themeColor="background1" w:themeShade="A6"/>
                <w:sz w:val="16"/>
                <w:szCs w:val="16"/>
                <w:lang w:val="lv-LV"/>
              </w:rPr>
              <w:t>27</w:t>
            </w:r>
            <w:r w:rsidRPr="00387441">
              <w:rPr>
                <w:rStyle w:val="Strong"/>
                <w:rFonts w:cstheme="majorHAnsi"/>
                <w:i/>
                <w:iCs/>
                <w:color w:val="A6A6A6" w:themeColor="background1" w:themeShade="A6"/>
                <w:sz w:val="16"/>
                <w:szCs w:val="16"/>
                <w:lang w:val="lv-LV"/>
              </w:rPr>
              <w:t>)</w:t>
            </w:r>
          </w:p>
        </w:tc>
      </w:tr>
      <w:tr w:rsidR="00060A08" w:rsidRPr="00387441" w14:paraId="759C4EB0" w14:textId="77777777" w:rsidTr="00D35C5C">
        <w:trPr>
          <w:trHeight w:val="519"/>
        </w:trPr>
        <w:tc>
          <w:tcPr>
            <w:tcW w:w="2174" w:type="dxa"/>
            <w:gridSpan w:val="3"/>
            <w:shd w:val="clear" w:color="auto" w:fill="DAE9F7" w:themeFill="text2" w:themeFillTint="1A"/>
            <w:vAlign w:val="center"/>
          </w:tcPr>
          <w:p w14:paraId="5BDAFF7B" w14:textId="669DA13B" w:rsidR="00060A08" w:rsidRPr="00387441" w:rsidRDefault="00060A08" w:rsidP="00A85840">
            <w:pPr>
              <w:pStyle w:val="ListParagraph"/>
              <w:spacing w:after="0"/>
              <w:ind w:left="0" w:firstLine="37"/>
              <w:contextualSpacing w:val="0"/>
              <w:jc w:val="center"/>
              <w:rPr>
                <w:rStyle w:val="Strong"/>
                <w:rFonts w:cstheme="majorHAnsi"/>
                <w:sz w:val="16"/>
                <w:szCs w:val="16"/>
                <w:lang w:val="lv-LV"/>
              </w:rPr>
            </w:pPr>
            <w:r w:rsidRPr="00387441">
              <w:rPr>
                <w:rStyle w:val="Strong"/>
                <w:rFonts w:cstheme="majorHAnsi"/>
                <w:sz w:val="16"/>
                <w:szCs w:val="16"/>
                <w:lang w:val="lv-LV"/>
              </w:rPr>
              <w:t>Atgūt</w:t>
            </w:r>
            <w:r w:rsidR="00A85840" w:rsidRPr="00387441">
              <w:rPr>
                <w:rStyle w:val="Strong"/>
                <w:rFonts w:cstheme="majorHAnsi"/>
                <w:sz w:val="16"/>
                <w:szCs w:val="16"/>
                <w:lang w:val="lv-LV"/>
              </w:rPr>
              <w:t xml:space="preserve">o </w:t>
            </w:r>
            <w:r w:rsidR="008B32BB" w:rsidRPr="00387441">
              <w:rPr>
                <w:rStyle w:val="Strong"/>
                <w:rFonts w:cstheme="majorHAnsi"/>
                <w:sz w:val="16"/>
                <w:szCs w:val="16"/>
                <w:lang w:val="lv-LV"/>
              </w:rPr>
              <w:t>naudas līdzekļu</w:t>
            </w:r>
            <w:r w:rsidR="00A85840" w:rsidRPr="00387441">
              <w:rPr>
                <w:rStyle w:val="Strong"/>
                <w:rFonts w:cstheme="majorHAnsi"/>
                <w:sz w:val="16"/>
                <w:szCs w:val="16"/>
                <w:lang w:val="lv-LV"/>
              </w:rPr>
              <w:t xml:space="preserve"> summa EUR</w:t>
            </w:r>
            <w:r w:rsidR="0024525C" w:rsidRPr="00387441">
              <w:rPr>
                <w:rStyle w:val="FootnoteReference"/>
                <w:rFonts w:cstheme="majorHAnsi"/>
                <w:b/>
                <w:bCs/>
                <w:sz w:val="16"/>
                <w:szCs w:val="16"/>
                <w:lang w:val="lv-LV"/>
              </w:rPr>
              <w:footnoteReference w:id="14"/>
            </w:r>
          </w:p>
        </w:tc>
        <w:tc>
          <w:tcPr>
            <w:tcW w:w="2957" w:type="dxa"/>
            <w:gridSpan w:val="2"/>
            <w:shd w:val="clear" w:color="auto" w:fill="auto"/>
            <w:vAlign w:val="center"/>
          </w:tcPr>
          <w:p w14:paraId="7B87EF1E" w14:textId="290EA2BE" w:rsidR="00060A08" w:rsidRPr="00387441" w:rsidRDefault="00F926D6" w:rsidP="00510C90">
            <w:pPr>
              <w:pStyle w:val="ListParagraph"/>
              <w:spacing w:after="0"/>
              <w:ind w:left="0"/>
              <w:jc w:val="center"/>
              <w:rPr>
                <w:rStyle w:val="Strong"/>
                <w:rFonts w:cstheme="majorBidi"/>
                <w:b w:val="0"/>
                <w:bCs w:val="0"/>
                <w:sz w:val="16"/>
                <w:szCs w:val="16"/>
                <w:lang w:val="lv-LV"/>
              </w:rPr>
            </w:pPr>
            <w:r w:rsidRPr="00387441">
              <w:rPr>
                <w:rStyle w:val="Strong"/>
                <w:rFonts w:cstheme="majorBidi"/>
                <w:sz w:val="16"/>
                <w:szCs w:val="16"/>
                <w:lang w:val="lv-LV"/>
              </w:rPr>
              <w:t>155 880,61</w:t>
            </w:r>
          </w:p>
        </w:tc>
        <w:tc>
          <w:tcPr>
            <w:tcW w:w="2160" w:type="dxa"/>
            <w:gridSpan w:val="2"/>
            <w:shd w:val="clear" w:color="auto" w:fill="DAE9F7" w:themeFill="text2" w:themeFillTint="1A"/>
            <w:vAlign w:val="center"/>
          </w:tcPr>
          <w:p w14:paraId="28ED3F25" w14:textId="77777777" w:rsidR="00060A08" w:rsidRPr="00387441" w:rsidRDefault="00060A08" w:rsidP="0081523F">
            <w:pPr>
              <w:pStyle w:val="ListParagraph"/>
              <w:spacing w:after="0"/>
              <w:ind w:left="0" w:firstLine="295"/>
              <w:contextualSpacing w:val="0"/>
              <w:jc w:val="left"/>
              <w:rPr>
                <w:rStyle w:val="Strong"/>
                <w:rFonts w:cstheme="majorHAnsi"/>
                <w:sz w:val="16"/>
                <w:szCs w:val="16"/>
                <w:lang w:val="lv-LV"/>
              </w:rPr>
            </w:pPr>
            <w:r w:rsidRPr="00387441">
              <w:rPr>
                <w:rStyle w:val="Strong"/>
                <w:rFonts w:cstheme="majorHAnsi"/>
                <w:sz w:val="16"/>
                <w:szCs w:val="16"/>
                <w:lang w:val="lv-LV"/>
              </w:rPr>
              <w:t>Atklāšanas veids</w:t>
            </w:r>
          </w:p>
        </w:tc>
        <w:tc>
          <w:tcPr>
            <w:tcW w:w="3482" w:type="dxa"/>
            <w:shd w:val="clear" w:color="auto" w:fill="auto"/>
            <w:vAlign w:val="center"/>
          </w:tcPr>
          <w:p w14:paraId="309C41FD" w14:textId="536B1341" w:rsidR="00060A08" w:rsidRPr="00387441" w:rsidRDefault="003D722D" w:rsidP="00121AD1">
            <w:pPr>
              <w:pStyle w:val="ListParagraph"/>
              <w:spacing w:after="0" w:line="240" w:lineRule="auto"/>
              <w:ind w:left="249" w:firstLine="11"/>
              <w:jc w:val="center"/>
              <w:rPr>
                <w:rStyle w:val="Strong"/>
                <w:rFonts w:cstheme="majorHAnsi"/>
                <w:b w:val="0"/>
                <w:bCs w:val="0"/>
                <w:sz w:val="16"/>
                <w:szCs w:val="16"/>
                <w:lang w:val="lv-LV"/>
              </w:rPr>
            </w:pPr>
            <w:r w:rsidRPr="00387441">
              <w:rPr>
                <w:rStyle w:val="Strong"/>
                <w:rFonts w:cstheme="majorHAnsi"/>
                <w:sz w:val="16"/>
                <w:szCs w:val="16"/>
                <w:lang w:val="lv-LV"/>
              </w:rPr>
              <w:t>Finanšu kontroles institūcijas pārbaudes pirms projektu īstenotāju atskaišu iesniegšanas Interreg programmām</w:t>
            </w:r>
          </w:p>
        </w:tc>
      </w:tr>
      <w:tr w:rsidR="00060A08" w:rsidRPr="00387441" w14:paraId="73B5DA94" w14:textId="77777777" w:rsidTr="009862AC">
        <w:trPr>
          <w:trHeight w:val="191"/>
        </w:trPr>
        <w:tc>
          <w:tcPr>
            <w:tcW w:w="2160" w:type="dxa"/>
            <w:gridSpan w:val="2"/>
            <w:tcBorders>
              <w:top w:val="nil"/>
              <w:left w:val="nil"/>
              <w:bottom w:val="single" w:sz="4" w:space="0" w:color="auto"/>
              <w:right w:val="single" w:sz="8" w:space="0" w:color="auto"/>
            </w:tcBorders>
            <w:shd w:val="clear" w:color="auto" w:fill="auto"/>
            <w:vAlign w:val="center"/>
          </w:tcPr>
          <w:p w14:paraId="0883B698" w14:textId="77777777" w:rsidR="00060A08" w:rsidRPr="00387441" w:rsidRDefault="00060A08" w:rsidP="00510C90">
            <w:pPr>
              <w:pStyle w:val="ListParagraph"/>
              <w:spacing w:after="0" w:line="240" w:lineRule="auto"/>
              <w:ind w:left="0"/>
              <w:contextualSpacing w:val="0"/>
              <w:jc w:val="center"/>
              <w:rPr>
                <w:rStyle w:val="Strong"/>
                <w:rFonts w:cstheme="majorHAnsi"/>
                <w:sz w:val="16"/>
                <w:szCs w:val="16"/>
                <w:lang w:val="lv-LV"/>
              </w:rPr>
            </w:pPr>
            <w:bookmarkStart w:id="78" w:name="_Hlk160436456"/>
            <w:r w:rsidRPr="00387441">
              <w:rPr>
                <w:rStyle w:val="Strong"/>
                <w:rFonts w:cstheme="majorHAnsi"/>
                <w:sz w:val="20"/>
                <w:szCs w:val="20"/>
                <w:lang w:val="lv-LV"/>
              </w:rPr>
              <w:lastRenderedPageBreak/>
              <w:t>2021-2027</w:t>
            </w:r>
          </w:p>
        </w:tc>
        <w:tc>
          <w:tcPr>
            <w:tcW w:w="2971" w:type="dxa"/>
            <w:gridSpan w:val="3"/>
            <w:tcBorders>
              <w:left w:val="single" w:sz="8" w:space="0" w:color="auto"/>
              <w:bottom w:val="single" w:sz="4" w:space="0" w:color="auto"/>
              <w:right w:val="single" w:sz="4" w:space="0" w:color="auto"/>
            </w:tcBorders>
            <w:shd w:val="clear" w:color="auto" w:fill="4C94D8" w:themeFill="text2" w:themeFillTint="80"/>
            <w:vAlign w:val="center"/>
          </w:tcPr>
          <w:p w14:paraId="4000940D" w14:textId="77777777" w:rsidR="00060A08" w:rsidRPr="00387441" w:rsidRDefault="00060A08"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ETS</w:t>
            </w:r>
          </w:p>
        </w:tc>
        <w:tc>
          <w:tcPr>
            <w:tcW w:w="2160" w:type="dxa"/>
            <w:gridSpan w:val="2"/>
            <w:tcBorders>
              <w:top w:val="nil"/>
              <w:left w:val="single" w:sz="8" w:space="0" w:color="auto"/>
              <w:bottom w:val="single" w:sz="4" w:space="0" w:color="auto"/>
              <w:right w:val="single" w:sz="8" w:space="0" w:color="auto"/>
            </w:tcBorders>
            <w:shd w:val="clear" w:color="auto" w:fill="auto"/>
            <w:vAlign w:val="center"/>
          </w:tcPr>
          <w:p w14:paraId="713C7E5A" w14:textId="77777777" w:rsidR="00060A08" w:rsidRPr="00387441" w:rsidRDefault="00060A08"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p>
        </w:tc>
        <w:tc>
          <w:tcPr>
            <w:tcW w:w="3482" w:type="dxa"/>
            <w:tcBorders>
              <w:left w:val="single" w:sz="8" w:space="0" w:color="auto"/>
              <w:bottom w:val="single" w:sz="4" w:space="0" w:color="auto"/>
            </w:tcBorders>
            <w:shd w:val="clear" w:color="auto" w:fill="4C94D8" w:themeFill="text2" w:themeFillTint="80"/>
            <w:vAlign w:val="center"/>
          </w:tcPr>
          <w:p w14:paraId="38C83569" w14:textId="77777777" w:rsidR="00060A08" w:rsidRPr="00387441" w:rsidRDefault="00060A08"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ETS</w:t>
            </w:r>
          </w:p>
        </w:tc>
      </w:tr>
      <w:tr w:rsidR="00060A08" w:rsidRPr="00387441" w14:paraId="3BA7F7F5" w14:textId="77777777" w:rsidTr="00BF2DD7">
        <w:trPr>
          <w:trHeight w:val="372"/>
        </w:trPr>
        <w:tc>
          <w:tcPr>
            <w:tcW w:w="2160" w:type="dxa"/>
            <w:gridSpan w:val="2"/>
            <w:tcBorders>
              <w:left w:val="single" w:sz="8" w:space="0" w:color="auto"/>
              <w:right w:val="single" w:sz="8" w:space="0" w:color="auto"/>
            </w:tcBorders>
            <w:shd w:val="clear" w:color="auto" w:fill="DAE9F7" w:themeFill="text2" w:themeFillTint="1A"/>
            <w:vAlign w:val="center"/>
          </w:tcPr>
          <w:p w14:paraId="6BCB7F92" w14:textId="6C147E27" w:rsidR="00060A08" w:rsidRPr="00387441" w:rsidRDefault="00060A08" w:rsidP="0081523F">
            <w:pPr>
              <w:pStyle w:val="ListParagraph"/>
              <w:spacing w:after="0" w:line="240" w:lineRule="auto"/>
              <w:ind w:left="0" w:firstLine="37"/>
              <w:contextualSpacing w:val="0"/>
              <w:jc w:val="center"/>
              <w:rPr>
                <w:rStyle w:val="Strong"/>
                <w:rFonts w:cstheme="majorHAnsi"/>
                <w:sz w:val="16"/>
                <w:szCs w:val="16"/>
                <w:lang w:val="lv-LV"/>
              </w:rPr>
            </w:pPr>
            <w:r w:rsidRPr="00387441">
              <w:rPr>
                <w:rStyle w:val="Strong"/>
                <w:rFonts w:cstheme="majorHAnsi"/>
                <w:sz w:val="16"/>
                <w:szCs w:val="16"/>
                <w:lang w:val="lv-LV"/>
              </w:rPr>
              <w:t>Neatbilstoši veikto izdevumu summa</w:t>
            </w:r>
            <w:r w:rsidR="00B105F5" w:rsidRPr="00387441">
              <w:rPr>
                <w:rStyle w:val="Strong"/>
                <w:rFonts w:cstheme="majorHAnsi"/>
                <w:sz w:val="16"/>
                <w:szCs w:val="16"/>
                <w:lang w:val="lv-LV"/>
              </w:rPr>
              <w:t xml:space="preserve"> EUR</w:t>
            </w:r>
          </w:p>
          <w:p w14:paraId="228F4D03" w14:textId="78EA03CA" w:rsidR="00817209" w:rsidRPr="00387441" w:rsidRDefault="00817209" w:rsidP="0081523F">
            <w:pPr>
              <w:pStyle w:val="ListParagraph"/>
              <w:spacing w:after="0" w:line="240" w:lineRule="auto"/>
              <w:ind w:left="0" w:firstLine="37"/>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2971" w:type="dxa"/>
            <w:gridSpan w:val="3"/>
            <w:tcBorders>
              <w:left w:val="single" w:sz="8" w:space="0" w:color="auto"/>
              <w:right w:val="single" w:sz="4" w:space="0" w:color="auto"/>
            </w:tcBorders>
            <w:shd w:val="clear" w:color="auto" w:fill="auto"/>
            <w:vAlign w:val="center"/>
          </w:tcPr>
          <w:p w14:paraId="18C9D9A9" w14:textId="5BDF1A64" w:rsidR="008467E1" w:rsidRPr="00387441" w:rsidRDefault="00EE1750" w:rsidP="00510C90">
            <w:pPr>
              <w:pStyle w:val="ListParagraph"/>
              <w:spacing w:after="0" w:line="240" w:lineRule="auto"/>
              <w:ind w:left="0" w:right="-107"/>
              <w:contextualSpacing w:val="0"/>
              <w:jc w:val="center"/>
              <w:rPr>
                <w:rStyle w:val="Strong"/>
                <w:rFonts w:cstheme="majorHAnsi"/>
                <w:sz w:val="16"/>
                <w:szCs w:val="16"/>
                <w:lang w:val="lv-LV"/>
              </w:rPr>
            </w:pPr>
            <w:r w:rsidRPr="00387441">
              <w:rPr>
                <w:rStyle w:val="Strong"/>
                <w:rFonts w:cstheme="majorHAnsi"/>
                <w:sz w:val="16"/>
                <w:szCs w:val="16"/>
                <w:lang w:val="lv-LV"/>
              </w:rPr>
              <w:t>11 547,15</w:t>
            </w:r>
          </w:p>
          <w:p w14:paraId="66F2931F" w14:textId="77777777" w:rsidR="00F74F32" w:rsidRPr="00387441" w:rsidRDefault="00F74F32" w:rsidP="00510C90">
            <w:pPr>
              <w:pStyle w:val="ListParagraph"/>
              <w:spacing w:after="0" w:line="240" w:lineRule="auto"/>
              <w:ind w:left="0" w:right="-107"/>
              <w:contextualSpacing w:val="0"/>
              <w:jc w:val="center"/>
              <w:rPr>
                <w:rStyle w:val="Strong"/>
                <w:rFonts w:cstheme="majorHAnsi"/>
                <w:i/>
                <w:iCs/>
                <w:color w:val="ADADAD" w:themeColor="background2" w:themeShade="BF"/>
                <w:sz w:val="16"/>
                <w:szCs w:val="16"/>
                <w:lang w:val="lv-LV"/>
              </w:rPr>
            </w:pPr>
          </w:p>
          <w:p w14:paraId="6E8A3FA2" w14:textId="2216FCF2" w:rsidR="00060A08" w:rsidRPr="00387441" w:rsidRDefault="00817209" w:rsidP="00510C90">
            <w:pPr>
              <w:pStyle w:val="ListParagraph"/>
              <w:spacing w:after="0" w:line="240" w:lineRule="auto"/>
              <w:ind w:left="0" w:right="-107"/>
              <w:contextualSpacing w:val="0"/>
              <w:jc w:val="center"/>
              <w:rPr>
                <w:rStyle w:val="Strong"/>
                <w:rFonts w:cstheme="majorHAnsi"/>
                <w:b w:val="0"/>
                <w:bCs w:val="0"/>
                <w:sz w:val="16"/>
                <w:szCs w:val="16"/>
                <w:lang w:val="lv-LV"/>
              </w:rPr>
            </w:pPr>
            <w:r w:rsidRPr="00387441">
              <w:rPr>
                <w:rStyle w:val="Strong"/>
                <w:rFonts w:cstheme="majorHAnsi"/>
                <w:i/>
                <w:iCs/>
                <w:color w:val="ADADAD" w:themeColor="background2" w:themeShade="BF"/>
                <w:sz w:val="16"/>
                <w:szCs w:val="16"/>
                <w:lang w:val="lv-LV"/>
              </w:rPr>
              <w:t>(</w:t>
            </w:r>
            <w:r w:rsidR="00060A08" w:rsidRPr="00387441">
              <w:rPr>
                <w:rStyle w:val="Strong"/>
                <w:rFonts w:cstheme="majorHAnsi"/>
                <w:i/>
                <w:iCs/>
                <w:color w:val="ADADAD" w:themeColor="background2" w:themeShade="BF"/>
                <w:sz w:val="16"/>
                <w:szCs w:val="16"/>
                <w:lang w:val="lv-LV"/>
              </w:rPr>
              <w:t>40.54</w:t>
            </w:r>
            <w:r w:rsidR="008467E1" w:rsidRPr="00387441">
              <w:rPr>
                <w:rStyle w:val="Strong"/>
                <w:rFonts w:cstheme="majorHAnsi"/>
                <w:i/>
                <w:iCs/>
                <w:color w:val="ADADAD" w:themeColor="background2" w:themeShade="BF"/>
                <w:sz w:val="16"/>
                <w:szCs w:val="16"/>
                <w:lang w:val="lv-LV"/>
              </w:rPr>
              <w:t>)</w:t>
            </w:r>
          </w:p>
        </w:tc>
        <w:tc>
          <w:tcPr>
            <w:tcW w:w="2153" w:type="dxa"/>
            <w:tcBorders>
              <w:left w:val="single" w:sz="8" w:space="0" w:color="auto"/>
              <w:right w:val="single" w:sz="8" w:space="0" w:color="auto"/>
            </w:tcBorders>
            <w:shd w:val="clear" w:color="auto" w:fill="DAE9F7" w:themeFill="text2" w:themeFillTint="1A"/>
            <w:vAlign w:val="center"/>
          </w:tcPr>
          <w:p w14:paraId="48B817FF" w14:textId="77777777" w:rsidR="00060A08" w:rsidRPr="00387441" w:rsidRDefault="00060A08" w:rsidP="0081523F">
            <w:pPr>
              <w:pStyle w:val="ListParagraph"/>
              <w:spacing w:after="0" w:line="240" w:lineRule="auto"/>
              <w:ind w:left="0"/>
              <w:contextualSpacing w:val="0"/>
              <w:rPr>
                <w:rStyle w:val="Strong"/>
                <w:rFonts w:cstheme="majorHAnsi"/>
                <w:sz w:val="16"/>
                <w:szCs w:val="16"/>
                <w:lang w:val="lv-LV"/>
              </w:rPr>
            </w:pPr>
            <w:r w:rsidRPr="00387441">
              <w:rPr>
                <w:rStyle w:val="Strong"/>
                <w:rFonts w:cstheme="majorHAnsi"/>
                <w:sz w:val="16"/>
                <w:szCs w:val="16"/>
                <w:lang w:val="lv-LV"/>
              </w:rPr>
              <w:t>Skaits</w:t>
            </w:r>
          </w:p>
        </w:tc>
        <w:tc>
          <w:tcPr>
            <w:tcW w:w="3489" w:type="dxa"/>
            <w:gridSpan w:val="2"/>
            <w:tcBorders>
              <w:left w:val="single" w:sz="8" w:space="0" w:color="auto"/>
            </w:tcBorders>
            <w:shd w:val="clear" w:color="auto" w:fill="auto"/>
            <w:vAlign w:val="center"/>
          </w:tcPr>
          <w:p w14:paraId="289727C8" w14:textId="49DDE452" w:rsidR="00EE1750" w:rsidRPr="00387441" w:rsidRDefault="00EE1750" w:rsidP="00510C90">
            <w:pPr>
              <w:pStyle w:val="ListParagraph"/>
              <w:spacing w:after="0" w:line="240" w:lineRule="auto"/>
              <w:ind w:left="0"/>
              <w:contextualSpacing w:val="0"/>
              <w:jc w:val="center"/>
              <w:rPr>
                <w:rStyle w:val="Strong"/>
                <w:rFonts w:cstheme="majorHAnsi"/>
                <w:sz w:val="16"/>
                <w:szCs w:val="16"/>
                <w:lang w:val="lv-LV"/>
              </w:rPr>
            </w:pPr>
            <w:r w:rsidRPr="00387441">
              <w:rPr>
                <w:rStyle w:val="Strong"/>
                <w:rFonts w:cstheme="majorHAnsi"/>
                <w:sz w:val="16"/>
                <w:szCs w:val="16"/>
                <w:lang w:val="lv-LV"/>
              </w:rPr>
              <w:t>8</w:t>
            </w:r>
          </w:p>
          <w:p w14:paraId="269D676E" w14:textId="77777777" w:rsidR="00F74F32" w:rsidRPr="00387441" w:rsidRDefault="00F74F32" w:rsidP="00510C90">
            <w:pPr>
              <w:pStyle w:val="ListParagraph"/>
              <w:spacing w:after="0" w:line="240" w:lineRule="auto"/>
              <w:ind w:left="0"/>
              <w:contextualSpacing w:val="0"/>
              <w:jc w:val="center"/>
              <w:rPr>
                <w:rStyle w:val="Strong"/>
                <w:rFonts w:cstheme="majorHAnsi"/>
                <w:i/>
                <w:iCs/>
                <w:color w:val="ADADAD" w:themeColor="background2" w:themeShade="BF"/>
                <w:sz w:val="16"/>
                <w:szCs w:val="16"/>
                <w:lang w:val="lv-LV"/>
              </w:rPr>
            </w:pPr>
          </w:p>
          <w:p w14:paraId="597D6C13" w14:textId="030309D8" w:rsidR="00060A08" w:rsidRPr="00387441" w:rsidRDefault="00EE1750" w:rsidP="00510C90">
            <w:pPr>
              <w:pStyle w:val="ListParagraph"/>
              <w:spacing w:after="0" w:line="240" w:lineRule="auto"/>
              <w:ind w:left="0"/>
              <w:contextualSpacing w:val="0"/>
              <w:jc w:val="center"/>
              <w:rPr>
                <w:rStyle w:val="Strong"/>
                <w:rFonts w:cstheme="majorHAnsi"/>
                <w:b w:val="0"/>
                <w:bCs w:val="0"/>
                <w:sz w:val="16"/>
                <w:szCs w:val="16"/>
                <w:lang w:val="lv-LV"/>
              </w:rPr>
            </w:pPr>
            <w:r w:rsidRPr="00387441">
              <w:rPr>
                <w:rStyle w:val="Strong"/>
                <w:rFonts w:cstheme="majorHAnsi"/>
                <w:i/>
                <w:iCs/>
                <w:color w:val="ADADAD" w:themeColor="background2" w:themeShade="BF"/>
                <w:sz w:val="16"/>
                <w:szCs w:val="16"/>
                <w:lang w:val="lv-LV"/>
              </w:rPr>
              <w:t>(1)</w:t>
            </w:r>
          </w:p>
        </w:tc>
      </w:tr>
      <w:tr w:rsidR="00060A08" w:rsidRPr="00387441" w14:paraId="37708857" w14:textId="77777777" w:rsidTr="00BF2DD7">
        <w:trPr>
          <w:trHeight w:val="318"/>
        </w:trPr>
        <w:tc>
          <w:tcPr>
            <w:tcW w:w="2160" w:type="dxa"/>
            <w:gridSpan w:val="2"/>
            <w:tcBorders>
              <w:left w:val="single" w:sz="8" w:space="0" w:color="auto"/>
              <w:bottom w:val="single" w:sz="4" w:space="0" w:color="auto"/>
              <w:right w:val="single" w:sz="8" w:space="0" w:color="auto"/>
            </w:tcBorders>
            <w:shd w:val="clear" w:color="auto" w:fill="DAE9F7" w:themeFill="text2" w:themeFillTint="1A"/>
            <w:vAlign w:val="center"/>
          </w:tcPr>
          <w:p w14:paraId="35E050CA" w14:textId="02FED989" w:rsidR="00060A08" w:rsidRPr="00387441" w:rsidRDefault="008B32BB" w:rsidP="00817209">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Atgūto naudas līdzekļu summa</w:t>
            </w:r>
            <w:r w:rsidR="0024525C" w:rsidRPr="00387441">
              <w:rPr>
                <w:rStyle w:val="Strong"/>
                <w:rFonts w:cstheme="majorHAnsi"/>
                <w:sz w:val="16"/>
                <w:szCs w:val="16"/>
                <w:lang w:val="lv-LV"/>
              </w:rPr>
              <w:t xml:space="preserve"> EUR</w:t>
            </w:r>
            <w:r w:rsidR="0024525C" w:rsidRPr="00387441">
              <w:rPr>
                <w:rStyle w:val="FootnoteReference"/>
                <w:rFonts w:cstheme="majorHAnsi"/>
                <w:b/>
                <w:bCs/>
                <w:sz w:val="16"/>
                <w:szCs w:val="16"/>
                <w:lang w:val="lv-LV"/>
              </w:rPr>
              <w:footnoteReference w:id="15"/>
            </w:r>
          </w:p>
        </w:tc>
        <w:tc>
          <w:tcPr>
            <w:tcW w:w="2971" w:type="dxa"/>
            <w:gridSpan w:val="3"/>
            <w:tcBorders>
              <w:left w:val="single" w:sz="8" w:space="0" w:color="auto"/>
              <w:bottom w:val="single" w:sz="4" w:space="0" w:color="auto"/>
              <w:right w:val="single" w:sz="4" w:space="0" w:color="auto"/>
            </w:tcBorders>
            <w:shd w:val="clear" w:color="auto" w:fill="auto"/>
            <w:vAlign w:val="center"/>
          </w:tcPr>
          <w:p w14:paraId="7988269A" w14:textId="781F5F72" w:rsidR="00060A08" w:rsidRPr="00387441" w:rsidRDefault="0024525C" w:rsidP="00510C90">
            <w:pPr>
              <w:pStyle w:val="ListParagraph"/>
              <w:spacing w:after="0" w:line="240" w:lineRule="auto"/>
              <w:ind w:left="0" w:right="-107"/>
              <w:contextualSpacing w:val="0"/>
              <w:jc w:val="center"/>
              <w:rPr>
                <w:rStyle w:val="Strong"/>
                <w:rFonts w:cstheme="majorHAnsi"/>
                <w:b w:val="0"/>
                <w:bCs w:val="0"/>
                <w:sz w:val="16"/>
                <w:szCs w:val="16"/>
                <w:lang w:val="lv-LV"/>
              </w:rPr>
            </w:pPr>
            <w:r w:rsidRPr="00387441">
              <w:rPr>
                <w:rStyle w:val="Strong"/>
                <w:rFonts w:cstheme="majorHAnsi"/>
                <w:sz w:val="16"/>
                <w:szCs w:val="16"/>
                <w:lang w:val="lv-LV"/>
              </w:rPr>
              <w:t>11 547,15</w:t>
            </w:r>
          </w:p>
        </w:tc>
        <w:tc>
          <w:tcPr>
            <w:tcW w:w="2153" w:type="dxa"/>
            <w:tcBorders>
              <w:left w:val="single" w:sz="8" w:space="0" w:color="auto"/>
              <w:bottom w:val="single" w:sz="4" w:space="0" w:color="auto"/>
              <w:right w:val="single" w:sz="8" w:space="0" w:color="auto"/>
            </w:tcBorders>
            <w:shd w:val="clear" w:color="auto" w:fill="DAE9F7" w:themeFill="text2" w:themeFillTint="1A"/>
            <w:vAlign w:val="center"/>
          </w:tcPr>
          <w:p w14:paraId="773DDE40" w14:textId="77777777" w:rsidR="00060A08" w:rsidRPr="00387441" w:rsidRDefault="00060A08" w:rsidP="0081523F">
            <w:pPr>
              <w:pStyle w:val="ListParagraph"/>
              <w:spacing w:after="0" w:line="240" w:lineRule="auto"/>
              <w:ind w:left="0" w:firstLine="295"/>
              <w:contextualSpacing w:val="0"/>
              <w:rPr>
                <w:rStyle w:val="Strong"/>
                <w:rFonts w:cstheme="majorHAnsi"/>
                <w:sz w:val="16"/>
                <w:szCs w:val="16"/>
                <w:lang w:val="lv-LV"/>
              </w:rPr>
            </w:pPr>
            <w:r w:rsidRPr="00387441">
              <w:rPr>
                <w:rStyle w:val="Strong"/>
                <w:rFonts w:cstheme="majorHAnsi"/>
                <w:sz w:val="16"/>
                <w:szCs w:val="16"/>
                <w:lang w:val="lv-LV"/>
              </w:rPr>
              <w:t>Atklāšanas veids</w:t>
            </w:r>
          </w:p>
        </w:tc>
        <w:tc>
          <w:tcPr>
            <w:tcW w:w="3489" w:type="dxa"/>
            <w:gridSpan w:val="2"/>
            <w:tcBorders>
              <w:left w:val="single" w:sz="8" w:space="0" w:color="auto"/>
              <w:bottom w:val="single" w:sz="4" w:space="0" w:color="auto"/>
            </w:tcBorders>
            <w:shd w:val="clear" w:color="auto" w:fill="auto"/>
            <w:vAlign w:val="center"/>
          </w:tcPr>
          <w:p w14:paraId="1B842447" w14:textId="611D5DDE" w:rsidR="00060A08" w:rsidRPr="00387441" w:rsidRDefault="00060A08" w:rsidP="0024525C">
            <w:pPr>
              <w:pStyle w:val="ListParagraph"/>
              <w:spacing w:after="0" w:line="240" w:lineRule="auto"/>
              <w:ind w:left="0" w:hanging="23"/>
              <w:contextualSpacing w:val="0"/>
              <w:jc w:val="center"/>
              <w:rPr>
                <w:rStyle w:val="Strong"/>
                <w:rFonts w:cstheme="majorHAnsi"/>
                <w:b w:val="0"/>
                <w:bCs w:val="0"/>
                <w:sz w:val="16"/>
                <w:szCs w:val="16"/>
                <w:lang w:val="lv-LV"/>
              </w:rPr>
            </w:pPr>
            <w:r w:rsidRPr="00387441">
              <w:rPr>
                <w:rStyle w:val="Strong"/>
                <w:rFonts w:cstheme="majorHAnsi"/>
                <w:sz w:val="16"/>
                <w:szCs w:val="16"/>
                <w:lang w:val="lv-LV"/>
              </w:rPr>
              <w:t xml:space="preserve">Finanšu kontroles institūcijas </w:t>
            </w:r>
            <w:r w:rsidR="003D722D" w:rsidRPr="00387441">
              <w:rPr>
                <w:rStyle w:val="Strong"/>
                <w:rFonts w:cstheme="majorHAnsi"/>
                <w:sz w:val="16"/>
                <w:szCs w:val="16"/>
                <w:lang w:val="lv-LV"/>
              </w:rPr>
              <w:t>pārbaudes</w:t>
            </w:r>
            <w:r w:rsidRPr="00387441">
              <w:rPr>
                <w:rStyle w:val="Strong"/>
                <w:rFonts w:cstheme="majorHAnsi"/>
                <w:sz w:val="16"/>
                <w:szCs w:val="16"/>
                <w:lang w:val="lv-LV"/>
              </w:rPr>
              <w:t xml:space="preserve"> pirms projektu īstenotāju atskaišu iesniegšanas</w:t>
            </w:r>
            <w:r w:rsidR="003D722D" w:rsidRPr="00387441">
              <w:rPr>
                <w:rStyle w:val="Strong"/>
                <w:rFonts w:cstheme="majorHAnsi"/>
                <w:sz w:val="16"/>
                <w:szCs w:val="16"/>
                <w:lang w:val="lv-LV"/>
              </w:rPr>
              <w:t xml:space="preserve"> Interreg programmām</w:t>
            </w:r>
          </w:p>
        </w:tc>
      </w:tr>
    </w:tbl>
    <w:p w14:paraId="7F5127C6" w14:textId="77777777" w:rsidR="00CC74E0" w:rsidRPr="00387441" w:rsidRDefault="00CC74E0" w:rsidP="000D0617">
      <w:pPr>
        <w:spacing w:after="120" w:line="276" w:lineRule="auto"/>
        <w:rPr>
          <w:lang w:val="lv-LV"/>
        </w:rPr>
      </w:pPr>
      <w:bookmarkStart w:id="79" w:name="_Toc128581414"/>
      <w:bookmarkStart w:id="80" w:name="_Toc128581762"/>
      <w:bookmarkStart w:id="81" w:name="_Toc128581994"/>
      <w:bookmarkStart w:id="82" w:name="_Toc167178718"/>
      <w:bookmarkEnd w:id="78"/>
    </w:p>
    <w:p w14:paraId="418A7CE5" w14:textId="7D213DEA" w:rsidR="00F75B8A" w:rsidRPr="00387441" w:rsidRDefault="002D5A96" w:rsidP="000D0617">
      <w:pPr>
        <w:spacing w:after="120" w:line="276" w:lineRule="auto"/>
        <w:rPr>
          <w:lang w:val="lv-LV"/>
        </w:rPr>
      </w:pPr>
      <w:r w:rsidRPr="00387441">
        <w:rPr>
          <w:lang w:val="lv-LV"/>
        </w:rPr>
        <w:t>VA</w:t>
      </w:r>
      <w:r w:rsidR="00C17E87" w:rsidRPr="00387441">
        <w:rPr>
          <w:lang w:val="lv-LV"/>
        </w:rPr>
        <w:t>RAM kā Interreg programmu finanšu kontroles institūcija 2024.gadā Latvijas finansējuma saņēmēju projektos, kurus īsteno 2014.-2020.</w:t>
      </w:r>
      <w:r w:rsidR="00284C79" w:rsidRPr="00387441">
        <w:rPr>
          <w:lang w:val="lv-LV"/>
        </w:rPr>
        <w:t xml:space="preserve"> </w:t>
      </w:r>
      <w:r w:rsidR="00C17E87" w:rsidRPr="00387441">
        <w:rPr>
          <w:lang w:val="lv-LV"/>
        </w:rPr>
        <w:t xml:space="preserve">gada plānošanas periodā ir konstatējusi 15 neattiecināmo izdevumu gadījumus par kopējo summu </w:t>
      </w:r>
      <w:r w:rsidR="00284C79" w:rsidRPr="00387441">
        <w:rPr>
          <w:lang w:val="lv-LV"/>
        </w:rPr>
        <w:t xml:space="preserve">EUR </w:t>
      </w:r>
      <w:r w:rsidR="00C17E87" w:rsidRPr="00387441">
        <w:rPr>
          <w:lang w:val="lv-LV"/>
        </w:rPr>
        <w:t xml:space="preserve">155 880,61, finansējums </w:t>
      </w:r>
      <w:r w:rsidR="00284C79" w:rsidRPr="00387441">
        <w:rPr>
          <w:lang w:val="lv-LV"/>
        </w:rPr>
        <w:t>atgūts pilnā apmērā</w:t>
      </w:r>
      <w:r w:rsidR="00C17E87" w:rsidRPr="00387441">
        <w:rPr>
          <w:lang w:val="lv-LV"/>
        </w:rPr>
        <w:t xml:space="preserve">. Visos 15 gadījumos ir konstatēti iepirkuma normu pārkāpumi. </w:t>
      </w:r>
    </w:p>
    <w:p w14:paraId="01569E63" w14:textId="65B0E683" w:rsidR="00F75B8A" w:rsidRPr="00387441" w:rsidRDefault="00C17E87" w:rsidP="000D0617">
      <w:pPr>
        <w:spacing w:after="120" w:line="276" w:lineRule="auto"/>
        <w:rPr>
          <w:lang w:val="lv-LV"/>
        </w:rPr>
      </w:pPr>
      <w:r w:rsidRPr="00387441">
        <w:rPr>
          <w:lang w:val="lv-LV"/>
        </w:rPr>
        <w:t>Attiecībā uz 2021.-2027.</w:t>
      </w:r>
      <w:r w:rsidR="00284C79" w:rsidRPr="00387441">
        <w:rPr>
          <w:lang w:val="lv-LV"/>
        </w:rPr>
        <w:t xml:space="preserve"> </w:t>
      </w:r>
      <w:r w:rsidRPr="00387441">
        <w:rPr>
          <w:lang w:val="lv-LV"/>
        </w:rPr>
        <w:t>gada plānošanas periodu, Interreg</w:t>
      </w:r>
      <w:r w:rsidR="00284C79" w:rsidRPr="00387441">
        <w:rPr>
          <w:lang w:val="lv-LV"/>
        </w:rPr>
        <w:t xml:space="preserve"> </w:t>
      </w:r>
      <w:r w:rsidRPr="00387441">
        <w:rPr>
          <w:lang w:val="lv-LV"/>
        </w:rPr>
        <w:t>programmu finanšu kontroles institūcija 2024.</w:t>
      </w:r>
      <w:r w:rsidR="00284C79" w:rsidRPr="00387441">
        <w:rPr>
          <w:lang w:val="lv-LV"/>
        </w:rPr>
        <w:t xml:space="preserve"> </w:t>
      </w:r>
      <w:r w:rsidRPr="00387441">
        <w:rPr>
          <w:lang w:val="lv-LV"/>
        </w:rPr>
        <w:t xml:space="preserve">gadā konstatēja 8 iepirkuma normu pārkāpumus </w:t>
      </w:r>
      <w:r w:rsidR="00284C79" w:rsidRPr="00387441">
        <w:rPr>
          <w:lang w:val="lv-LV"/>
        </w:rPr>
        <w:t xml:space="preserve">EUR </w:t>
      </w:r>
      <w:r w:rsidRPr="00387441">
        <w:rPr>
          <w:lang w:val="lv-LV"/>
        </w:rPr>
        <w:t>11 547,15</w:t>
      </w:r>
      <w:r w:rsidR="00284C79" w:rsidRPr="00387441">
        <w:rPr>
          <w:lang w:val="lv-LV"/>
        </w:rPr>
        <w:t xml:space="preserve"> </w:t>
      </w:r>
      <w:r w:rsidRPr="00387441">
        <w:rPr>
          <w:lang w:val="lv-LV"/>
        </w:rPr>
        <w:t xml:space="preserve">apmērā. Neattiecināmie izdevumi tika konstatēti pirms projektu īstenotāju atskaišu iesniegšanas Interreg programmu institūcijām, līdz ar to tie  netika iekļauti  finansējuma pieprasījumos un netika deklarēti </w:t>
      </w:r>
      <w:r w:rsidR="0082214C" w:rsidRPr="00387441">
        <w:rPr>
          <w:lang w:val="lv-LV"/>
        </w:rPr>
        <w:t>EK</w:t>
      </w:r>
      <w:r w:rsidRPr="00387441">
        <w:rPr>
          <w:lang w:val="lv-LV"/>
        </w:rPr>
        <w:t>.</w:t>
      </w:r>
    </w:p>
    <w:p w14:paraId="769D3193" w14:textId="60A6C52F" w:rsidR="00F75B8A" w:rsidRPr="00387441" w:rsidRDefault="00867D74" w:rsidP="000D0617">
      <w:pPr>
        <w:spacing w:after="120" w:line="276" w:lineRule="auto"/>
        <w:rPr>
          <w:lang w:val="lv-LV"/>
        </w:rPr>
      </w:pPr>
      <w:r w:rsidRPr="00387441">
        <w:rPr>
          <w:lang w:val="lv-LV"/>
        </w:rPr>
        <w:t>S</w:t>
      </w:r>
      <w:r w:rsidR="00C17E87" w:rsidRPr="00387441">
        <w:rPr>
          <w:lang w:val="lv-LV"/>
        </w:rPr>
        <w:t>alīdzinot datus par 2014.-2020.</w:t>
      </w:r>
      <w:r w:rsidR="00284C79" w:rsidRPr="00387441">
        <w:rPr>
          <w:lang w:val="lv-LV"/>
        </w:rPr>
        <w:t xml:space="preserve"> </w:t>
      </w:r>
      <w:r w:rsidR="00C17E87" w:rsidRPr="00387441">
        <w:rPr>
          <w:lang w:val="lv-LV"/>
        </w:rPr>
        <w:t xml:space="preserve">gada plānošanas periodu </w:t>
      </w:r>
      <w:r w:rsidRPr="00387441">
        <w:rPr>
          <w:lang w:val="lv-LV"/>
        </w:rPr>
        <w:t xml:space="preserve">2024. gadā </w:t>
      </w:r>
      <w:r w:rsidR="00C17E87" w:rsidRPr="00387441">
        <w:rPr>
          <w:lang w:val="lv-LV"/>
        </w:rPr>
        <w:t xml:space="preserve">ar </w:t>
      </w:r>
      <w:r w:rsidR="00DF5BD0" w:rsidRPr="00387441">
        <w:rPr>
          <w:lang w:val="lv-LV"/>
        </w:rPr>
        <w:t>iepriekšējo gadu</w:t>
      </w:r>
      <w:r w:rsidR="00C17E87" w:rsidRPr="00387441">
        <w:rPr>
          <w:lang w:val="lv-LV"/>
        </w:rPr>
        <w:t xml:space="preserve"> ir secināms, ka neattiecināmo izdevumu gadījumu skaits samazinājies (2024.</w:t>
      </w:r>
      <w:r w:rsidR="00DE5725" w:rsidRPr="00387441">
        <w:rPr>
          <w:lang w:val="lv-LV"/>
        </w:rPr>
        <w:t xml:space="preserve"> </w:t>
      </w:r>
      <w:r w:rsidR="00C17E87" w:rsidRPr="00387441">
        <w:rPr>
          <w:lang w:val="lv-LV"/>
        </w:rPr>
        <w:t>gadā ir 15 gadījumi, bet 2023.</w:t>
      </w:r>
      <w:r w:rsidR="00DE5725" w:rsidRPr="00387441">
        <w:rPr>
          <w:lang w:val="lv-LV"/>
        </w:rPr>
        <w:t xml:space="preserve"> </w:t>
      </w:r>
      <w:r w:rsidR="00C17E87" w:rsidRPr="00387441">
        <w:rPr>
          <w:lang w:val="lv-LV"/>
        </w:rPr>
        <w:t>gadā bija 27 gadījumi).  Savukārt 2021.-2027. gada plānošanas periodā neattiecināmo izdevumu gadījumu skaits ir palielinājies</w:t>
      </w:r>
      <w:r w:rsidR="00662CD1" w:rsidRPr="00387441">
        <w:rPr>
          <w:lang w:val="lv-LV"/>
        </w:rPr>
        <w:t xml:space="preserve"> salīdzinājumā ar iepriekšējo </w:t>
      </w:r>
      <w:r w:rsidR="003919B8" w:rsidRPr="00387441">
        <w:rPr>
          <w:lang w:val="lv-LV"/>
        </w:rPr>
        <w:t>ziņošanas</w:t>
      </w:r>
      <w:r w:rsidR="00662CD1" w:rsidRPr="00387441">
        <w:rPr>
          <w:lang w:val="lv-LV"/>
        </w:rPr>
        <w:t xml:space="preserve"> gadu</w:t>
      </w:r>
      <w:r w:rsidR="00C17E87" w:rsidRPr="00387441">
        <w:rPr>
          <w:lang w:val="lv-LV"/>
        </w:rPr>
        <w:t xml:space="preserve"> (2024.</w:t>
      </w:r>
      <w:r w:rsidR="00DE5725" w:rsidRPr="00387441">
        <w:rPr>
          <w:lang w:val="lv-LV"/>
        </w:rPr>
        <w:t xml:space="preserve"> </w:t>
      </w:r>
      <w:r w:rsidR="00C17E87" w:rsidRPr="00387441">
        <w:rPr>
          <w:lang w:val="lv-LV"/>
        </w:rPr>
        <w:t>gadā ir 8 gadījumi, bet 2023.</w:t>
      </w:r>
      <w:r w:rsidR="003919B8" w:rsidRPr="00387441">
        <w:rPr>
          <w:lang w:val="lv-LV"/>
        </w:rPr>
        <w:t xml:space="preserve"> </w:t>
      </w:r>
      <w:r w:rsidR="00C17E87" w:rsidRPr="00387441">
        <w:rPr>
          <w:lang w:val="lv-LV"/>
        </w:rPr>
        <w:t>gadā bija 1 gadījums</w:t>
      </w:r>
      <w:r w:rsidR="003442A9" w:rsidRPr="00387441">
        <w:rPr>
          <w:lang w:val="lv-LV"/>
        </w:rPr>
        <w:t>)</w:t>
      </w:r>
      <w:r w:rsidR="00C17E87" w:rsidRPr="00387441">
        <w:rPr>
          <w:lang w:val="lv-LV"/>
        </w:rPr>
        <w:t>. Rādītāji palielinās, jo 2024.</w:t>
      </w:r>
      <w:r w:rsidR="00DF5BD0" w:rsidRPr="00387441">
        <w:rPr>
          <w:lang w:val="lv-LV"/>
        </w:rPr>
        <w:t xml:space="preserve"> </w:t>
      </w:r>
      <w:r w:rsidR="00C17E87" w:rsidRPr="00387441">
        <w:rPr>
          <w:lang w:val="lv-LV"/>
        </w:rPr>
        <w:t>gadā ti</w:t>
      </w:r>
      <w:r w:rsidR="00DF5BD0" w:rsidRPr="00387441">
        <w:rPr>
          <w:lang w:val="lv-LV"/>
        </w:rPr>
        <w:t>ka</w:t>
      </w:r>
      <w:r w:rsidR="00C17E87" w:rsidRPr="00387441">
        <w:rPr>
          <w:lang w:val="lv-LV"/>
        </w:rPr>
        <w:t xml:space="preserve"> īstenoti vairāk projekti, nekā 2023.</w:t>
      </w:r>
      <w:r w:rsidR="003442A9" w:rsidRPr="00387441">
        <w:rPr>
          <w:lang w:val="lv-LV"/>
        </w:rPr>
        <w:t xml:space="preserve"> </w:t>
      </w:r>
      <w:r w:rsidR="00C17E87" w:rsidRPr="00387441">
        <w:rPr>
          <w:lang w:val="lv-LV"/>
        </w:rPr>
        <w:t>gadā</w:t>
      </w:r>
      <w:r w:rsidR="00DF5BD0" w:rsidRPr="00387441">
        <w:rPr>
          <w:lang w:val="lv-LV"/>
        </w:rPr>
        <w:t xml:space="preserve">, </w:t>
      </w:r>
      <w:r w:rsidR="00C17E87" w:rsidRPr="00387441">
        <w:rPr>
          <w:lang w:val="lv-LV"/>
        </w:rPr>
        <w:t>līdz ar to arī kļūdu iespējamība pieauga</w:t>
      </w:r>
      <w:r w:rsidR="00DF5BD0" w:rsidRPr="00387441">
        <w:rPr>
          <w:lang w:val="lv-LV"/>
        </w:rPr>
        <w:t>.</w:t>
      </w:r>
    </w:p>
    <w:p w14:paraId="768EE960" w14:textId="378B04AA" w:rsidR="00C17E87" w:rsidRPr="00387441" w:rsidRDefault="00392D2C" w:rsidP="00392D2C">
      <w:pPr>
        <w:spacing w:after="120" w:line="276" w:lineRule="auto"/>
        <w:rPr>
          <w:lang w:val="lv-LV"/>
        </w:rPr>
      </w:pPr>
      <w:r w:rsidRPr="000275D0">
        <w:rPr>
          <w:lang w:val="lv-LV"/>
        </w:rPr>
        <w:t>Neattiecināmo izdevumu gadījumu īpatsvars kopējos Interreg programmu Latvijas finansējuma saņēmēju izdevumos 2024.</w:t>
      </w:r>
      <w:r w:rsidR="008F04D3" w:rsidRPr="000275D0">
        <w:rPr>
          <w:lang w:val="lv-LV"/>
        </w:rPr>
        <w:t xml:space="preserve"> </w:t>
      </w:r>
      <w:r w:rsidRPr="000275D0">
        <w:rPr>
          <w:lang w:val="lv-LV"/>
        </w:rPr>
        <w:t>gadā 2021.-2027. gada plānošanas perioda projektos ir 0,18</w:t>
      </w:r>
      <w:r w:rsidR="008F04D3" w:rsidRPr="000275D0">
        <w:rPr>
          <w:lang w:val="lv-LV"/>
        </w:rPr>
        <w:t xml:space="preserve"> </w:t>
      </w:r>
      <w:r w:rsidRPr="000275D0">
        <w:rPr>
          <w:lang w:val="lv-LV"/>
        </w:rPr>
        <w:t>%, savukārt 2024.</w:t>
      </w:r>
      <w:r w:rsidR="008F04D3" w:rsidRPr="000275D0">
        <w:rPr>
          <w:lang w:val="lv-LV"/>
        </w:rPr>
        <w:t xml:space="preserve"> </w:t>
      </w:r>
      <w:r w:rsidRPr="000275D0">
        <w:rPr>
          <w:lang w:val="lv-LV"/>
        </w:rPr>
        <w:t>gada  neattiecināmo izdevumu gadījumu salīdzinoši lielais īpatsvars 2014.-2020. gada plānošanas perioda projektos (7,8</w:t>
      </w:r>
      <w:r w:rsidR="008F04D3" w:rsidRPr="000275D0">
        <w:rPr>
          <w:lang w:val="lv-LV"/>
        </w:rPr>
        <w:t xml:space="preserve"> </w:t>
      </w:r>
      <w:r w:rsidRPr="000275D0">
        <w:rPr>
          <w:lang w:val="lv-LV"/>
        </w:rPr>
        <w:t xml:space="preserve">%) ir skaidrojams ar to, ka faktiski lielākā daļa projektu jau bija pabeigta, bet atlikušajos ar nelielu finansējuma atlikumu tika konstatēti maza apjoma neattiecināmie izdevumi, kas matemātiski uzrāda lielāku īpatsvaru. Šie neattiecināmie izdevumi tika konstatēti pirms projektu īstenotāju atskaišu iesniegšanas Interreg programmu institūcijām, līdz ar to tie  netika iekļauti finansējuma pieprasījumos un </w:t>
      </w:r>
      <w:r w:rsidRPr="00FA53E7">
        <w:rPr>
          <w:lang w:val="lv-LV"/>
        </w:rPr>
        <w:lastRenderedPageBreak/>
        <w:t>netika deklarēti EK. Līdz ar to ir secināms, ka ETS programmu vadības un kontroles sistēma abos plānošanas periodos darbojas efektīvi.</w:t>
      </w:r>
      <w:r w:rsidRPr="00387441">
        <w:rPr>
          <w:lang w:val="lv-LV"/>
        </w:rPr>
        <w:t xml:space="preserve"> </w:t>
      </w:r>
    </w:p>
    <w:p w14:paraId="74F16D5F" w14:textId="01A559AD" w:rsidR="00C17E87" w:rsidRPr="00387441" w:rsidRDefault="003277B3" w:rsidP="000D0617">
      <w:pPr>
        <w:spacing w:after="120" w:line="276" w:lineRule="auto"/>
        <w:rPr>
          <w:b/>
          <w:lang w:val="lv-LV"/>
        </w:rPr>
      </w:pPr>
      <w:r w:rsidRPr="00387441">
        <w:rPr>
          <w:b/>
          <w:lang w:val="lv-LV"/>
        </w:rPr>
        <w:t>2024. gadā netika konstatēti krāpšanas / aizdomu par krāpšanu gadījumi.</w:t>
      </w:r>
    </w:p>
    <w:p w14:paraId="5A5D563D" w14:textId="77777777" w:rsidR="00F75B8A" w:rsidRPr="00387441" w:rsidRDefault="00F75B8A" w:rsidP="00F75B8A">
      <w:pPr>
        <w:pStyle w:val="Heading4"/>
        <w:rPr>
          <w:rFonts w:eastAsiaTheme="minorHAnsi"/>
        </w:rPr>
      </w:pPr>
    </w:p>
    <w:p w14:paraId="328E1E1E" w14:textId="3EFF394C" w:rsidR="00060A08" w:rsidRPr="00387441" w:rsidRDefault="00364BCF" w:rsidP="00F75B8A">
      <w:pPr>
        <w:pStyle w:val="Heading4"/>
        <w:rPr>
          <w:rStyle w:val="Strong"/>
          <w:b/>
          <w:bCs w:val="0"/>
        </w:rPr>
      </w:pPr>
      <w:bookmarkStart w:id="83" w:name="_Toc192753110"/>
      <w:r w:rsidRPr="00387441">
        <w:rPr>
          <w:rStyle w:val="Strong"/>
          <w:b/>
          <w:bCs w:val="0"/>
        </w:rPr>
        <w:t>B.</w:t>
      </w:r>
      <w:r w:rsidR="006644EC" w:rsidRPr="00387441">
        <w:rPr>
          <w:rStyle w:val="Strong"/>
          <w:b/>
          <w:bCs w:val="0"/>
        </w:rPr>
        <w:t>3</w:t>
      </w:r>
      <w:r w:rsidR="00060A08" w:rsidRPr="00387441">
        <w:rPr>
          <w:rStyle w:val="Strong"/>
          <w:b/>
          <w:bCs w:val="0"/>
        </w:rPr>
        <w:t xml:space="preserve">.4. Eiropas Atbalsta fonds vistrūcīgākajām personām (EAFVP) </w:t>
      </w:r>
      <w:bookmarkEnd w:id="79"/>
      <w:bookmarkEnd w:id="80"/>
      <w:bookmarkEnd w:id="81"/>
      <w:r w:rsidR="00060A08" w:rsidRPr="00387441">
        <w:rPr>
          <w:rStyle w:val="Strong"/>
          <w:b/>
          <w:bCs w:val="0"/>
        </w:rPr>
        <w:t>un ESF Plus programma materiālās nenodrošinātības mazināšanai 2021.–2027. gadam</w:t>
      </w:r>
      <w:bookmarkEnd w:id="82"/>
      <w:r w:rsidR="00F90725" w:rsidRPr="00387441">
        <w:rPr>
          <w:rStyle w:val="Strong"/>
          <w:b/>
          <w:bCs w:val="0"/>
        </w:rPr>
        <w:t xml:space="preserve"> (</w:t>
      </w:r>
      <w:r w:rsidR="00E76C9D" w:rsidRPr="00387441">
        <w:rPr>
          <w:rStyle w:val="Strong"/>
          <w:b/>
          <w:bCs w:val="0"/>
        </w:rPr>
        <w:t>ESF+</w:t>
      </w:r>
      <w:r w:rsidR="00746B89" w:rsidRPr="00387441">
        <w:rPr>
          <w:rStyle w:val="Strong"/>
          <w:b/>
          <w:bCs w:val="0"/>
        </w:rPr>
        <w:t xml:space="preserve"> programma</w:t>
      </w:r>
      <w:r w:rsidR="00F90725" w:rsidRPr="00387441">
        <w:rPr>
          <w:rStyle w:val="Strong"/>
          <w:b/>
          <w:bCs w:val="0"/>
        </w:rPr>
        <w:t>)</w:t>
      </w:r>
      <w:bookmarkEnd w:id="83"/>
      <w:r w:rsidR="00F90725" w:rsidRPr="00387441">
        <w:rPr>
          <w:rStyle w:val="Strong"/>
          <w:b/>
          <w:bCs w:val="0"/>
        </w:rPr>
        <w:t xml:space="preserve"> </w:t>
      </w:r>
    </w:p>
    <w:p w14:paraId="791D4973" w14:textId="0F58CBE0" w:rsidR="002D5A96" w:rsidRPr="00387441" w:rsidRDefault="002D5A96" w:rsidP="002D5A96">
      <w:pPr>
        <w:pStyle w:val="TabulasAttli"/>
        <w:spacing w:after="0"/>
        <w:ind w:firstLine="3969"/>
        <w:rPr>
          <w:sz w:val="20"/>
          <w:szCs w:val="20"/>
        </w:rPr>
      </w:pPr>
      <w:r w:rsidRPr="00387441">
        <w:rPr>
          <w:b/>
          <w:bCs/>
          <w:sz w:val="20"/>
          <w:szCs w:val="20"/>
        </w:rPr>
        <w:t>Attēls Nr.</w:t>
      </w:r>
      <w:r w:rsidR="00CA6DFE" w:rsidRPr="00387441">
        <w:rPr>
          <w:b/>
          <w:bCs/>
          <w:sz w:val="20"/>
          <w:szCs w:val="20"/>
        </w:rPr>
        <w:t>13</w:t>
      </w:r>
      <w:r w:rsidR="00060A08" w:rsidRPr="00387441">
        <w:rPr>
          <w:i w:val="0"/>
          <w:iCs w:val="0"/>
          <w:sz w:val="20"/>
          <w:szCs w:val="20"/>
        </w:rPr>
        <w:t xml:space="preserve"> </w:t>
      </w:r>
      <w:r w:rsidR="00060A08" w:rsidRPr="00387441">
        <w:rPr>
          <w:sz w:val="20"/>
          <w:szCs w:val="20"/>
        </w:rPr>
        <w:t>Kopsavilkums par EAFVP neatbilstībām un ESF Plus progra</w:t>
      </w:r>
      <w:r w:rsidRPr="00387441">
        <w:rPr>
          <w:sz w:val="20"/>
          <w:szCs w:val="20"/>
        </w:rPr>
        <w:t xml:space="preserve">mmas </w:t>
      </w:r>
      <w:r w:rsidR="00060A08" w:rsidRPr="00387441">
        <w:rPr>
          <w:sz w:val="20"/>
          <w:szCs w:val="20"/>
        </w:rPr>
        <w:t>materiālās nenodrošinātības mazināšanai</w:t>
      </w:r>
      <w:r w:rsidR="0019488B" w:rsidRPr="00387441">
        <w:rPr>
          <w:sz w:val="20"/>
          <w:szCs w:val="20"/>
        </w:rPr>
        <w:t xml:space="preserve"> 2024.gadā</w:t>
      </w:r>
    </w:p>
    <w:tbl>
      <w:tblPr>
        <w:tblStyle w:val="TableGrid"/>
        <w:tblW w:w="10773" w:type="dxa"/>
        <w:shd w:val="clear" w:color="auto" w:fill="29A3FF"/>
        <w:tblLayout w:type="fixed"/>
        <w:tblLook w:val="04A0" w:firstRow="1" w:lastRow="0" w:firstColumn="1" w:lastColumn="0" w:noHBand="0" w:noVBand="1"/>
      </w:tblPr>
      <w:tblGrid>
        <w:gridCol w:w="2183"/>
        <w:gridCol w:w="6"/>
        <w:gridCol w:w="2773"/>
        <w:gridCol w:w="2126"/>
        <w:gridCol w:w="3685"/>
      </w:tblGrid>
      <w:tr w:rsidR="004634F6" w:rsidRPr="00387441" w14:paraId="264E4B59" w14:textId="77777777" w:rsidTr="009862AC">
        <w:trPr>
          <w:trHeight w:val="176"/>
        </w:trPr>
        <w:tc>
          <w:tcPr>
            <w:tcW w:w="2189" w:type="dxa"/>
            <w:gridSpan w:val="2"/>
            <w:tcBorders>
              <w:top w:val="nil"/>
              <w:left w:val="nil"/>
            </w:tcBorders>
            <w:shd w:val="clear" w:color="auto" w:fill="auto"/>
            <w:vAlign w:val="center"/>
          </w:tcPr>
          <w:p w14:paraId="016FFF49" w14:textId="77777777" w:rsidR="004634F6" w:rsidRPr="00387441" w:rsidRDefault="004634F6" w:rsidP="0019488B">
            <w:pPr>
              <w:pStyle w:val="ListParagraph"/>
              <w:spacing w:after="0"/>
              <w:ind w:left="0"/>
              <w:contextualSpacing w:val="0"/>
              <w:jc w:val="left"/>
              <w:rPr>
                <w:rStyle w:val="Strong"/>
                <w:rFonts w:cstheme="majorHAnsi"/>
                <w:sz w:val="20"/>
                <w:szCs w:val="20"/>
                <w:lang w:val="lv-LV"/>
              </w:rPr>
            </w:pPr>
            <w:r w:rsidRPr="00387441">
              <w:rPr>
                <w:rStyle w:val="Strong"/>
                <w:rFonts w:cstheme="majorHAnsi"/>
                <w:sz w:val="20"/>
                <w:szCs w:val="20"/>
                <w:lang w:val="lv-LV"/>
              </w:rPr>
              <w:t>2014-2020</w:t>
            </w:r>
          </w:p>
        </w:tc>
        <w:tc>
          <w:tcPr>
            <w:tcW w:w="2773" w:type="dxa"/>
            <w:shd w:val="clear" w:color="auto" w:fill="4C94D8" w:themeFill="text2" w:themeFillTint="80"/>
            <w:vAlign w:val="center"/>
          </w:tcPr>
          <w:p w14:paraId="40A155FB" w14:textId="77777777" w:rsidR="004634F6" w:rsidRPr="00387441" w:rsidRDefault="004634F6" w:rsidP="00E01DC7">
            <w:pPr>
              <w:pStyle w:val="ListParagraph"/>
              <w:spacing w:after="0"/>
              <w:ind w:left="0" w:hanging="167"/>
              <w:contextualSpacing w:val="0"/>
              <w:jc w:val="center"/>
              <w:rPr>
                <w:rStyle w:val="Strong"/>
                <w:rFonts w:cstheme="majorHAnsi"/>
                <w:b w:val="0"/>
                <w:bCs w:val="0"/>
                <w:color w:val="FFFFFF" w:themeColor="background1"/>
                <w:sz w:val="16"/>
                <w:szCs w:val="16"/>
                <w:lang w:val="lv-LV"/>
              </w:rPr>
            </w:pPr>
            <w:r w:rsidRPr="00387441">
              <w:rPr>
                <w:rStyle w:val="Strong"/>
                <w:rFonts w:cstheme="majorHAnsi"/>
                <w:color w:val="FFFFFF" w:themeColor="background1"/>
                <w:sz w:val="16"/>
                <w:szCs w:val="16"/>
                <w:lang w:val="lv-LV"/>
              </w:rPr>
              <w:t>EAFVP</w:t>
            </w:r>
          </w:p>
        </w:tc>
        <w:tc>
          <w:tcPr>
            <w:tcW w:w="2126" w:type="dxa"/>
            <w:tcBorders>
              <w:top w:val="nil"/>
            </w:tcBorders>
            <w:shd w:val="clear" w:color="auto" w:fill="auto"/>
            <w:vAlign w:val="center"/>
          </w:tcPr>
          <w:p w14:paraId="086C5C73" w14:textId="77777777" w:rsidR="004634F6" w:rsidRPr="00387441" w:rsidRDefault="004634F6" w:rsidP="00510C90">
            <w:pPr>
              <w:pStyle w:val="ListParagraph"/>
              <w:spacing w:after="0"/>
              <w:ind w:left="0"/>
              <w:contextualSpacing w:val="0"/>
              <w:jc w:val="center"/>
              <w:rPr>
                <w:rStyle w:val="Strong"/>
                <w:rFonts w:cstheme="majorHAnsi"/>
                <w:color w:val="FFFFFF" w:themeColor="background1"/>
                <w:sz w:val="16"/>
                <w:szCs w:val="16"/>
                <w:lang w:val="lv-LV"/>
              </w:rPr>
            </w:pPr>
          </w:p>
        </w:tc>
        <w:tc>
          <w:tcPr>
            <w:tcW w:w="3685" w:type="dxa"/>
            <w:shd w:val="clear" w:color="auto" w:fill="4C94D8" w:themeFill="text2" w:themeFillTint="80"/>
            <w:vAlign w:val="center"/>
          </w:tcPr>
          <w:p w14:paraId="402353B0" w14:textId="5D670084" w:rsidR="004634F6" w:rsidRPr="00387441" w:rsidRDefault="004634F6" w:rsidP="00E01DC7">
            <w:pPr>
              <w:pStyle w:val="ListParagraph"/>
              <w:spacing w:after="0"/>
              <w:ind w:left="0" w:firstLine="104"/>
              <w:contextualSpacing w:val="0"/>
              <w:jc w:val="center"/>
              <w:rPr>
                <w:rStyle w:val="Strong"/>
                <w:rFonts w:cstheme="majorHAnsi"/>
                <w:b w:val="0"/>
                <w:bCs w:val="0"/>
                <w:color w:val="FFFFFF" w:themeColor="background1"/>
                <w:sz w:val="16"/>
                <w:szCs w:val="16"/>
                <w:lang w:val="lv-LV"/>
              </w:rPr>
            </w:pPr>
            <w:r w:rsidRPr="00387441">
              <w:rPr>
                <w:rStyle w:val="Strong"/>
                <w:rFonts w:cstheme="majorHAnsi"/>
                <w:color w:val="FFFFFF" w:themeColor="background1"/>
                <w:sz w:val="16"/>
                <w:szCs w:val="16"/>
                <w:lang w:val="lv-LV"/>
              </w:rPr>
              <w:t>EAFVP</w:t>
            </w:r>
          </w:p>
        </w:tc>
      </w:tr>
      <w:tr w:rsidR="004634F6" w:rsidRPr="00387441" w14:paraId="2D63CF8D" w14:textId="77777777" w:rsidTr="00D35C5C">
        <w:trPr>
          <w:trHeight w:val="340"/>
        </w:trPr>
        <w:tc>
          <w:tcPr>
            <w:tcW w:w="2189" w:type="dxa"/>
            <w:gridSpan w:val="2"/>
            <w:shd w:val="clear" w:color="auto" w:fill="DAE9F7" w:themeFill="text2" w:themeFillTint="1A"/>
            <w:vAlign w:val="center"/>
          </w:tcPr>
          <w:p w14:paraId="382F3835" w14:textId="7671C444" w:rsidR="004634F6" w:rsidRPr="00387441" w:rsidRDefault="004634F6" w:rsidP="0019488B">
            <w:pPr>
              <w:pStyle w:val="ListParagraph"/>
              <w:spacing w:after="0"/>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Neatbilstoši veikto izdevumu summa EUR</w:t>
            </w:r>
          </w:p>
          <w:p w14:paraId="24AD68F4" w14:textId="21EB8D63" w:rsidR="004634F6" w:rsidRPr="00387441" w:rsidRDefault="004634F6" w:rsidP="0019488B">
            <w:pPr>
              <w:pStyle w:val="ListParagraph"/>
              <w:spacing w:after="0"/>
              <w:ind w:left="0" w:firstLine="0"/>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2773" w:type="dxa"/>
            <w:shd w:val="clear" w:color="auto" w:fill="auto"/>
            <w:vAlign w:val="center"/>
          </w:tcPr>
          <w:p w14:paraId="66A88569" w14:textId="77777777" w:rsidR="004634F6" w:rsidRPr="00387441" w:rsidRDefault="004634F6" w:rsidP="00510C90">
            <w:pPr>
              <w:pStyle w:val="ListParagraph"/>
              <w:spacing w:after="0"/>
              <w:ind w:left="0"/>
              <w:contextualSpacing w:val="0"/>
              <w:jc w:val="center"/>
              <w:rPr>
                <w:rStyle w:val="Strong"/>
                <w:rFonts w:cstheme="majorHAnsi"/>
                <w:i/>
                <w:iCs/>
                <w:color w:val="ADADAD" w:themeColor="background2" w:themeShade="BF"/>
                <w:sz w:val="16"/>
                <w:szCs w:val="16"/>
                <w:lang w:val="lv-LV"/>
              </w:rPr>
            </w:pPr>
          </w:p>
          <w:p w14:paraId="76B7AF3A" w14:textId="7A70CBB3" w:rsidR="004634F6" w:rsidRPr="00387441" w:rsidRDefault="004634F6" w:rsidP="00680F47">
            <w:pPr>
              <w:pStyle w:val="ListParagraph"/>
              <w:spacing w:after="0"/>
              <w:ind w:left="0" w:hanging="26"/>
              <w:contextualSpacing w:val="0"/>
              <w:jc w:val="center"/>
              <w:rPr>
                <w:rStyle w:val="Strong"/>
                <w:rFonts w:cstheme="majorHAnsi"/>
                <w:sz w:val="16"/>
                <w:szCs w:val="16"/>
                <w:lang w:val="lv-LV"/>
              </w:rPr>
            </w:pPr>
            <w:r w:rsidRPr="00387441">
              <w:rPr>
                <w:rStyle w:val="Strong"/>
                <w:rFonts w:cstheme="majorHAnsi"/>
                <w:sz w:val="16"/>
                <w:szCs w:val="16"/>
                <w:lang w:val="lv-LV"/>
              </w:rPr>
              <w:t>1 603,21</w:t>
            </w:r>
          </w:p>
          <w:p w14:paraId="3A13FD7F" w14:textId="2B18E579" w:rsidR="004634F6" w:rsidRPr="00387441" w:rsidRDefault="004634F6" w:rsidP="00E161EA">
            <w:pPr>
              <w:pStyle w:val="ListParagraph"/>
              <w:spacing w:after="0"/>
              <w:ind w:left="0" w:hanging="26"/>
              <w:contextualSpacing w:val="0"/>
              <w:jc w:val="center"/>
              <w:rPr>
                <w:rStyle w:val="Strong"/>
                <w:rFonts w:cstheme="majorHAnsi"/>
                <w:b w:val="0"/>
                <w:bCs w:val="0"/>
                <w:i/>
                <w:iCs/>
                <w:color w:val="ADADAD" w:themeColor="background2" w:themeShade="BF"/>
                <w:sz w:val="16"/>
                <w:szCs w:val="16"/>
                <w:lang w:val="lv-LV"/>
              </w:rPr>
            </w:pPr>
            <w:r w:rsidRPr="00387441">
              <w:rPr>
                <w:rStyle w:val="Strong"/>
                <w:rFonts w:cstheme="majorHAnsi"/>
                <w:i/>
                <w:iCs/>
                <w:color w:val="ADADAD" w:themeColor="background2" w:themeShade="BF"/>
                <w:sz w:val="16"/>
                <w:szCs w:val="16"/>
                <w:lang w:val="lv-LV"/>
              </w:rPr>
              <w:t>(24 914.32)</w:t>
            </w:r>
          </w:p>
        </w:tc>
        <w:tc>
          <w:tcPr>
            <w:tcW w:w="2126" w:type="dxa"/>
            <w:shd w:val="clear" w:color="auto" w:fill="DAE9F7" w:themeFill="text2" w:themeFillTint="1A"/>
            <w:vAlign w:val="center"/>
          </w:tcPr>
          <w:p w14:paraId="2BF0C6A2" w14:textId="1259B723" w:rsidR="004634F6" w:rsidRPr="00387441" w:rsidRDefault="004634F6" w:rsidP="0019488B">
            <w:pPr>
              <w:pStyle w:val="ListParagraph"/>
              <w:spacing w:after="0"/>
              <w:ind w:left="0"/>
              <w:contextualSpacing w:val="0"/>
              <w:rPr>
                <w:rStyle w:val="Strong"/>
                <w:rFonts w:cstheme="majorHAnsi"/>
                <w:sz w:val="16"/>
                <w:szCs w:val="16"/>
                <w:lang w:val="lv-LV"/>
              </w:rPr>
            </w:pPr>
            <w:r w:rsidRPr="00387441">
              <w:rPr>
                <w:rStyle w:val="Strong"/>
                <w:rFonts w:cstheme="majorHAnsi"/>
                <w:sz w:val="16"/>
                <w:szCs w:val="16"/>
                <w:lang w:val="lv-LV"/>
              </w:rPr>
              <w:t>Skaits</w:t>
            </w:r>
          </w:p>
          <w:p w14:paraId="15DA9E6D" w14:textId="77777777" w:rsidR="004634F6" w:rsidRPr="00387441" w:rsidRDefault="004634F6" w:rsidP="0019488B">
            <w:pPr>
              <w:pStyle w:val="ListParagraph"/>
              <w:spacing w:after="0"/>
              <w:ind w:left="0" w:firstLine="331"/>
              <w:contextualSpacing w:val="0"/>
              <w:rPr>
                <w:rStyle w:val="Strong"/>
                <w:rFonts w:cstheme="majorHAnsi"/>
                <w:i/>
                <w:iCs/>
                <w:color w:val="A6A6A6" w:themeColor="background1" w:themeShade="A6"/>
                <w:sz w:val="16"/>
                <w:szCs w:val="16"/>
                <w:lang w:val="lv-LV"/>
              </w:rPr>
            </w:pPr>
          </w:p>
          <w:p w14:paraId="4F00F1FE" w14:textId="0B3F48DB" w:rsidR="004634F6" w:rsidRPr="00387441" w:rsidRDefault="004634F6" w:rsidP="0019488B">
            <w:pPr>
              <w:pStyle w:val="ListParagraph"/>
              <w:spacing w:after="0"/>
              <w:ind w:left="0" w:firstLine="331"/>
              <w:contextualSpacing w:val="0"/>
              <w:rPr>
                <w:rStyle w:val="Strong"/>
                <w:rFonts w:cstheme="majorHAnsi"/>
                <w:i/>
                <w:iCs/>
                <w:sz w:val="16"/>
                <w:szCs w:val="16"/>
                <w:lang w:val="lv-LV"/>
              </w:rPr>
            </w:pPr>
            <w:r w:rsidRPr="00387441">
              <w:rPr>
                <w:rStyle w:val="Strong"/>
                <w:rFonts w:cstheme="majorHAnsi"/>
                <w:i/>
                <w:iCs/>
                <w:color w:val="A6A6A6" w:themeColor="background1" w:themeShade="A6"/>
                <w:sz w:val="16"/>
                <w:szCs w:val="16"/>
                <w:lang w:val="lv-LV"/>
              </w:rPr>
              <w:t>(2023. gada dati)</w:t>
            </w:r>
          </w:p>
        </w:tc>
        <w:tc>
          <w:tcPr>
            <w:tcW w:w="3685" w:type="dxa"/>
            <w:shd w:val="clear" w:color="auto" w:fill="auto"/>
            <w:vAlign w:val="center"/>
          </w:tcPr>
          <w:p w14:paraId="28821751" w14:textId="5C966ACB" w:rsidR="004634F6" w:rsidRPr="00387441" w:rsidRDefault="004634F6" w:rsidP="0019488B">
            <w:pPr>
              <w:pStyle w:val="ListParagraph"/>
              <w:spacing w:after="0"/>
              <w:ind w:left="0"/>
              <w:contextualSpacing w:val="0"/>
              <w:jc w:val="center"/>
              <w:rPr>
                <w:rStyle w:val="Strong"/>
                <w:rFonts w:cstheme="majorHAnsi"/>
                <w:i/>
                <w:iCs/>
                <w:color w:val="ADADAD" w:themeColor="background2" w:themeShade="BF"/>
                <w:sz w:val="16"/>
                <w:szCs w:val="16"/>
                <w:lang w:val="lv-LV"/>
              </w:rPr>
            </w:pPr>
          </w:p>
          <w:p w14:paraId="6EA808DE" w14:textId="6ACF35D1" w:rsidR="004634F6" w:rsidRPr="00387441" w:rsidRDefault="004634F6" w:rsidP="00E01DC7">
            <w:pPr>
              <w:pStyle w:val="ListParagraph"/>
              <w:spacing w:after="0"/>
              <w:ind w:left="0" w:hanging="98"/>
              <w:contextualSpacing w:val="0"/>
              <w:jc w:val="center"/>
              <w:rPr>
                <w:rStyle w:val="Strong"/>
                <w:rFonts w:cstheme="majorHAnsi"/>
                <w:sz w:val="16"/>
                <w:szCs w:val="16"/>
                <w:lang w:val="lv-LV"/>
              </w:rPr>
            </w:pPr>
            <w:r w:rsidRPr="00387441">
              <w:rPr>
                <w:rStyle w:val="Strong"/>
                <w:rFonts w:cstheme="majorHAnsi"/>
                <w:sz w:val="16"/>
                <w:szCs w:val="16"/>
                <w:lang w:val="lv-LV"/>
              </w:rPr>
              <w:t>9</w:t>
            </w:r>
          </w:p>
          <w:p w14:paraId="153856BA" w14:textId="53BE9EB0" w:rsidR="004634F6" w:rsidRPr="00387441" w:rsidRDefault="004634F6" w:rsidP="00E01DC7">
            <w:pPr>
              <w:pStyle w:val="ListParagraph"/>
              <w:spacing w:after="0"/>
              <w:ind w:left="0" w:hanging="98"/>
              <w:contextualSpacing w:val="0"/>
              <w:jc w:val="center"/>
              <w:rPr>
                <w:rStyle w:val="Strong"/>
                <w:rFonts w:cstheme="majorHAnsi"/>
                <w:b w:val="0"/>
                <w:bCs w:val="0"/>
                <w:i/>
                <w:iCs/>
                <w:sz w:val="16"/>
                <w:szCs w:val="16"/>
                <w:lang w:val="lv-LV"/>
              </w:rPr>
            </w:pPr>
            <w:r w:rsidRPr="00387441">
              <w:rPr>
                <w:rStyle w:val="Strong"/>
                <w:rFonts w:cstheme="majorHAnsi"/>
                <w:i/>
                <w:iCs/>
                <w:color w:val="ADADAD" w:themeColor="background2" w:themeShade="BF"/>
                <w:sz w:val="16"/>
                <w:szCs w:val="16"/>
                <w:lang w:val="lv-LV"/>
              </w:rPr>
              <w:t>(46)</w:t>
            </w:r>
          </w:p>
        </w:tc>
      </w:tr>
      <w:tr w:rsidR="004634F6" w:rsidRPr="00387441" w14:paraId="756984ED" w14:textId="77777777" w:rsidTr="00D35C5C">
        <w:trPr>
          <w:trHeight w:val="347"/>
        </w:trPr>
        <w:tc>
          <w:tcPr>
            <w:tcW w:w="2189" w:type="dxa"/>
            <w:gridSpan w:val="2"/>
            <w:shd w:val="clear" w:color="auto" w:fill="DAE9F7" w:themeFill="text2" w:themeFillTint="1A"/>
            <w:vAlign w:val="center"/>
          </w:tcPr>
          <w:p w14:paraId="691E0D9E" w14:textId="5EC1B295" w:rsidR="004634F6" w:rsidRPr="00387441" w:rsidRDefault="004634F6" w:rsidP="0019488B">
            <w:pPr>
              <w:pStyle w:val="ListParagraph"/>
              <w:spacing w:after="0"/>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Atgūto naudas līdzekļu summa EUR</w:t>
            </w:r>
          </w:p>
        </w:tc>
        <w:tc>
          <w:tcPr>
            <w:tcW w:w="2773" w:type="dxa"/>
            <w:shd w:val="clear" w:color="auto" w:fill="auto"/>
            <w:vAlign w:val="center"/>
          </w:tcPr>
          <w:p w14:paraId="40FD457C" w14:textId="54439A52" w:rsidR="004634F6" w:rsidRPr="00387441" w:rsidRDefault="004634F6" w:rsidP="005F2248">
            <w:pPr>
              <w:pStyle w:val="ListParagraph"/>
              <w:spacing w:after="0"/>
              <w:ind w:left="0" w:firstLine="0"/>
              <w:jc w:val="center"/>
              <w:rPr>
                <w:rStyle w:val="Strong"/>
                <w:rFonts w:cstheme="majorBidi"/>
                <w:sz w:val="16"/>
                <w:szCs w:val="16"/>
                <w:lang w:val="lv-LV"/>
              </w:rPr>
            </w:pPr>
            <w:r w:rsidRPr="00387441">
              <w:rPr>
                <w:rStyle w:val="Strong"/>
                <w:rFonts w:cstheme="majorBidi"/>
                <w:sz w:val="16"/>
                <w:szCs w:val="16"/>
                <w:lang w:val="lv-LV"/>
              </w:rPr>
              <w:t>1 603,21</w:t>
            </w:r>
          </w:p>
        </w:tc>
        <w:tc>
          <w:tcPr>
            <w:tcW w:w="2126" w:type="dxa"/>
            <w:shd w:val="clear" w:color="auto" w:fill="DAE9F7" w:themeFill="text2" w:themeFillTint="1A"/>
            <w:vAlign w:val="center"/>
          </w:tcPr>
          <w:p w14:paraId="4F5F6CC7" w14:textId="77777777" w:rsidR="004634F6" w:rsidRPr="00387441" w:rsidRDefault="004634F6" w:rsidP="0019488B">
            <w:pPr>
              <w:pStyle w:val="ListParagraph"/>
              <w:spacing w:after="0"/>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Atklāšanas veids</w:t>
            </w:r>
          </w:p>
          <w:p w14:paraId="1ADCFA1E" w14:textId="77777777" w:rsidR="004634F6" w:rsidRPr="00387441" w:rsidRDefault="004634F6" w:rsidP="00510C90">
            <w:pPr>
              <w:pStyle w:val="ListParagraph"/>
              <w:spacing w:after="0"/>
              <w:ind w:left="0"/>
              <w:contextualSpacing w:val="0"/>
              <w:jc w:val="center"/>
              <w:rPr>
                <w:rStyle w:val="Strong"/>
                <w:rFonts w:cstheme="majorHAnsi"/>
                <w:sz w:val="16"/>
                <w:szCs w:val="16"/>
                <w:lang w:val="lv-LV"/>
              </w:rPr>
            </w:pPr>
          </w:p>
        </w:tc>
        <w:tc>
          <w:tcPr>
            <w:tcW w:w="3685" w:type="dxa"/>
            <w:shd w:val="clear" w:color="auto" w:fill="auto"/>
            <w:vAlign w:val="center"/>
          </w:tcPr>
          <w:p w14:paraId="42092F54" w14:textId="620DDED4" w:rsidR="004634F6" w:rsidRPr="0005465C" w:rsidRDefault="0005465C" w:rsidP="0019488B">
            <w:pPr>
              <w:pStyle w:val="ListParagraph"/>
              <w:spacing w:after="0"/>
              <w:ind w:left="-108" w:firstLine="10"/>
              <w:jc w:val="center"/>
              <w:rPr>
                <w:rStyle w:val="Strong"/>
                <w:rFonts w:cstheme="majorHAnsi"/>
                <w:sz w:val="16"/>
                <w:szCs w:val="16"/>
                <w:lang w:val="lv-LV"/>
              </w:rPr>
            </w:pPr>
            <w:r w:rsidRPr="00FA53E7">
              <w:rPr>
                <w:rStyle w:val="Strong"/>
                <w:rFonts w:cstheme="majorHAnsi"/>
                <w:sz w:val="16"/>
                <w:szCs w:val="16"/>
                <w:lang w:val="lv-LV"/>
              </w:rPr>
              <w:t xml:space="preserve">Uzraudzības laikā, </w:t>
            </w:r>
            <w:proofErr w:type="spellStart"/>
            <w:r w:rsidRPr="00FA53E7">
              <w:rPr>
                <w:rStyle w:val="Strong"/>
                <w:rFonts w:cstheme="majorHAnsi"/>
                <w:sz w:val="16"/>
                <w:szCs w:val="16"/>
                <w:lang w:val="lv-LV"/>
              </w:rPr>
              <w:t>Partnerorganizācijas</w:t>
            </w:r>
            <w:proofErr w:type="spellEnd"/>
            <w:r w:rsidRPr="00FA53E7">
              <w:rPr>
                <w:rStyle w:val="Strong"/>
                <w:rFonts w:cstheme="majorHAnsi"/>
                <w:sz w:val="16"/>
                <w:szCs w:val="16"/>
                <w:lang w:val="lv-LV"/>
              </w:rPr>
              <w:t xml:space="preserve"> pārskatu pārbaudes</w:t>
            </w:r>
          </w:p>
        </w:tc>
      </w:tr>
      <w:tr w:rsidR="004634F6" w:rsidRPr="00387441" w14:paraId="51519B61" w14:textId="77777777" w:rsidTr="009862AC">
        <w:trPr>
          <w:trHeight w:val="452"/>
        </w:trPr>
        <w:tc>
          <w:tcPr>
            <w:tcW w:w="2183" w:type="dxa"/>
            <w:tcBorders>
              <w:top w:val="nil"/>
              <w:left w:val="nil"/>
              <w:bottom w:val="single" w:sz="4" w:space="0" w:color="auto"/>
              <w:right w:val="single" w:sz="8" w:space="0" w:color="auto"/>
            </w:tcBorders>
            <w:shd w:val="clear" w:color="auto" w:fill="auto"/>
            <w:vAlign w:val="center"/>
          </w:tcPr>
          <w:p w14:paraId="6C1D6903" w14:textId="77777777" w:rsidR="004634F6" w:rsidRPr="00387441" w:rsidRDefault="004634F6" w:rsidP="0019488B">
            <w:pPr>
              <w:pStyle w:val="ListParagraph"/>
              <w:spacing w:after="0" w:line="240" w:lineRule="auto"/>
              <w:ind w:left="0"/>
              <w:contextualSpacing w:val="0"/>
              <w:jc w:val="left"/>
              <w:rPr>
                <w:rStyle w:val="Strong"/>
                <w:rFonts w:cstheme="majorHAnsi"/>
                <w:sz w:val="16"/>
                <w:szCs w:val="16"/>
                <w:lang w:val="lv-LV"/>
              </w:rPr>
            </w:pPr>
            <w:bookmarkStart w:id="84" w:name="_Hlk160436904"/>
            <w:r w:rsidRPr="00387441">
              <w:rPr>
                <w:rStyle w:val="Strong"/>
                <w:rFonts w:cstheme="majorHAnsi"/>
                <w:sz w:val="20"/>
                <w:szCs w:val="20"/>
                <w:lang w:val="lv-LV"/>
              </w:rPr>
              <w:t>2021-2027</w:t>
            </w:r>
          </w:p>
        </w:tc>
        <w:tc>
          <w:tcPr>
            <w:tcW w:w="2779" w:type="dxa"/>
            <w:gridSpan w:val="2"/>
            <w:tcBorders>
              <w:left w:val="single" w:sz="8" w:space="0" w:color="auto"/>
              <w:bottom w:val="single" w:sz="4" w:space="0" w:color="auto"/>
              <w:right w:val="single" w:sz="4" w:space="0" w:color="auto"/>
            </w:tcBorders>
            <w:shd w:val="clear" w:color="auto" w:fill="4C94D8" w:themeFill="text2" w:themeFillTint="80"/>
            <w:vAlign w:val="center"/>
          </w:tcPr>
          <w:p w14:paraId="3F528E1A" w14:textId="292ACD8D" w:rsidR="004634F6" w:rsidRPr="00387441" w:rsidRDefault="004634F6" w:rsidP="0019488B">
            <w:pPr>
              <w:pStyle w:val="ListParagraph"/>
              <w:spacing w:after="0" w:line="240" w:lineRule="auto"/>
              <w:ind w:left="0" w:firstLine="116"/>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 xml:space="preserve">ESF </w:t>
            </w:r>
            <w:r w:rsidR="007E14F0" w:rsidRPr="00387441">
              <w:rPr>
                <w:rStyle w:val="Strong"/>
                <w:rFonts w:cstheme="majorHAnsi"/>
                <w:color w:val="FFFFFF" w:themeColor="background1"/>
                <w:sz w:val="16"/>
                <w:szCs w:val="16"/>
                <w:lang w:val="lv-LV"/>
              </w:rPr>
              <w:t xml:space="preserve">+ </w:t>
            </w:r>
            <w:r w:rsidRPr="00387441">
              <w:rPr>
                <w:rStyle w:val="Strong"/>
                <w:rFonts w:cstheme="majorHAnsi"/>
                <w:color w:val="FFFFFF" w:themeColor="background1"/>
                <w:sz w:val="16"/>
                <w:szCs w:val="16"/>
                <w:lang w:val="lv-LV"/>
              </w:rPr>
              <w:t xml:space="preserve">programma </w:t>
            </w:r>
          </w:p>
        </w:tc>
        <w:tc>
          <w:tcPr>
            <w:tcW w:w="2126" w:type="dxa"/>
            <w:tcBorders>
              <w:top w:val="nil"/>
              <w:left w:val="single" w:sz="8" w:space="0" w:color="auto"/>
              <w:bottom w:val="single" w:sz="4" w:space="0" w:color="auto"/>
              <w:right w:val="single" w:sz="8" w:space="0" w:color="auto"/>
            </w:tcBorders>
            <w:shd w:val="clear" w:color="auto" w:fill="auto"/>
            <w:vAlign w:val="center"/>
          </w:tcPr>
          <w:p w14:paraId="5D225894" w14:textId="77777777" w:rsidR="004634F6" w:rsidRPr="00387441" w:rsidRDefault="004634F6"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p>
        </w:tc>
        <w:tc>
          <w:tcPr>
            <w:tcW w:w="3685" w:type="dxa"/>
            <w:tcBorders>
              <w:left w:val="single" w:sz="8" w:space="0" w:color="auto"/>
              <w:bottom w:val="single" w:sz="4" w:space="0" w:color="auto"/>
            </w:tcBorders>
            <w:shd w:val="clear" w:color="auto" w:fill="4C94D8" w:themeFill="text2" w:themeFillTint="80"/>
            <w:vAlign w:val="center"/>
          </w:tcPr>
          <w:p w14:paraId="09AD1D81" w14:textId="487324D5" w:rsidR="004634F6" w:rsidRPr="00387441" w:rsidRDefault="007E14F0" w:rsidP="0019488B">
            <w:pPr>
              <w:pStyle w:val="ListParagraph"/>
              <w:spacing w:after="0" w:line="240" w:lineRule="auto"/>
              <w:ind w:left="0" w:firstLine="44"/>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 xml:space="preserve">ESF + </w:t>
            </w:r>
            <w:r w:rsidR="004634F6" w:rsidRPr="00387441">
              <w:rPr>
                <w:rStyle w:val="Strong"/>
                <w:rFonts w:cstheme="majorHAnsi"/>
                <w:color w:val="FFFFFF" w:themeColor="background1"/>
                <w:sz w:val="16"/>
                <w:szCs w:val="16"/>
                <w:lang w:val="lv-LV"/>
              </w:rPr>
              <w:t xml:space="preserve">programma </w:t>
            </w:r>
          </w:p>
        </w:tc>
      </w:tr>
      <w:tr w:rsidR="004634F6" w:rsidRPr="00387441" w14:paraId="52446C03" w14:textId="77777777" w:rsidTr="009862AC">
        <w:trPr>
          <w:trHeight w:val="375"/>
        </w:trPr>
        <w:tc>
          <w:tcPr>
            <w:tcW w:w="2183" w:type="dxa"/>
            <w:tcBorders>
              <w:left w:val="single" w:sz="8" w:space="0" w:color="auto"/>
              <w:right w:val="single" w:sz="8" w:space="0" w:color="auto"/>
            </w:tcBorders>
            <w:shd w:val="clear" w:color="auto" w:fill="DAE9F7" w:themeFill="text2" w:themeFillTint="1A"/>
            <w:vAlign w:val="center"/>
          </w:tcPr>
          <w:p w14:paraId="741B30A1" w14:textId="77777777" w:rsidR="004634F6" w:rsidRPr="00387441" w:rsidRDefault="004634F6" w:rsidP="0019488B">
            <w:pPr>
              <w:pStyle w:val="ListParagraph"/>
              <w:spacing w:after="0" w:line="240" w:lineRule="auto"/>
              <w:ind w:left="0" w:firstLine="37"/>
              <w:contextualSpacing w:val="0"/>
              <w:jc w:val="center"/>
              <w:rPr>
                <w:rStyle w:val="Strong"/>
                <w:rFonts w:cstheme="majorHAnsi"/>
                <w:sz w:val="16"/>
                <w:szCs w:val="16"/>
                <w:lang w:val="lv-LV"/>
              </w:rPr>
            </w:pPr>
            <w:r w:rsidRPr="00387441">
              <w:rPr>
                <w:rStyle w:val="Strong"/>
                <w:rFonts w:cstheme="majorHAnsi"/>
                <w:sz w:val="16"/>
                <w:szCs w:val="16"/>
                <w:lang w:val="lv-LV"/>
              </w:rPr>
              <w:t>Neatbilstoši veikto izdevumu summa EUR</w:t>
            </w:r>
          </w:p>
          <w:p w14:paraId="42C2B6F3" w14:textId="522587A0" w:rsidR="004634F6" w:rsidRPr="00387441" w:rsidRDefault="004634F6" w:rsidP="0019488B">
            <w:pPr>
              <w:pStyle w:val="ListParagraph"/>
              <w:spacing w:after="0" w:line="240" w:lineRule="auto"/>
              <w:ind w:left="0" w:firstLine="37"/>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2779" w:type="dxa"/>
            <w:gridSpan w:val="2"/>
            <w:tcBorders>
              <w:left w:val="single" w:sz="8" w:space="0" w:color="auto"/>
              <w:right w:val="single" w:sz="4" w:space="0" w:color="auto"/>
            </w:tcBorders>
            <w:shd w:val="clear" w:color="auto" w:fill="auto"/>
            <w:vAlign w:val="center"/>
          </w:tcPr>
          <w:p w14:paraId="34D944F8" w14:textId="77777777" w:rsidR="004634F6" w:rsidRPr="00387441" w:rsidRDefault="004634F6" w:rsidP="00510C90">
            <w:pPr>
              <w:pStyle w:val="ListParagraph"/>
              <w:spacing w:after="0" w:line="240" w:lineRule="auto"/>
              <w:ind w:left="0" w:right="-107"/>
              <w:contextualSpacing w:val="0"/>
              <w:jc w:val="center"/>
              <w:rPr>
                <w:rStyle w:val="Strong"/>
                <w:rFonts w:cstheme="majorHAnsi"/>
                <w:i/>
                <w:iCs/>
                <w:color w:val="ADADAD" w:themeColor="background2" w:themeShade="BF"/>
                <w:sz w:val="16"/>
                <w:szCs w:val="16"/>
                <w:lang w:val="lv-LV"/>
              </w:rPr>
            </w:pPr>
          </w:p>
          <w:p w14:paraId="06708D5A" w14:textId="1B3C7C14" w:rsidR="004634F6" w:rsidRPr="00387441" w:rsidRDefault="004634F6" w:rsidP="00E161EA">
            <w:pPr>
              <w:pStyle w:val="ListParagraph"/>
              <w:spacing w:after="0" w:line="240" w:lineRule="auto"/>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75 904,52</w:t>
            </w:r>
          </w:p>
          <w:p w14:paraId="42F15288" w14:textId="139376AD" w:rsidR="004634F6" w:rsidRPr="00387441" w:rsidRDefault="004634F6" w:rsidP="00E161EA">
            <w:pPr>
              <w:pStyle w:val="ListParagraph"/>
              <w:spacing w:after="0" w:line="240" w:lineRule="auto"/>
              <w:ind w:left="0" w:right="-107" w:hanging="26"/>
              <w:contextualSpacing w:val="0"/>
              <w:jc w:val="center"/>
              <w:rPr>
                <w:rStyle w:val="Strong"/>
                <w:rFonts w:cstheme="majorHAnsi"/>
                <w:b w:val="0"/>
                <w:bCs w:val="0"/>
                <w:i/>
                <w:iCs/>
                <w:sz w:val="16"/>
                <w:szCs w:val="16"/>
                <w:lang w:val="lv-LV"/>
              </w:rPr>
            </w:pPr>
            <w:r w:rsidRPr="00387441">
              <w:rPr>
                <w:rStyle w:val="Strong"/>
                <w:rFonts w:cstheme="majorHAnsi"/>
                <w:i/>
                <w:iCs/>
                <w:color w:val="ADADAD" w:themeColor="background2" w:themeShade="BF"/>
                <w:sz w:val="16"/>
                <w:szCs w:val="16"/>
                <w:lang w:val="lv-LV"/>
              </w:rPr>
              <w:t>(421.89)</w:t>
            </w:r>
          </w:p>
        </w:tc>
        <w:tc>
          <w:tcPr>
            <w:tcW w:w="2126" w:type="dxa"/>
            <w:tcBorders>
              <w:left w:val="single" w:sz="8" w:space="0" w:color="auto"/>
              <w:right w:val="single" w:sz="8" w:space="0" w:color="auto"/>
            </w:tcBorders>
            <w:shd w:val="clear" w:color="auto" w:fill="DAE9F7" w:themeFill="text2" w:themeFillTint="1A"/>
            <w:vAlign w:val="center"/>
          </w:tcPr>
          <w:p w14:paraId="3EF80578" w14:textId="77777777" w:rsidR="004634F6" w:rsidRPr="00387441" w:rsidRDefault="004634F6" w:rsidP="00ED75DA">
            <w:pPr>
              <w:pStyle w:val="ListParagraph"/>
              <w:spacing w:after="0" w:line="240" w:lineRule="auto"/>
              <w:ind w:left="0"/>
              <w:contextualSpacing w:val="0"/>
              <w:rPr>
                <w:rStyle w:val="Strong"/>
                <w:rFonts w:cstheme="majorHAnsi"/>
                <w:sz w:val="16"/>
                <w:szCs w:val="16"/>
                <w:lang w:val="lv-LV"/>
              </w:rPr>
            </w:pPr>
            <w:r w:rsidRPr="00387441">
              <w:rPr>
                <w:rStyle w:val="Strong"/>
                <w:rFonts w:cstheme="majorHAnsi"/>
                <w:sz w:val="16"/>
                <w:szCs w:val="16"/>
                <w:lang w:val="lv-LV"/>
              </w:rPr>
              <w:t>Skaits</w:t>
            </w:r>
          </w:p>
        </w:tc>
        <w:tc>
          <w:tcPr>
            <w:tcW w:w="3685" w:type="dxa"/>
            <w:tcBorders>
              <w:left w:val="single" w:sz="8" w:space="0" w:color="auto"/>
            </w:tcBorders>
            <w:shd w:val="clear" w:color="auto" w:fill="auto"/>
            <w:vAlign w:val="center"/>
          </w:tcPr>
          <w:p w14:paraId="2EA7A03F" w14:textId="4DE5C83F" w:rsidR="004634F6" w:rsidRPr="00387441" w:rsidRDefault="004634F6" w:rsidP="00510C90">
            <w:pPr>
              <w:pStyle w:val="ListParagraph"/>
              <w:spacing w:after="0" w:line="240" w:lineRule="auto"/>
              <w:ind w:left="0"/>
              <w:contextualSpacing w:val="0"/>
              <w:jc w:val="center"/>
              <w:rPr>
                <w:rStyle w:val="Strong"/>
                <w:rFonts w:cstheme="majorHAnsi"/>
                <w:i/>
                <w:iCs/>
                <w:color w:val="ADADAD" w:themeColor="background2" w:themeShade="BF"/>
                <w:sz w:val="16"/>
                <w:szCs w:val="16"/>
                <w:lang w:val="lv-LV"/>
              </w:rPr>
            </w:pPr>
          </w:p>
          <w:p w14:paraId="01AA0DE3" w14:textId="575B99EB" w:rsidR="004634F6" w:rsidRPr="00387441" w:rsidRDefault="004634F6" w:rsidP="006A0D94">
            <w:pPr>
              <w:pStyle w:val="ListParagraph"/>
              <w:spacing w:after="0" w:line="240" w:lineRule="auto"/>
              <w:ind w:left="0" w:hanging="98"/>
              <w:contextualSpacing w:val="0"/>
              <w:jc w:val="center"/>
              <w:rPr>
                <w:rStyle w:val="Strong"/>
                <w:rFonts w:cstheme="majorHAnsi"/>
                <w:sz w:val="16"/>
                <w:szCs w:val="16"/>
                <w:lang w:val="lv-LV"/>
              </w:rPr>
            </w:pPr>
            <w:r w:rsidRPr="00387441">
              <w:rPr>
                <w:rStyle w:val="Strong"/>
                <w:rFonts w:cstheme="majorHAnsi"/>
                <w:sz w:val="16"/>
                <w:szCs w:val="16"/>
                <w:lang w:val="lv-LV"/>
              </w:rPr>
              <w:t xml:space="preserve">  26</w:t>
            </w:r>
          </w:p>
          <w:p w14:paraId="4BF6B32C" w14:textId="28947843" w:rsidR="004634F6" w:rsidRPr="00387441" w:rsidRDefault="004634F6" w:rsidP="00766A17">
            <w:pPr>
              <w:pStyle w:val="ListParagraph"/>
              <w:spacing w:after="0" w:line="240" w:lineRule="auto"/>
              <w:ind w:left="0" w:firstLine="0"/>
              <w:contextualSpacing w:val="0"/>
              <w:jc w:val="center"/>
              <w:rPr>
                <w:rStyle w:val="Strong"/>
                <w:rFonts w:cstheme="majorHAnsi"/>
                <w:b w:val="0"/>
                <w:bCs w:val="0"/>
                <w:i/>
                <w:iCs/>
                <w:sz w:val="16"/>
                <w:szCs w:val="16"/>
                <w:lang w:val="lv-LV"/>
              </w:rPr>
            </w:pPr>
            <w:r w:rsidRPr="00387441">
              <w:rPr>
                <w:rStyle w:val="Strong"/>
                <w:rFonts w:cstheme="majorHAnsi"/>
                <w:i/>
                <w:iCs/>
                <w:color w:val="ADADAD" w:themeColor="background2" w:themeShade="BF"/>
                <w:sz w:val="16"/>
                <w:szCs w:val="16"/>
                <w:lang w:val="lv-LV"/>
              </w:rPr>
              <w:t>(4)</w:t>
            </w:r>
          </w:p>
        </w:tc>
      </w:tr>
      <w:tr w:rsidR="004634F6" w:rsidRPr="00387441" w14:paraId="0970EA71" w14:textId="77777777" w:rsidTr="009862AC">
        <w:trPr>
          <w:trHeight w:val="320"/>
        </w:trPr>
        <w:tc>
          <w:tcPr>
            <w:tcW w:w="2183" w:type="dxa"/>
            <w:tcBorders>
              <w:left w:val="single" w:sz="8" w:space="0" w:color="auto"/>
              <w:bottom w:val="single" w:sz="4" w:space="0" w:color="auto"/>
              <w:right w:val="single" w:sz="8" w:space="0" w:color="auto"/>
            </w:tcBorders>
            <w:shd w:val="clear" w:color="auto" w:fill="DAE9F7" w:themeFill="text2" w:themeFillTint="1A"/>
            <w:vAlign w:val="center"/>
          </w:tcPr>
          <w:p w14:paraId="25F07E71" w14:textId="73509BB1" w:rsidR="004634F6" w:rsidRPr="00387441" w:rsidRDefault="004634F6" w:rsidP="0019488B">
            <w:pPr>
              <w:pStyle w:val="ListParagraph"/>
              <w:spacing w:after="0" w:line="240" w:lineRule="auto"/>
              <w:ind w:left="0" w:firstLine="37"/>
              <w:contextualSpacing w:val="0"/>
              <w:jc w:val="center"/>
              <w:rPr>
                <w:rStyle w:val="Strong"/>
                <w:rFonts w:cstheme="majorHAnsi"/>
                <w:sz w:val="16"/>
                <w:szCs w:val="16"/>
                <w:lang w:val="lv-LV"/>
              </w:rPr>
            </w:pPr>
            <w:r w:rsidRPr="00387441">
              <w:rPr>
                <w:rStyle w:val="Strong"/>
                <w:rFonts w:cstheme="majorHAnsi"/>
                <w:sz w:val="16"/>
                <w:szCs w:val="16"/>
                <w:lang w:val="lv-LV"/>
              </w:rPr>
              <w:t>Atgūto naudas līdzekļu summa EUR</w:t>
            </w:r>
          </w:p>
        </w:tc>
        <w:tc>
          <w:tcPr>
            <w:tcW w:w="2779" w:type="dxa"/>
            <w:gridSpan w:val="2"/>
            <w:tcBorders>
              <w:left w:val="single" w:sz="8" w:space="0" w:color="auto"/>
              <w:bottom w:val="single" w:sz="4" w:space="0" w:color="auto"/>
              <w:right w:val="single" w:sz="4" w:space="0" w:color="auto"/>
            </w:tcBorders>
            <w:shd w:val="clear" w:color="auto" w:fill="auto"/>
          </w:tcPr>
          <w:p w14:paraId="162F763E" w14:textId="77777777" w:rsidR="004634F6" w:rsidRPr="00387441" w:rsidRDefault="004634F6" w:rsidP="00510C90">
            <w:pPr>
              <w:pStyle w:val="ListParagraph"/>
              <w:spacing w:after="0" w:line="240" w:lineRule="auto"/>
              <w:ind w:left="0" w:right="-107"/>
              <w:contextualSpacing w:val="0"/>
              <w:jc w:val="center"/>
              <w:rPr>
                <w:rStyle w:val="Strong"/>
                <w:rFonts w:cstheme="majorHAnsi"/>
                <w:b w:val="0"/>
                <w:bCs w:val="0"/>
                <w:sz w:val="16"/>
                <w:szCs w:val="16"/>
                <w:lang w:val="lv-LV"/>
              </w:rPr>
            </w:pPr>
          </w:p>
          <w:p w14:paraId="35D7DD0D" w14:textId="5D4BEE86" w:rsidR="004634F6" w:rsidRPr="00387441" w:rsidRDefault="004634F6" w:rsidP="00E161EA">
            <w:pPr>
              <w:pStyle w:val="ListParagraph"/>
              <w:spacing w:after="0" w:line="240" w:lineRule="auto"/>
              <w:ind w:left="0" w:right="-107" w:firstLine="0"/>
              <w:contextualSpacing w:val="0"/>
              <w:jc w:val="center"/>
              <w:rPr>
                <w:rStyle w:val="Strong"/>
                <w:rFonts w:cstheme="majorHAnsi"/>
                <w:sz w:val="16"/>
                <w:szCs w:val="16"/>
                <w:lang w:val="lv-LV"/>
              </w:rPr>
            </w:pPr>
            <w:r w:rsidRPr="00387441">
              <w:rPr>
                <w:rStyle w:val="Strong"/>
                <w:rFonts w:cstheme="majorHAnsi"/>
                <w:sz w:val="16"/>
                <w:szCs w:val="16"/>
                <w:lang w:val="lv-LV"/>
              </w:rPr>
              <w:t>75 904,52</w:t>
            </w:r>
          </w:p>
        </w:tc>
        <w:tc>
          <w:tcPr>
            <w:tcW w:w="2126" w:type="dxa"/>
            <w:tcBorders>
              <w:left w:val="single" w:sz="8" w:space="0" w:color="auto"/>
              <w:bottom w:val="single" w:sz="4" w:space="0" w:color="auto"/>
              <w:right w:val="single" w:sz="8" w:space="0" w:color="auto"/>
            </w:tcBorders>
            <w:shd w:val="clear" w:color="auto" w:fill="DAE9F7" w:themeFill="text2" w:themeFillTint="1A"/>
            <w:vAlign w:val="center"/>
          </w:tcPr>
          <w:p w14:paraId="3547FBDD" w14:textId="77777777" w:rsidR="004634F6" w:rsidRPr="00387441" w:rsidRDefault="004634F6" w:rsidP="00ED75DA">
            <w:pPr>
              <w:pStyle w:val="ListParagraph"/>
              <w:spacing w:after="0" w:line="240" w:lineRule="auto"/>
              <w:ind w:left="0" w:firstLine="376"/>
              <w:contextualSpacing w:val="0"/>
              <w:rPr>
                <w:rStyle w:val="Strong"/>
                <w:rFonts w:cstheme="majorHAnsi"/>
                <w:sz w:val="16"/>
                <w:szCs w:val="16"/>
                <w:lang w:val="lv-LV"/>
              </w:rPr>
            </w:pPr>
            <w:r w:rsidRPr="00387441">
              <w:rPr>
                <w:rStyle w:val="Strong"/>
                <w:rFonts w:cstheme="majorHAnsi"/>
                <w:sz w:val="16"/>
                <w:szCs w:val="16"/>
                <w:lang w:val="lv-LV"/>
              </w:rPr>
              <w:t>Atklāšanas veids</w:t>
            </w:r>
          </w:p>
        </w:tc>
        <w:tc>
          <w:tcPr>
            <w:tcW w:w="3685" w:type="dxa"/>
            <w:tcBorders>
              <w:left w:val="single" w:sz="8" w:space="0" w:color="auto"/>
              <w:bottom w:val="single" w:sz="4" w:space="0" w:color="auto"/>
            </w:tcBorders>
            <w:shd w:val="clear" w:color="auto" w:fill="auto"/>
            <w:vAlign w:val="center"/>
          </w:tcPr>
          <w:p w14:paraId="25961358" w14:textId="48D8180A" w:rsidR="004634F6" w:rsidRPr="00387441" w:rsidRDefault="0005465C" w:rsidP="0019488B">
            <w:pPr>
              <w:pStyle w:val="ListParagraph"/>
              <w:spacing w:after="0" w:line="240" w:lineRule="auto"/>
              <w:ind w:left="0" w:firstLine="0"/>
              <w:contextualSpacing w:val="0"/>
              <w:jc w:val="center"/>
              <w:rPr>
                <w:rStyle w:val="Strong"/>
                <w:rFonts w:cstheme="majorHAnsi"/>
                <w:b w:val="0"/>
                <w:bCs w:val="0"/>
                <w:sz w:val="16"/>
                <w:szCs w:val="16"/>
                <w:lang w:val="lv-LV"/>
              </w:rPr>
            </w:pPr>
            <w:r w:rsidRPr="00FA53E7">
              <w:rPr>
                <w:rStyle w:val="Strong"/>
                <w:rFonts w:cstheme="majorHAnsi"/>
                <w:sz w:val="16"/>
                <w:szCs w:val="16"/>
                <w:lang w:val="lv-LV"/>
              </w:rPr>
              <w:t xml:space="preserve">Uzraudzības laikā, </w:t>
            </w:r>
            <w:proofErr w:type="spellStart"/>
            <w:r w:rsidRPr="00FA53E7">
              <w:rPr>
                <w:rStyle w:val="Strong"/>
                <w:rFonts w:cstheme="majorHAnsi"/>
                <w:sz w:val="16"/>
                <w:szCs w:val="16"/>
                <w:lang w:val="lv-LV"/>
              </w:rPr>
              <w:t>Partnerorganizācijas</w:t>
            </w:r>
            <w:proofErr w:type="spellEnd"/>
            <w:r w:rsidRPr="00FA53E7">
              <w:rPr>
                <w:rStyle w:val="Strong"/>
                <w:rFonts w:cstheme="majorHAnsi"/>
                <w:sz w:val="16"/>
                <w:szCs w:val="16"/>
                <w:lang w:val="lv-LV"/>
              </w:rPr>
              <w:t xml:space="preserve"> pārskatu pārbaudes</w:t>
            </w:r>
          </w:p>
        </w:tc>
      </w:tr>
    </w:tbl>
    <w:bookmarkEnd w:id="84"/>
    <w:p w14:paraId="1D172500" w14:textId="2838697B" w:rsidR="003C29FA" w:rsidRPr="00BE0DBF" w:rsidRDefault="009F6D6C" w:rsidP="00F75B8A">
      <w:pPr>
        <w:spacing w:before="240" w:after="120" w:line="276" w:lineRule="auto"/>
        <w:rPr>
          <w:lang w:val="lv-LV"/>
        </w:rPr>
      </w:pPr>
      <w:r w:rsidRPr="00BE0DBF">
        <w:rPr>
          <w:lang w:val="lv-LV"/>
        </w:rPr>
        <w:t xml:space="preserve">2024. gadā </w:t>
      </w:r>
      <w:r w:rsidRPr="00BE0DBF">
        <w:rPr>
          <w:b/>
          <w:lang w:val="lv-LV"/>
        </w:rPr>
        <w:t xml:space="preserve">EAFVP </w:t>
      </w:r>
      <w:r w:rsidR="00060A08" w:rsidRPr="00BE0DBF">
        <w:rPr>
          <w:b/>
          <w:lang w:val="lv-LV"/>
        </w:rPr>
        <w:t xml:space="preserve">konstatēti </w:t>
      </w:r>
      <w:r w:rsidR="002F0331" w:rsidRPr="00BE0DBF">
        <w:rPr>
          <w:b/>
          <w:lang w:val="lv-LV"/>
        </w:rPr>
        <w:t xml:space="preserve">9 </w:t>
      </w:r>
      <w:r w:rsidR="00060A08" w:rsidRPr="00BE0DBF">
        <w:rPr>
          <w:b/>
          <w:lang w:val="lv-LV"/>
        </w:rPr>
        <w:t xml:space="preserve">neatbilstību gadījumi par kopējo summu </w:t>
      </w:r>
      <w:r w:rsidR="002F0331" w:rsidRPr="00BE0DBF">
        <w:rPr>
          <w:b/>
          <w:lang w:val="lv-LV"/>
        </w:rPr>
        <w:t>EUR 1</w:t>
      </w:r>
      <w:r w:rsidR="00801593" w:rsidRPr="00BE0DBF">
        <w:rPr>
          <w:b/>
          <w:lang w:val="lv-LV"/>
        </w:rPr>
        <w:t xml:space="preserve"> </w:t>
      </w:r>
      <w:r w:rsidR="002F0331" w:rsidRPr="00BE0DBF">
        <w:rPr>
          <w:b/>
          <w:lang w:val="lv-LV"/>
        </w:rPr>
        <w:t>603,21</w:t>
      </w:r>
      <w:r w:rsidR="00060A08" w:rsidRPr="00BE0DBF">
        <w:rPr>
          <w:lang w:val="lv-LV"/>
        </w:rPr>
        <w:t xml:space="preserve">, </w:t>
      </w:r>
      <w:r w:rsidR="00A6122B" w:rsidRPr="00BE0DBF">
        <w:rPr>
          <w:lang w:val="lv-LV"/>
        </w:rPr>
        <w:t xml:space="preserve">kas </w:t>
      </w:r>
      <w:r w:rsidR="0032445E" w:rsidRPr="00BE0DBF">
        <w:rPr>
          <w:lang w:val="lv-LV"/>
        </w:rPr>
        <w:t>tika atgūta pilnā apmērā</w:t>
      </w:r>
      <w:r w:rsidR="00060A08" w:rsidRPr="00BE0DBF">
        <w:rPr>
          <w:lang w:val="lv-LV"/>
        </w:rPr>
        <w:t xml:space="preserve">. </w:t>
      </w:r>
      <w:r w:rsidR="0037748C" w:rsidRPr="00BE0DBF">
        <w:rPr>
          <w:lang w:val="lv-LV"/>
        </w:rPr>
        <w:t xml:space="preserve">Gan neatbilstību skaits, gan apjoms </w:t>
      </w:r>
      <w:r w:rsidR="00EA09C4" w:rsidRPr="00BE0DBF">
        <w:rPr>
          <w:lang w:val="lv-LV"/>
        </w:rPr>
        <w:t>ir ievērojami samazinājies, salīdzinot ar 2023.</w:t>
      </w:r>
      <w:r w:rsidR="00C22C67" w:rsidRPr="00BE0DBF">
        <w:rPr>
          <w:lang w:val="lv-LV"/>
        </w:rPr>
        <w:t xml:space="preserve"> </w:t>
      </w:r>
      <w:r w:rsidR="00EA09C4" w:rsidRPr="00BE0DBF">
        <w:rPr>
          <w:lang w:val="lv-LV"/>
        </w:rPr>
        <w:t xml:space="preserve">gadu, </w:t>
      </w:r>
      <w:r w:rsidR="00EA09C4" w:rsidRPr="00736836">
        <w:rPr>
          <w:lang w:val="lv-LV"/>
        </w:rPr>
        <w:t xml:space="preserve">kas varētu būt skaidrojams </w:t>
      </w:r>
      <w:r w:rsidR="003C29FA" w:rsidRPr="00736836">
        <w:rPr>
          <w:lang w:val="lv-LV"/>
        </w:rPr>
        <w:t>2014.-2020.</w:t>
      </w:r>
      <w:r w:rsidR="003C29FA" w:rsidRPr="00736836">
        <w:rPr>
          <w:i/>
          <w:lang w:val="lv-LV"/>
        </w:rPr>
        <w:t xml:space="preserve"> </w:t>
      </w:r>
      <w:r w:rsidR="003C29FA" w:rsidRPr="00736836">
        <w:rPr>
          <w:lang w:val="lv-LV"/>
        </w:rPr>
        <w:t>gada plānošanas perioda noslēgšanos un to, ka 2024. gadā EAFVP ietvaros netika veikti maksājumi.</w:t>
      </w:r>
    </w:p>
    <w:p w14:paraId="57CA0668" w14:textId="0EDAC42E" w:rsidR="00060A08" w:rsidRPr="00BE0DBF" w:rsidRDefault="00522933" w:rsidP="00F75B8A">
      <w:pPr>
        <w:spacing w:after="120" w:line="276" w:lineRule="auto"/>
        <w:rPr>
          <w:b/>
          <w:lang w:val="lv-LV"/>
        </w:rPr>
      </w:pPr>
      <w:r w:rsidRPr="00BE0DBF">
        <w:rPr>
          <w:b/>
          <w:lang w:val="lv-LV"/>
        </w:rPr>
        <w:t>ESF</w:t>
      </w:r>
      <w:r w:rsidRPr="00BE0DBF" w:rsidDel="00B90AAE">
        <w:rPr>
          <w:b/>
          <w:lang w:val="lv-LV"/>
        </w:rPr>
        <w:t>+</w:t>
      </w:r>
      <w:r w:rsidRPr="00BE0DBF">
        <w:rPr>
          <w:b/>
          <w:lang w:val="lv-LV"/>
        </w:rPr>
        <w:t xml:space="preserve"> programmas ietvaros </w:t>
      </w:r>
      <w:r w:rsidR="00083534" w:rsidRPr="00BE0DBF">
        <w:rPr>
          <w:b/>
          <w:lang w:val="lv-LV"/>
        </w:rPr>
        <w:t xml:space="preserve">konstatēti 26 neatbilstību gadījumi par kopējo summu EUR </w:t>
      </w:r>
      <w:r w:rsidR="002F024C" w:rsidRPr="00BE0DBF">
        <w:rPr>
          <w:b/>
          <w:lang w:val="lv-LV"/>
        </w:rPr>
        <w:t>75</w:t>
      </w:r>
      <w:r w:rsidR="00801593" w:rsidRPr="00BE0DBF">
        <w:rPr>
          <w:b/>
          <w:lang w:val="lv-LV"/>
        </w:rPr>
        <w:t xml:space="preserve"> </w:t>
      </w:r>
      <w:r w:rsidR="002F024C" w:rsidRPr="00BE0DBF">
        <w:rPr>
          <w:b/>
          <w:lang w:val="lv-LV"/>
        </w:rPr>
        <w:t>904,52</w:t>
      </w:r>
      <w:r w:rsidR="002F024C" w:rsidRPr="00BE0DBF">
        <w:rPr>
          <w:lang w:val="lv-LV"/>
        </w:rPr>
        <w:t xml:space="preserve">, </w:t>
      </w:r>
      <w:r w:rsidR="00A6122B" w:rsidRPr="00BE0DBF">
        <w:rPr>
          <w:lang w:val="lv-LV"/>
        </w:rPr>
        <w:t xml:space="preserve">kas tika atgūta pilnā apmērā. </w:t>
      </w:r>
      <w:r w:rsidR="00754B50" w:rsidRPr="00BE0DBF">
        <w:rPr>
          <w:b/>
          <w:lang w:val="lv-LV"/>
        </w:rPr>
        <w:t xml:space="preserve">Neatbilstību </w:t>
      </w:r>
      <w:r w:rsidR="00060A08" w:rsidRPr="00BE0DBF">
        <w:rPr>
          <w:b/>
          <w:lang w:val="lv-LV"/>
        </w:rPr>
        <w:t>summas īpatsvars pret kopējo attiecināmo izdevumu summu ir 0,</w:t>
      </w:r>
      <w:r w:rsidR="00801593" w:rsidRPr="00BE0DBF">
        <w:rPr>
          <w:b/>
          <w:lang w:val="lv-LV"/>
        </w:rPr>
        <w:t>52</w:t>
      </w:r>
      <w:r w:rsidR="00CA2E22">
        <w:rPr>
          <w:b/>
          <w:lang w:val="lv-LV"/>
        </w:rPr>
        <w:t xml:space="preserve"> </w:t>
      </w:r>
      <w:r w:rsidR="00060A08" w:rsidRPr="00BE0DBF">
        <w:rPr>
          <w:b/>
          <w:lang w:val="lv-LV"/>
        </w:rPr>
        <w:t xml:space="preserve">%. </w:t>
      </w:r>
    </w:p>
    <w:p w14:paraId="21CB0353" w14:textId="762A0632" w:rsidR="00C71EED" w:rsidRDefault="0061788C" w:rsidP="00F75B8A">
      <w:pPr>
        <w:spacing w:after="120" w:line="276" w:lineRule="auto"/>
        <w:rPr>
          <w:lang w:val="lv-LV"/>
        </w:rPr>
      </w:pPr>
      <w:r w:rsidRPr="00387441">
        <w:rPr>
          <w:b/>
          <w:bCs/>
          <w:lang w:val="lv-LV"/>
        </w:rPr>
        <w:t>2024. gadā tika identificēti 14 krāpšanas/ aizdomas par krāpšanu neatbilstību gadījumi</w:t>
      </w:r>
      <w:r w:rsidR="00505376" w:rsidRPr="00387441">
        <w:rPr>
          <w:lang w:val="lv-LV"/>
        </w:rPr>
        <w:t xml:space="preserve"> viena</w:t>
      </w:r>
      <w:r w:rsidR="0005465C">
        <w:rPr>
          <w:lang w:val="lv-LV"/>
        </w:rPr>
        <w:t>s</w:t>
      </w:r>
      <w:r w:rsidR="00505376" w:rsidRPr="00387441">
        <w:rPr>
          <w:lang w:val="lv-LV"/>
        </w:rPr>
        <w:t xml:space="preserve"> </w:t>
      </w:r>
      <w:proofErr w:type="spellStart"/>
      <w:r w:rsidR="0005465C" w:rsidRPr="009330C5">
        <w:rPr>
          <w:lang w:val="lv-LV"/>
        </w:rPr>
        <w:t>partnerorganizācijas</w:t>
      </w:r>
      <w:proofErr w:type="spellEnd"/>
      <w:r w:rsidR="00505376" w:rsidRPr="00387441">
        <w:rPr>
          <w:lang w:val="lv-LV"/>
        </w:rPr>
        <w:t xml:space="preserve"> ietvaros</w:t>
      </w:r>
      <w:r w:rsidR="00DD39D6" w:rsidRPr="00387441">
        <w:rPr>
          <w:b/>
          <w:bCs/>
          <w:lang w:val="lv-LV"/>
        </w:rPr>
        <w:t xml:space="preserve"> </w:t>
      </w:r>
      <w:r w:rsidR="00DD39D6" w:rsidRPr="00387441">
        <w:rPr>
          <w:lang w:val="lv-LV"/>
        </w:rPr>
        <w:t>ar</w:t>
      </w:r>
      <w:r w:rsidR="00DD39D6" w:rsidRPr="00387441">
        <w:rPr>
          <w:b/>
          <w:bCs/>
          <w:lang w:val="lv-LV"/>
        </w:rPr>
        <w:t xml:space="preserve"> </w:t>
      </w:r>
      <w:r w:rsidR="00DD39D6" w:rsidRPr="00387441">
        <w:rPr>
          <w:lang w:val="lv-LV"/>
        </w:rPr>
        <w:t xml:space="preserve">kopējo finansiālo ietekmi EUR </w:t>
      </w:r>
      <w:r w:rsidR="00505376" w:rsidRPr="00387441">
        <w:rPr>
          <w:lang w:val="lv-LV"/>
        </w:rPr>
        <w:t>68</w:t>
      </w:r>
      <w:r w:rsidR="00801593" w:rsidRPr="00387441">
        <w:rPr>
          <w:lang w:val="lv-LV"/>
        </w:rPr>
        <w:t xml:space="preserve"> </w:t>
      </w:r>
      <w:r w:rsidR="00505376" w:rsidRPr="00387441">
        <w:rPr>
          <w:lang w:val="lv-LV"/>
        </w:rPr>
        <w:t>781,84 apmērā.</w:t>
      </w:r>
      <w:r w:rsidR="000D21BE" w:rsidRPr="00387441">
        <w:rPr>
          <w:lang w:val="lv-LV"/>
        </w:rPr>
        <w:t xml:space="preserve"> </w:t>
      </w:r>
      <w:r w:rsidR="007F7C23" w:rsidRPr="00387441">
        <w:rPr>
          <w:lang w:val="lv-LV"/>
        </w:rPr>
        <w:t>Viens no gadījumiem</w:t>
      </w:r>
      <w:r w:rsidR="00EE62B0" w:rsidRPr="00387441">
        <w:rPr>
          <w:lang w:val="lv-LV"/>
        </w:rPr>
        <w:t xml:space="preserve"> </w:t>
      </w:r>
      <w:r w:rsidR="001416EB" w:rsidRPr="00387441">
        <w:rPr>
          <w:lang w:val="lv-LV"/>
        </w:rPr>
        <w:t xml:space="preserve">konstatēts </w:t>
      </w:r>
      <w:r w:rsidR="007F7C23" w:rsidRPr="00387441">
        <w:rPr>
          <w:lang w:val="lv-LV"/>
        </w:rPr>
        <w:t>EAFVP</w:t>
      </w:r>
      <w:r w:rsidR="003B0C62" w:rsidRPr="00387441">
        <w:rPr>
          <w:lang w:val="lv-LV"/>
        </w:rPr>
        <w:t>,</w:t>
      </w:r>
      <w:r w:rsidR="00E075EF" w:rsidRPr="00387441">
        <w:rPr>
          <w:lang w:val="lv-LV"/>
        </w:rPr>
        <w:t xml:space="preserve"> kas tika atklāts</w:t>
      </w:r>
      <w:r w:rsidR="00ED25EE" w:rsidRPr="00387441">
        <w:rPr>
          <w:lang w:val="lv-LV"/>
        </w:rPr>
        <w:t xml:space="preserve"> saņemot </w:t>
      </w:r>
      <w:r w:rsidR="00D63D9B" w:rsidRPr="00387441">
        <w:rPr>
          <w:lang w:val="lv-LV"/>
        </w:rPr>
        <w:t>V</w:t>
      </w:r>
      <w:r w:rsidR="00ED25EE" w:rsidRPr="00387441">
        <w:rPr>
          <w:lang w:val="lv-LV"/>
        </w:rPr>
        <w:t>alsts policijas pieprasījumu pirmstiesas izmeklēšanas laikā,</w:t>
      </w:r>
      <w:r w:rsidR="003B0C62" w:rsidRPr="00387441">
        <w:rPr>
          <w:lang w:val="lv-LV"/>
        </w:rPr>
        <w:t xml:space="preserve"> savukārt, pārējie</w:t>
      </w:r>
      <w:r w:rsidR="00CB3DDF" w:rsidRPr="00387441">
        <w:rPr>
          <w:lang w:val="lv-LV"/>
        </w:rPr>
        <w:t xml:space="preserve"> </w:t>
      </w:r>
      <w:r w:rsidR="003B0C62" w:rsidRPr="00387441">
        <w:rPr>
          <w:lang w:val="lv-LV"/>
        </w:rPr>
        <w:t>13</w:t>
      </w:r>
      <w:r w:rsidR="00EA78C0" w:rsidRPr="00387441">
        <w:rPr>
          <w:lang w:val="lv-LV"/>
        </w:rPr>
        <w:t xml:space="preserve"> konstatēti</w:t>
      </w:r>
      <w:r w:rsidR="003B0C62" w:rsidRPr="00387441">
        <w:rPr>
          <w:lang w:val="lv-LV"/>
        </w:rPr>
        <w:t xml:space="preserve"> </w:t>
      </w:r>
      <w:r w:rsidR="0042632C" w:rsidRPr="00387441">
        <w:rPr>
          <w:lang w:val="lv-LV"/>
        </w:rPr>
        <w:t>ESF</w:t>
      </w:r>
      <w:r w:rsidR="00CB3DDF" w:rsidRPr="00387441">
        <w:rPr>
          <w:lang w:val="lv-LV"/>
        </w:rPr>
        <w:t xml:space="preserve">+ </w:t>
      </w:r>
      <w:r w:rsidR="001416BB" w:rsidRPr="00387441">
        <w:rPr>
          <w:lang w:val="lv-LV"/>
        </w:rPr>
        <w:t>programm</w:t>
      </w:r>
      <w:r w:rsidR="00EE62B0" w:rsidRPr="00387441">
        <w:rPr>
          <w:lang w:val="lv-LV"/>
        </w:rPr>
        <w:t>as ietvaros</w:t>
      </w:r>
      <w:r w:rsidR="00ED25EE" w:rsidRPr="00387441">
        <w:rPr>
          <w:lang w:val="lv-LV"/>
        </w:rPr>
        <w:t xml:space="preserve"> </w:t>
      </w:r>
      <w:proofErr w:type="spellStart"/>
      <w:r w:rsidR="00E60830" w:rsidRPr="00387441">
        <w:rPr>
          <w:lang w:val="lv-LV"/>
        </w:rPr>
        <w:t>partner</w:t>
      </w:r>
      <w:r w:rsidR="00275C32" w:rsidRPr="00387441">
        <w:rPr>
          <w:lang w:val="lv-LV"/>
        </w:rPr>
        <w:t>organizācijas</w:t>
      </w:r>
      <w:proofErr w:type="spellEnd"/>
      <w:r w:rsidR="00275C32" w:rsidRPr="00387441">
        <w:rPr>
          <w:lang w:val="lv-LV"/>
        </w:rPr>
        <w:t xml:space="preserve"> pārskata pārbaudes laikā. </w:t>
      </w:r>
      <w:r w:rsidR="006F0B5E" w:rsidRPr="00387441">
        <w:rPr>
          <w:lang w:val="lv-LV"/>
        </w:rPr>
        <w:t xml:space="preserve">Konstatēto neatbilstību būtība – </w:t>
      </w:r>
      <w:r w:rsidR="00375EF2" w:rsidRPr="00387441">
        <w:rPr>
          <w:lang w:val="lv-LV"/>
        </w:rPr>
        <w:t xml:space="preserve">aizpildītas  papildpasākumu reģistrācijas veidlapas par nenotikušiem papildpasākumiem. </w:t>
      </w:r>
      <w:r w:rsidR="00092C5A" w:rsidRPr="00387441">
        <w:rPr>
          <w:lang w:val="lv-LV"/>
        </w:rPr>
        <w:t xml:space="preserve">Visa </w:t>
      </w:r>
      <w:r w:rsidR="0055695E" w:rsidRPr="00387441">
        <w:rPr>
          <w:lang w:val="lv-LV"/>
        </w:rPr>
        <w:t>neatbilstoši veikto izdevumu summa vai nu atgūta vai ieturēta no kārtējā maksājuma, līdz ar to neietekmējot ne nacionālo, ne ES budžetu.</w:t>
      </w:r>
      <w:r w:rsidR="00354B79" w:rsidRPr="00387441">
        <w:rPr>
          <w:lang w:val="lv-LV"/>
        </w:rPr>
        <w:t xml:space="preserve"> Visi gadījumi ziņoti </w:t>
      </w:r>
      <w:r w:rsidR="00BC4D08" w:rsidRPr="00387441">
        <w:rPr>
          <w:lang w:val="lv-LV"/>
        </w:rPr>
        <w:t>V</w:t>
      </w:r>
      <w:r w:rsidR="00354B79" w:rsidRPr="00387441">
        <w:rPr>
          <w:lang w:val="lv-LV"/>
        </w:rPr>
        <w:t>alsts policijai, pamatojoties uz kuriem uzsākti 4 kriminālprocesi.</w:t>
      </w:r>
    </w:p>
    <w:p w14:paraId="6DB1543F" w14:textId="77777777" w:rsidR="00F01968" w:rsidRDefault="00F01968" w:rsidP="00F75B8A">
      <w:pPr>
        <w:spacing w:after="120" w:line="276" w:lineRule="auto"/>
        <w:rPr>
          <w:lang w:val="lv-LV"/>
        </w:rPr>
      </w:pPr>
    </w:p>
    <w:p w14:paraId="7C70748C" w14:textId="77777777" w:rsidR="00F7199D" w:rsidRPr="00BE0DBF" w:rsidRDefault="00F7199D" w:rsidP="00F75B8A">
      <w:pPr>
        <w:spacing w:after="120" w:line="276" w:lineRule="auto"/>
        <w:rPr>
          <w:lang w:val="lv-LV"/>
        </w:rPr>
      </w:pPr>
    </w:p>
    <w:p w14:paraId="6688A12A" w14:textId="2C0E98EA" w:rsidR="00B5678E" w:rsidRPr="00387441" w:rsidRDefault="00364BCF" w:rsidP="00364BCF">
      <w:pPr>
        <w:pStyle w:val="Heading4"/>
      </w:pPr>
      <w:bookmarkStart w:id="85" w:name="_Toc128581415"/>
      <w:bookmarkStart w:id="86" w:name="_Toc128581763"/>
      <w:bookmarkStart w:id="87" w:name="_Toc128581995"/>
      <w:bookmarkStart w:id="88" w:name="_Toc167178719"/>
      <w:bookmarkStart w:id="89" w:name="_Toc192753111"/>
      <w:r w:rsidRPr="00387441">
        <w:rPr>
          <w:rStyle w:val="Strong"/>
          <w:b/>
          <w:bCs w:val="0"/>
        </w:rPr>
        <w:lastRenderedPageBreak/>
        <w:t>B.</w:t>
      </w:r>
      <w:r w:rsidR="006644EC" w:rsidRPr="00387441">
        <w:rPr>
          <w:rStyle w:val="Strong"/>
          <w:b/>
          <w:bCs w:val="0"/>
        </w:rPr>
        <w:t>3</w:t>
      </w:r>
      <w:r w:rsidR="00060A08" w:rsidRPr="00387441">
        <w:rPr>
          <w:rStyle w:val="Strong"/>
          <w:b/>
          <w:bCs w:val="0"/>
        </w:rPr>
        <w:t xml:space="preserve">.5. Iekšējās drošības fonds (IDF) un Patvēruma, migrācijas un integrācijas fonds (PMIF) </w:t>
      </w:r>
      <w:bookmarkEnd w:id="85"/>
      <w:bookmarkEnd w:id="86"/>
      <w:bookmarkEnd w:id="87"/>
      <w:r w:rsidR="00060A08" w:rsidRPr="00387441">
        <w:rPr>
          <w:rStyle w:val="Strong"/>
          <w:b/>
          <w:bCs w:val="0"/>
        </w:rPr>
        <w:t>un Finansiālā atbalsta instruments robežu pārvaldībai un vīzu politikai (RPVP)</w:t>
      </w:r>
      <w:bookmarkEnd w:id="88"/>
      <w:bookmarkEnd w:id="89"/>
      <w:r w:rsidR="00060A08" w:rsidRPr="00387441">
        <w:rPr>
          <w:rStyle w:val="Strong"/>
          <w:b/>
          <w:bCs w:val="0"/>
        </w:rPr>
        <w:t xml:space="preserve"> </w:t>
      </w:r>
    </w:p>
    <w:p w14:paraId="3D80B198" w14:textId="325382A4" w:rsidR="00060A08" w:rsidRPr="00387441" w:rsidRDefault="000D4D50" w:rsidP="00060A08">
      <w:pPr>
        <w:pStyle w:val="TabulasAttli"/>
        <w:spacing w:after="0"/>
        <w:rPr>
          <w:sz w:val="20"/>
          <w:szCs w:val="20"/>
        </w:rPr>
      </w:pPr>
      <w:r w:rsidRPr="00387441">
        <w:rPr>
          <w:b/>
          <w:bCs/>
          <w:sz w:val="20"/>
          <w:szCs w:val="20"/>
        </w:rPr>
        <w:t>Attēls Nr.1</w:t>
      </w:r>
      <w:r w:rsidR="00CA6DFE" w:rsidRPr="00387441">
        <w:rPr>
          <w:b/>
          <w:bCs/>
          <w:sz w:val="20"/>
          <w:szCs w:val="20"/>
        </w:rPr>
        <w:t>4</w:t>
      </w:r>
      <w:r w:rsidR="00060A08" w:rsidRPr="00387441">
        <w:rPr>
          <w:sz w:val="20"/>
          <w:szCs w:val="20"/>
        </w:rPr>
        <w:t xml:space="preserve"> Kopsavilkums par IDF, PMIF un RPVP neatbilstībām</w:t>
      </w:r>
    </w:p>
    <w:tbl>
      <w:tblPr>
        <w:tblStyle w:val="TableGrid1"/>
        <w:tblW w:w="10490" w:type="dxa"/>
        <w:shd w:val="clear" w:color="auto" w:fill="29A3FF"/>
        <w:tblLayout w:type="fixed"/>
        <w:tblLook w:val="04A0" w:firstRow="1" w:lastRow="0" w:firstColumn="1" w:lastColumn="0" w:noHBand="0" w:noVBand="1"/>
      </w:tblPr>
      <w:tblGrid>
        <w:gridCol w:w="2127"/>
        <w:gridCol w:w="1559"/>
        <w:gridCol w:w="1745"/>
        <w:gridCol w:w="2082"/>
        <w:gridCol w:w="1375"/>
        <w:gridCol w:w="1602"/>
      </w:tblGrid>
      <w:tr w:rsidR="00060A08" w:rsidRPr="00387441" w14:paraId="4F9ADA5C" w14:textId="77777777" w:rsidTr="00D35C5C">
        <w:trPr>
          <w:trHeight w:val="236"/>
        </w:trPr>
        <w:tc>
          <w:tcPr>
            <w:tcW w:w="2127" w:type="dxa"/>
            <w:tcBorders>
              <w:top w:val="nil"/>
              <w:left w:val="nil"/>
              <w:bottom w:val="single" w:sz="4" w:space="0" w:color="auto"/>
              <w:right w:val="single" w:sz="8" w:space="0" w:color="auto"/>
            </w:tcBorders>
            <w:vAlign w:val="center"/>
          </w:tcPr>
          <w:p w14:paraId="0D29EF69" w14:textId="77777777" w:rsidR="00060A08" w:rsidRPr="00BE0DBF" w:rsidRDefault="00060A08" w:rsidP="00510C90">
            <w:pPr>
              <w:spacing w:after="0" w:line="240" w:lineRule="auto"/>
              <w:ind w:firstLine="0"/>
              <w:jc w:val="center"/>
              <w:rPr>
                <w:b/>
                <w:sz w:val="16"/>
                <w:szCs w:val="16"/>
                <w:lang w:val="lv-LV"/>
              </w:rPr>
            </w:pPr>
            <w:r w:rsidRPr="00BE0DBF">
              <w:rPr>
                <w:b/>
                <w:lang w:val="lv-LV"/>
              </w:rPr>
              <w:t>2014-2020</w:t>
            </w:r>
          </w:p>
        </w:tc>
        <w:tc>
          <w:tcPr>
            <w:tcW w:w="1559" w:type="dxa"/>
            <w:tcBorders>
              <w:left w:val="single" w:sz="8" w:space="0" w:color="auto"/>
              <w:bottom w:val="single" w:sz="4" w:space="0" w:color="auto"/>
            </w:tcBorders>
            <w:shd w:val="clear" w:color="auto" w:fill="4C94D8" w:themeFill="text2" w:themeFillTint="80"/>
            <w:vAlign w:val="center"/>
          </w:tcPr>
          <w:p w14:paraId="1CD244CC" w14:textId="77777777" w:rsidR="00060A08" w:rsidRPr="00BE0DBF" w:rsidRDefault="00060A08" w:rsidP="00510C90">
            <w:pPr>
              <w:spacing w:after="0" w:line="240" w:lineRule="auto"/>
              <w:ind w:firstLine="0"/>
              <w:jc w:val="center"/>
              <w:rPr>
                <w:b/>
                <w:color w:val="FFFFFF"/>
                <w:sz w:val="16"/>
                <w:szCs w:val="16"/>
                <w:lang w:val="lv-LV"/>
              </w:rPr>
            </w:pPr>
            <w:r w:rsidRPr="00BE0DBF">
              <w:rPr>
                <w:b/>
                <w:color w:val="FFFFFF"/>
                <w:sz w:val="16"/>
                <w:szCs w:val="16"/>
                <w:lang w:val="lv-LV"/>
              </w:rPr>
              <w:t>IDF</w:t>
            </w:r>
          </w:p>
        </w:tc>
        <w:tc>
          <w:tcPr>
            <w:tcW w:w="1745" w:type="dxa"/>
            <w:tcBorders>
              <w:bottom w:val="single" w:sz="4" w:space="0" w:color="auto"/>
              <w:right w:val="single" w:sz="8" w:space="0" w:color="auto"/>
            </w:tcBorders>
            <w:shd w:val="clear" w:color="auto" w:fill="4C94D8" w:themeFill="text2" w:themeFillTint="80"/>
            <w:vAlign w:val="center"/>
          </w:tcPr>
          <w:p w14:paraId="49A5FBAF" w14:textId="77777777" w:rsidR="00060A08" w:rsidRPr="00BE0DBF" w:rsidRDefault="00060A08" w:rsidP="00510C90">
            <w:pPr>
              <w:spacing w:after="0" w:line="240" w:lineRule="auto"/>
              <w:ind w:firstLine="0"/>
              <w:jc w:val="center"/>
              <w:rPr>
                <w:b/>
                <w:color w:val="FFFFFF"/>
                <w:sz w:val="16"/>
                <w:szCs w:val="16"/>
                <w:lang w:val="lv-LV"/>
              </w:rPr>
            </w:pPr>
            <w:r w:rsidRPr="00BE0DBF">
              <w:rPr>
                <w:b/>
                <w:color w:val="FFFFFF"/>
                <w:sz w:val="16"/>
                <w:szCs w:val="16"/>
                <w:lang w:val="lv-LV"/>
              </w:rPr>
              <w:t>PMIF</w:t>
            </w:r>
          </w:p>
        </w:tc>
        <w:tc>
          <w:tcPr>
            <w:tcW w:w="2082" w:type="dxa"/>
            <w:tcBorders>
              <w:top w:val="nil"/>
              <w:left w:val="single" w:sz="8" w:space="0" w:color="auto"/>
              <w:bottom w:val="single" w:sz="4" w:space="0" w:color="auto"/>
              <w:right w:val="single" w:sz="8" w:space="0" w:color="auto"/>
            </w:tcBorders>
            <w:shd w:val="clear" w:color="auto" w:fill="auto"/>
            <w:vAlign w:val="center"/>
          </w:tcPr>
          <w:p w14:paraId="7FB53D8A" w14:textId="77777777" w:rsidR="00060A08" w:rsidRPr="00BE0DBF" w:rsidRDefault="00060A08" w:rsidP="00510C90">
            <w:pPr>
              <w:spacing w:after="0" w:line="240" w:lineRule="auto"/>
              <w:ind w:firstLine="0"/>
              <w:jc w:val="center"/>
              <w:rPr>
                <w:b/>
                <w:color w:val="FFFFFF"/>
                <w:sz w:val="16"/>
                <w:szCs w:val="16"/>
                <w:lang w:val="lv-LV"/>
              </w:rPr>
            </w:pPr>
          </w:p>
        </w:tc>
        <w:tc>
          <w:tcPr>
            <w:tcW w:w="1375" w:type="dxa"/>
            <w:tcBorders>
              <w:left w:val="single" w:sz="8" w:space="0" w:color="auto"/>
              <w:bottom w:val="single" w:sz="4" w:space="0" w:color="auto"/>
            </w:tcBorders>
            <w:shd w:val="clear" w:color="auto" w:fill="4C94D8" w:themeFill="text2" w:themeFillTint="80"/>
            <w:vAlign w:val="center"/>
          </w:tcPr>
          <w:p w14:paraId="6706D695" w14:textId="77777777" w:rsidR="00060A08" w:rsidRPr="00BE0DBF" w:rsidRDefault="00060A08" w:rsidP="00510C90">
            <w:pPr>
              <w:spacing w:after="0" w:line="240" w:lineRule="auto"/>
              <w:ind w:firstLine="0"/>
              <w:jc w:val="center"/>
              <w:rPr>
                <w:b/>
                <w:color w:val="FFFFFF"/>
                <w:sz w:val="16"/>
                <w:szCs w:val="16"/>
                <w:lang w:val="lv-LV"/>
              </w:rPr>
            </w:pPr>
            <w:r w:rsidRPr="00BE0DBF">
              <w:rPr>
                <w:b/>
                <w:color w:val="FFFFFF"/>
                <w:sz w:val="16"/>
                <w:szCs w:val="16"/>
                <w:lang w:val="lv-LV"/>
              </w:rPr>
              <w:t>IDF</w:t>
            </w:r>
          </w:p>
        </w:tc>
        <w:tc>
          <w:tcPr>
            <w:tcW w:w="1602" w:type="dxa"/>
            <w:tcBorders>
              <w:bottom w:val="single" w:sz="4" w:space="0" w:color="auto"/>
            </w:tcBorders>
            <w:shd w:val="clear" w:color="auto" w:fill="4C94D8" w:themeFill="text2" w:themeFillTint="80"/>
            <w:vAlign w:val="center"/>
          </w:tcPr>
          <w:p w14:paraId="0C631149" w14:textId="77777777" w:rsidR="00060A08" w:rsidRPr="00BE0DBF" w:rsidRDefault="00060A08" w:rsidP="00510C90">
            <w:pPr>
              <w:spacing w:after="0" w:line="240" w:lineRule="auto"/>
              <w:ind w:firstLine="0"/>
              <w:jc w:val="center"/>
              <w:rPr>
                <w:b/>
                <w:color w:val="FFFFFF"/>
                <w:sz w:val="16"/>
                <w:szCs w:val="16"/>
                <w:lang w:val="lv-LV"/>
              </w:rPr>
            </w:pPr>
            <w:r w:rsidRPr="00BE0DBF">
              <w:rPr>
                <w:b/>
                <w:color w:val="FFFFFF"/>
                <w:sz w:val="16"/>
                <w:szCs w:val="16"/>
                <w:lang w:val="lv-LV"/>
              </w:rPr>
              <w:t>PMIF</w:t>
            </w:r>
          </w:p>
        </w:tc>
      </w:tr>
      <w:tr w:rsidR="00060A08" w:rsidRPr="00387441" w14:paraId="65643DBF" w14:textId="77777777" w:rsidTr="00D35C5C">
        <w:trPr>
          <w:trHeight w:val="410"/>
        </w:trPr>
        <w:tc>
          <w:tcPr>
            <w:tcW w:w="2127" w:type="dxa"/>
            <w:tcBorders>
              <w:left w:val="single" w:sz="4" w:space="0" w:color="auto"/>
              <w:right w:val="single" w:sz="4" w:space="0" w:color="auto"/>
            </w:tcBorders>
            <w:shd w:val="clear" w:color="auto" w:fill="DAE9F7" w:themeFill="text2" w:themeFillTint="1A"/>
            <w:vAlign w:val="center"/>
          </w:tcPr>
          <w:p w14:paraId="171DD62C" w14:textId="77777777" w:rsidR="00B5678E" w:rsidRPr="00BE0DBF" w:rsidRDefault="00B5678E" w:rsidP="00510C90">
            <w:pPr>
              <w:spacing w:after="0" w:line="240" w:lineRule="auto"/>
              <w:ind w:firstLine="0"/>
              <w:jc w:val="center"/>
              <w:rPr>
                <w:b/>
                <w:sz w:val="16"/>
                <w:szCs w:val="16"/>
                <w:lang w:val="lv-LV"/>
              </w:rPr>
            </w:pPr>
          </w:p>
          <w:p w14:paraId="02B7E826" w14:textId="606829F0" w:rsidR="00060A08" w:rsidRPr="00BE0DBF" w:rsidRDefault="00060A08" w:rsidP="00510C90">
            <w:pPr>
              <w:spacing w:after="0" w:line="240" w:lineRule="auto"/>
              <w:ind w:firstLine="0"/>
              <w:jc w:val="center"/>
              <w:rPr>
                <w:b/>
                <w:sz w:val="16"/>
                <w:szCs w:val="16"/>
                <w:lang w:val="lv-LV"/>
              </w:rPr>
            </w:pPr>
            <w:r w:rsidRPr="00BE0DBF">
              <w:rPr>
                <w:b/>
                <w:sz w:val="16"/>
                <w:szCs w:val="16"/>
                <w:lang w:val="lv-LV"/>
              </w:rPr>
              <w:t>Neatbilstoši veikto izdevumu summa</w:t>
            </w:r>
            <w:r w:rsidR="00A452C2" w:rsidRPr="00BE0DBF">
              <w:rPr>
                <w:b/>
                <w:sz w:val="16"/>
                <w:szCs w:val="16"/>
                <w:lang w:val="lv-LV"/>
              </w:rPr>
              <w:t xml:space="preserve"> EUR</w:t>
            </w:r>
          </w:p>
          <w:p w14:paraId="1BA69328" w14:textId="77777777" w:rsidR="00B5678E" w:rsidRPr="00BE0DBF" w:rsidRDefault="00B5678E" w:rsidP="00510C90">
            <w:pPr>
              <w:spacing w:after="0" w:line="240" w:lineRule="auto"/>
              <w:ind w:firstLine="0"/>
              <w:jc w:val="center"/>
              <w:rPr>
                <w:rStyle w:val="Strong"/>
                <w:rFonts w:cstheme="majorHAnsi"/>
                <w:i/>
                <w:color w:val="A6A6A6" w:themeColor="background1" w:themeShade="A6"/>
                <w:sz w:val="16"/>
                <w:szCs w:val="16"/>
                <w:lang w:val="lv-LV"/>
              </w:rPr>
            </w:pPr>
          </w:p>
          <w:p w14:paraId="64519C6B" w14:textId="1B4AB24A" w:rsidR="00060A08" w:rsidRPr="00BE0DBF" w:rsidRDefault="00060A08" w:rsidP="00510C90">
            <w:pPr>
              <w:spacing w:after="0" w:line="240" w:lineRule="auto"/>
              <w:ind w:firstLine="0"/>
              <w:jc w:val="center"/>
              <w:rPr>
                <w:b/>
                <w:i/>
                <w:sz w:val="16"/>
                <w:szCs w:val="16"/>
                <w:lang w:val="lv-LV"/>
              </w:rPr>
            </w:pPr>
            <w:r w:rsidRPr="00BE0DBF">
              <w:rPr>
                <w:rStyle w:val="Strong"/>
                <w:rFonts w:cstheme="majorHAnsi"/>
                <w:i/>
                <w:color w:val="A6A6A6" w:themeColor="background1" w:themeShade="A6"/>
                <w:sz w:val="16"/>
                <w:szCs w:val="16"/>
                <w:lang w:val="lv-LV"/>
              </w:rPr>
              <w:t>(202</w:t>
            </w:r>
            <w:r w:rsidR="009F44DE" w:rsidRPr="00BE0DBF">
              <w:rPr>
                <w:rStyle w:val="Strong"/>
                <w:rFonts w:cstheme="majorHAnsi"/>
                <w:i/>
                <w:color w:val="A6A6A6" w:themeColor="background1" w:themeShade="A6"/>
                <w:sz w:val="16"/>
                <w:szCs w:val="16"/>
                <w:lang w:val="lv-LV"/>
              </w:rPr>
              <w:t>3</w:t>
            </w:r>
            <w:r w:rsidRPr="00BE0DBF">
              <w:rPr>
                <w:rStyle w:val="Strong"/>
                <w:rFonts w:cstheme="majorHAnsi"/>
                <w:i/>
                <w:color w:val="A6A6A6" w:themeColor="background1" w:themeShade="A6"/>
                <w:sz w:val="16"/>
                <w:szCs w:val="16"/>
                <w:lang w:val="lv-LV"/>
              </w:rPr>
              <w:t>. gada dati)</w:t>
            </w:r>
          </w:p>
        </w:tc>
        <w:tc>
          <w:tcPr>
            <w:tcW w:w="1559" w:type="dxa"/>
            <w:tcBorders>
              <w:left w:val="single" w:sz="4" w:space="0" w:color="auto"/>
              <w:right w:val="single" w:sz="4" w:space="0" w:color="auto"/>
            </w:tcBorders>
            <w:shd w:val="clear" w:color="auto" w:fill="auto"/>
            <w:vAlign w:val="center"/>
          </w:tcPr>
          <w:p w14:paraId="76B1E1FE" w14:textId="77777777" w:rsidR="00B5678E" w:rsidRPr="00BE0DBF" w:rsidRDefault="00B5678E" w:rsidP="00510C90">
            <w:pPr>
              <w:spacing w:after="0" w:line="240" w:lineRule="auto"/>
              <w:ind w:firstLine="0"/>
              <w:jc w:val="center"/>
              <w:rPr>
                <w:i/>
                <w:sz w:val="16"/>
                <w:szCs w:val="16"/>
                <w:lang w:val="lv-LV"/>
              </w:rPr>
            </w:pPr>
          </w:p>
          <w:p w14:paraId="158AC1E0" w14:textId="1A40556D" w:rsidR="00B5678E" w:rsidRPr="00BE0DBF" w:rsidRDefault="004607CC" w:rsidP="004607CC">
            <w:pPr>
              <w:spacing w:after="0" w:line="240" w:lineRule="auto"/>
              <w:ind w:firstLine="0"/>
              <w:jc w:val="center"/>
              <w:rPr>
                <w:b/>
                <w:i/>
                <w:sz w:val="16"/>
                <w:szCs w:val="16"/>
                <w:lang w:val="lv-LV"/>
              </w:rPr>
            </w:pPr>
            <w:r w:rsidRPr="00BE0DBF">
              <w:rPr>
                <w:b/>
                <w:i/>
                <w:sz w:val="16"/>
                <w:szCs w:val="16"/>
                <w:lang w:val="lv-LV"/>
              </w:rPr>
              <w:t>31</w:t>
            </w:r>
            <w:r w:rsidR="000410D2" w:rsidRPr="00BE0DBF">
              <w:rPr>
                <w:b/>
                <w:i/>
                <w:sz w:val="16"/>
                <w:szCs w:val="16"/>
                <w:lang w:val="lv-LV"/>
              </w:rPr>
              <w:t xml:space="preserve"> </w:t>
            </w:r>
            <w:r w:rsidRPr="00BE0DBF">
              <w:rPr>
                <w:b/>
                <w:i/>
                <w:sz w:val="16"/>
                <w:szCs w:val="16"/>
                <w:lang w:val="lv-LV"/>
              </w:rPr>
              <w:t>316,49</w:t>
            </w:r>
          </w:p>
          <w:p w14:paraId="325D5B8D" w14:textId="77777777" w:rsidR="00B5678E" w:rsidRPr="00BE0DBF" w:rsidRDefault="00B5678E" w:rsidP="00510C90">
            <w:pPr>
              <w:spacing w:after="0" w:line="240" w:lineRule="auto"/>
              <w:ind w:firstLine="0"/>
              <w:jc w:val="center"/>
              <w:rPr>
                <w:i/>
                <w:color w:val="ADADAD" w:themeColor="background2" w:themeShade="BF"/>
                <w:sz w:val="16"/>
                <w:szCs w:val="16"/>
                <w:lang w:val="lv-LV"/>
              </w:rPr>
            </w:pPr>
          </w:p>
          <w:p w14:paraId="2BB8C803" w14:textId="1613F7E1" w:rsidR="00060A08" w:rsidRPr="00BE0DBF" w:rsidRDefault="00B5678E" w:rsidP="00B5678E">
            <w:pPr>
              <w:spacing w:after="0" w:line="240" w:lineRule="auto"/>
              <w:ind w:firstLine="0"/>
              <w:jc w:val="center"/>
              <w:rPr>
                <w:i/>
                <w:color w:val="ADADAD" w:themeColor="background2" w:themeShade="BF"/>
                <w:sz w:val="16"/>
                <w:szCs w:val="16"/>
                <w:lang w:val="lv-LV"/>
              </w:rPr>
            </w:pPr>
            <w:r w:rsidRPr="00BE0DBF">
              <w:rPr>
                <w:i/>
                <w:color w:val="ADADAD" w:themeColor="background2" w:themeShade="BF"/>
                <w:sz w:val="16"/>
                <w:szCs w:val="16"/>
                <w:lang w:val="lv-LV"/>
              </w:rPr>
              <w:t>(</w:t>
            </w:r>
            <w:r w:rsidR="00060A08" w:rsidRPr="00BE0DBF">
              <w:rPr>
                <w:i/>
                <w:color w:val="ADADAD" w:themeColor="background2" w:themeShade="BF"/>
                <w:sz w:val="16"/>
                <w:szCs w:val="16"/>
                <w:lang w:val="lv-LV"/>
              </w:rPr>
              <w:t>20 490.70</w:t>
            </w:r>
            <w:r w:rsidRPr="00BE0DBF">
              <w:rPr>
                <w:i/>
                <w:color w:val="ADADAD" w:themeColor="background2" w:themeShade="BF"/>
                <w:sz w:val="16"/>
                <w:szCs w:val="16"/>
                <w:lang w:val="lv-LV"/>
              </w:rPr>
              <w:t>)</w:t>
            </w:r>
          </w:p>
        </w:tc>
        <w:tc>
          <w:tcPr>
            <w:tcW w:w="1745" w:type="dxa"/>
            <w:tcBorders>
              <w:left w:val="single" w:sz="4" w:space="0" w:color="auto"/>
              <w:right w:val="single" w:sz="4" w:space="0" w:color="auto"/>
            </w:tcBorders>
            <w:shd w:val="clear" w:color="auto" w:fill="auto"/>
            <w:vAlign w:val="center"/>
          </w:tcPr>
          <w:p w14:paraId="7A4C7238" w14:textId="77777777" w:rsidR="00B5678E" w:rsidRPr="00BE0DBF" w:rsidRDefault="00B5678E" w:rsidP="00510C90">
            <w:pPr>
              <w:spacing w:after="0" w:line="240" w:lineRule="auto"/>
              <w:ind w:firstLine="0"/>
              <w:jc w:val="center"/>
              <w:rPr>
                <w:i/>
                <w:color w:val="ADADAD" w:themeColor="background2" w:themeShade="BF"/>
                <w:sz w:val="16"/>
                <w:szCs w:val="16"/>
                <w:lang w:val="lv-LV"/>
              </w:rPr>
            </w:pPr>
          </w:p>
          <w:p w14:paraId="21E62E82" w14:textId="3119FCA8" w:rsidR="00B5678E" w:rsidRPr="00BE0DBF" w:rsidRDefault="004607CC" w:rsidP="00510C90">
            <w:pPr>
              <w:spacing w:after="0" w:line="240" w:lineRule="auto"/>
              <w:ind w:firstLine="0"/>
              <w:jc w:val="center"/>
              <w:rPr>
                <w:b/>
                <w:i/>
                <w:sz w:val="16"/>
                <w:szCs w:val="16"/>
                <w:lang w:val="lv-LV"/>
              </w:rPr>
            </w:pPr>
            <w:r w:rsidRPr="00BE0DBF">
              <w:rPr>
                <w:b/>
                <w:i/>
                <w:sz w:val="16"/>
                <w:szCs w:val="16"/>
                <w:lang w:val="lv-LV"/>
              </w:rPr>
              <w:t>9</w:t>
            </w:r>
            <w:r w:rsidR="000410D2" w:rsidRPr="00BE0DBF">
              <w:rPr>
                <w:b/>
                <w:i/>
                <w:sz w:val="16"/>
                <w:szCs w:val="16"/>
                <w:lang w:val="lv-LV"/>
              </w:rPr>
              <w:t xml:space="preserve"> </w:t>
            </w:r>
            <w:r w:rsidRPr="00BE0DBF">
              <w:rPr>
                <w:b/>
                <w:i/>
                <w:sz w:val="16"/>
                <w:szCs w:val="16"/>
                <w:lang w:val="lv-LV"/>
              </w:rPr>
              <w:t>847,63</w:t>
            </w:r>
          </w:p>
          <w:p w14:paraId="1CAA3B93" w14:textId="77777777" w:rsidR="00B5678E" w:rsidRPr="00BE0DBF" w:rsidRDefault="00B5678E" w:rsidP="00510C90">
            <w:pPr>
              <w:spacing w:after="0" w:line="240" w:lineRule="auto"/>
              <w:ind w:firstLine="0"/>
              <w:jc w:val="center"/>
              <w:rPr>
                <w:i/>
                <w:color w:val="ADADAD" w:themeColor="background2" w:themeShade="BF"/>
                <w:sz w:val="16"/>
                <w:szCs w:val="16"/>
                <w:lang w:val="lv-LV"/>
              </w:rPr>
            </w:pPr>
          </w:p>
          <w:p w14:paraId="5BCE70E3" w14:textId="2BBC289E" w:rsidR="00060A08" w:rsidRPr="00BE0DBF" w:rsidRDefault="00B5678E" w:rsidP="00B5678E">
            <w:pPr>
              <w:spacing w:after="0" w:line="240" w:lineRule="auto"/>
              <w:ind w:firstLine="0"/>
              <w:jc w:val="center"/>
              <w:rPr>
                <w:i/>
                <w:color w:val="ADADAD" w:themeColor="background2" w:themeShade="BF"/>
                <w:sz w:val="16"/>
                <w:szCs w:val="16"/>
                <w:lang w:val="lv-LV"/>
              </w:rPr>
            </w:pPr>
            <w:r w:rsidRPr="00BE0DBF">
              <w:rPr>
                <w:i/>
                <w:color w:val="ADADAD" w:themeColor="background2" w:themeShade="BF"/>
                <w:sz w:val="16"/>
                <w:szCs w:val="16"/>
                <w:lang w:val="lv-LV"/>
              </w:rPr>
              <w:t>(</w:t>
            </w:r>
            <w:r w:rsidR="00060A08" w:rsidRPr="00BE0DBF">
              <w:rPr>
                <w:i/>
                <w:color w:val="ADADAD" w:themeColor="background2" w:themeShade="BF"/>
                <w:sz w:val="16"/>
                <w:szCs w:val="16"/>
                <w:lang w:val="lv-LV"/>
              </w:rPr>
              <w:t>12 999.12</w:t>
            </w:r>
            <w:r w:rsidRPr="00BE0DBF">
              <w:rPr>
                <w:i/>
                <w:color w:val="ADADAD" w:themeColor="background2" w:themeShade="BF"/>
                <w:sz w:val="16"/>
                <w:szCs w:val="16"/>
                <w:lang w:val="lv-LV"/>
              </w:rPr>
              <w:t>)</w:t>
            </w:r>
          </w:p>
        </w:tc>
        <w:tc>
          <w:tcPr>
            <w:tcW w:w="2082" w:type="dxa"/>
            <w:tcBorders>
              <w:left w:val="single" w:sz="4" w:space="0" w:color="auto"/>
              <w:right w:val="single" w:sz="4" w:space="0" w:color="auto"/>
            </w:tcBorders>
            <w:shd w:val="clear" w:color="auto" w:fill="DAE9F7" w:themeFill="text2" w:themeFillTint="1A"/>
            <w:vAlign w:val="center"/>
          </w:tcPr>
          <w:p w14:paraId="4CBA69DA" w14:textId="77777777" w:rsidR="00A452C2" w:rsidRPr="00BE0DBF" w:rsidRDefault="00A452C2" w:rsidP="00510C90">
            <w:pPr>
              <w:spacing w:after="0" w:line="240" w:lineRule="auto"/>
              <w:ind w:firstLine="0"/>
              <w:jc w:val="center"/>
              <w:rPr>
                <w:b/>
                <w:sz w:val="16"/>
                <w:szCs w:val="16"/>
                <w:lang w:val="lv-LV"/>
              </w:rPr>
            </w:pPr>
          </w:p>
          <w:p w14:paraId="19CDA10A" w14:textId="41935897" w:rsidR="00060A08" w:rsidRPr="00BE0DBF" w:rsidRDefault="00060A08" w:rsidP="00510C90">
            <w:pPr>
              <w:spacing w:after="0" w:line="240" w:lineRule="auto"/>
              <w:ind w:firstLine="0"/>
              <w:jc w:val="center"/>
              <w:rPr>
                <w:b/>
                <w:sz w:val="16"/>
                <w:szCs w:val="16"/>
                <w:lang w:val="lv-LV"/>
              </w:rPr>
            </w:pPr>
            <w:r w:rsidRPr="00BE0DBF">
              <w:rPr>
                <w:b/>
                <w:sz w:val="16"/>
                <w:szCs w:val="16"/>
                <w:lang w:val="lv-LV"/>
              </w:rPr>
              <w:t>Skaits</w:t>
            </w:r>
          </w:p>
          <w:p w14:paraId="48F46F95" w14:textId="77777777" w:rsidR="00A452C2" w:rsidRPr="00BE0DBF" w:rsidRDefault="00A452C2" w:rsidP="00510C90">
            <w:pPr>
              <w:spacing w:after="0" w:line="240" w:lineRule="auto"/>
              <w:ind w:firstLine="0"/>
              <w:jc w:val="center"/>
              <w:rPr>
                <w:rStyle w:val="Strong"/>
                <w:rFonts w:cstheme="majorHAnsi"/>
                <w:i/>
                <w:color w:val="A6A6A6" w:themeColor="background1" w:themeShade="A6"/>
                <w:sz w:val="16"/>
                <w:szCs w:val="16"/>
                <w:lang w:val="lv-LV"/>
              </w:rPr>
            </w:pPr>
          </w:p>
          <w:p w14:paraId="00A7B7AE" w14:textId="6650E880" w:rsidR="00060A08" w:rsidRPr="00BE0DBF" w:rsidRDefault="00060A08" w:rsidP="00510C90">
            <w:pPr>
              <w:spacing w:after="0" w:line="240" w:lineRule="auto"/>
              <w:ind w:firstLine="0"/>
              <w:jc w:val="center"/>
              <w:rPr>
                <w:b/>
                <w:i/>
                <w:sz w:val="16"/>
                <w:szCs w:val="16"/>
                <w:lang w:val="lv-LV"/>
              </w:rPr>
            </w:pPr>
            <w:r w:rsidRPr="00BE0DBF">
              <w:rPr>
                <w:rStyle w:val="Strong"/>
                <w:rFonts w:cstheme="majorHAnsi"/>
                <w:i/>
                <w:color w:val="A6A6A6" w:themeColor="background1" w:themeShade="A6"/>
                <w:sz w:val="16"/>
                <w:szCs w:val="16"/>
                <w:lang w:val="lv-LV"/>
              </w:rPr>
              <w:t>(202</w:t>
            </w:r>
            <w:r w:rsidR="009F44DE" w:rsidRPr="00BE0DBF">
              <w:rPr>
                <w:rStyle w:val="Strong"/>
                <w:rFonts w:cstheme="majorHAnsi"/>
                <w:i/>
                <w:color w:val="A6A6A6" w:themeColor="background1" w:themeShade="A6"/>
                <w:sz w:val="16"/>
                <w:szCs w:val="16"/>
                <w:lang w:val="lv-LV"/>
              </w:rPr>
              <w:t>3</w:t>
            </w:r>
            <w:r w:rsidRPr="00BE0DBF">
              <w:rPr>
                <w:rStyle w:val="Strong"/>
                <w:rFonts w:cstheme="majorHAnsi"/>
                <w:i/>
                <w:color w:val="A6A6A6" w:themeColor="background1" w:themeShade="A6"/>
                <w:sz w:val="16"/>
                <w:szCs w:val="16"/>
                <w:lang w:val="lv-LV"/>
              </w:rPr>
              <w:t>. gada dati)</w:t>
            </w:r>
          </w:p>
        </w:tc>
        <w:tc>
          <w:tcPr>
            <w:tcW w:w="1375" w:type="dxa"/>
            <w:tcBorders>
              <w:left w:val="single" w:sz="4" w:space="0" w:color="auto"/>
              <w:right w:val="single" w:sz="4" w:space="0" w:color="auto"/>
            </w:tcBorders>
            <w:shd w:val="clear" w:color="auto" w:fill="auto"/>
            <w:vAlign w:val="center"/>
          </w:tcPr>
          <w:p w14:paraId="7ED3ACF9" w14:textId="77777777" w:rsidR="00E832A7" w:rsidRPr="00BE0DBF" w:rsidRDefault="00E832A7" w:rsidP="00E832A7">
            <w:pPr>
              <w:spacing w:after="0" w:line="240" w:lineRule="auto"/>
              <w:ind w:firstLine="0"/>
              <w:rPr>
                <w:b/>
                <w:i/>
                <w:sz w:val="16"/>
                <w:szCs w:val="16"/>
                <w:lang w:val="lv-LV"/>
              </w:rPr>
            </w:pPr>
          </w:p>
          <w:p w14:paraId="7EAE6A99" w14:textId="77777777" w:rsidR="00E832A7" w:rsidRPr="00BE0DBF" w:rsidRDefault="00E832A7" w:rsidP="00E832A7">
            <w:pPr>
              <w:spacing w:after="0" w:line="240" w:lineRule="auto"/>
              <w:ind w:firstLine="0"/>
              <w:rPr>
                <w:b/>
                <w:i/>
                <w:sz w:val="16"/>
                <w:szCs w:val="16"/>
                <w:lang w:val="lv-LV"/>
              </w:rPr>
            </w:pPr>
          </w:p>
          <w:p w14:paraId="1D03CA7E" w14:textId="77777777" w:rsidR="00E832A7" w:rsidRPr="00BE0DBF" w:rsidRDefault="00E832A7" w:rsidP="00E832A7">
            <w:pPr>
              <w:spacing w:after="0" w:line="240" w:lineRule="auto"/>
              <w:ind w:firstLine="0"/>
              <w:rPr>
                <w:b/>
                <w:i/>
                <w:sz w:val="16"/>
                <w:szCs w:val="16"/>
                <w:lang w:val="lv-LV"/>
              </w:rPr>
            </w:pPr>
          </w:p>
          <w:p w14:paraId="29DEAF4B" w14:textId="48D55EDE" w:rsidR="00E832A7" w:rsidRPr="00BE0DBF" w:rsidRDefault="004607CC" w:rsidP="00E832A7">
            <w:pPr>
              <w:spacing w:after="0" w:line="240" w:lineRule="auto"/>
              <w:ind w:firstLine="0"/>
              <w:jc w:val="center"/>
              <w:rPr>
                <w:b/>
                <w:i/>
                <w:sz w:val="16"/>
                <w:szCs w:val="16"/>
                <w:lang w:val="lv-LV"/>
              </w:rPr>
            </w:pPr>
            <w:r w:rsidRPr="00BE0DBF">
              <w:rPr>
                <w:b/>
                <w:i/>
                <w:sz w:val="16"/>
                <w:szCs w:val="16"/>
                <w:lang w:val="lv-LV"/>
              </w:rPr>
              <w:t>3</w:t>
            </w:r>
          </w:p>
          <w:p w14:paraId="5EA3BB65" w14:textId="77777777" w:rsidR="00E832A7" w:rsidRPr="00BE0DBF" w:rsidRDefault="00E832A7" w:rsidP="00A452C2">
            <w:pPr>
              <w:spacing w:after="0" w:line="240" w:lineRule="auto"/>
              <w:ind w:firstLine="0"/>
              <w:jc w:val="center"/>
              <w:rPr>
                <w:i/>
                <w:color w:val="ADADAD" w:themeColor="background2" w:themeShade="BF"/>
                <w:sz w:val="16"/>
                <w:szCs w:val="16"/>
                <w:lang w:val="lv-LV"/>
              </w:rPr>
            </w:pPr>
          </w:p>
          <w:p w14:paraId="192E45D2" w14:textId="5EF7AC8E" w:rsidR="00060A08" w:rsidRPr="00BE0DBF" w:rsidRDefault="00A452C2" w:rsidP="00A452C2">
            <w:pPr>
              <w:spacing w:after="0" w:line="240" w:lineRule="auto"/>
              <w:ind w:firstLine="0"/>
              <w:jc w:val="center"/>
              <w:rPr>
                <w:i/>
                <w:color w:val="ADADAD" w:themeColor="background2" w:themeShade="BF"/>
                <w:sz w:val="16"/>
                <w:szCs w:val="16"/>
                <w:lang w:val="lv-LV"/>
              </w:rPr>
            </w:pPr>
            <w:r w:rsidRPr="00BE0DBF">
              <w:rPr>
                <w:i/>
                <w:color w:val="ADADAD" w:themeColor="background2" w:themeShade="BF"/>
                <w:sz w:val="16"/>
                <w:szCs w:val="16"/>
                <w:lang w:val="lv-LV"/>
              </w:rPr>
              <w:t>(</w:t>
            </w:r>
            <w:r w:rsidR="00060A08" w:rsidRPr="00BE0DBF">
              <w:rPr>
                <w:i/>
                <w:color w:val="ADADAD" w:themeColor="background2" w:themeShade="BF"/>
                <w:sz w:val="16"/>
                <w:szCs w:val="16"/>
                <w:lang w:val="lv-LV"/>
              </w:rPr>
              <w:t>13</w:t>
            </w:r>
            <w:r w:rsidRPr="00BE0DBF">
              <w:rPr>
                <w:i/>
                <w:color w:val="ADADAD" w:themeColor="background2" w:themeShade="BF"/>
                <w:sz w:val="16"/>
                <w:szCs w:val="16"/>
                <w:lang w:val="lv-LV"/>
              </w:rPr>
              <w:t>)</w:t>
            </w:r>
          </w:p>
        </w:tc>
        <w:tc>
          <w:tcPr>
            <w:tcW w:w="1602" w:type="dxa"/>
            <w:tcBorders>
              <w:left w:val="single" w:sz="4" w:space="0" w:color="auto"/>
            </w:tcBorders>
            <w:shd w:val="clear" w:color="auto" w:fill="auto"/>
            <w:vAlign w:val="center"/>
          </w:tcPr>
          <w:p w14:paraId="660ECA8F" w14:textId="77777777" w:rsidR="00E832A7" w:rsidRPr="00BE0DBF" w:rsidRDefault="00E832A7" w:rsidP="00E832A7">
            <w:pPr>
              <w:spacing w:after="0" w:line="240" w:lineRule="auto"/>
              <w:ind w:firstLine="0"/>
              <w:rPr>
                <w:b/>
                <w:i/>
                <w:sz w:val="16"/>
                <w:szCs w:val="16"/>
                <w:lang w:val="lv-LV"/>
              </w:rPr>
            </w:pPr>
          </w:p>
          <w:p w14:paraId="4442BFC6" w14:textId="77777777" w:rsidR="00E832A7" w:rsidRPr="00BE0DBF" w:rsidRDefault="00E832A7" w:rsidP="00E832A7">
            <w:pPr>
              <w:spacing w:after="0" w:line="240" w:lineRule="auto"/>
              <w:ind w:firstLine="0"/>
              <w:rPr>
                <w:b/>
                <w:i/>
                <w:sz w:val="16"/>
                <w:szCs w:val="16"/>
                <w:lang w:val="lv-LV"/>
              </w:rPr>
            </w:pPr>
          </w:p>
          <w:p w14:paraId="51C78675" w14:textId="77777777" w:rsidR="00E832A7" w:rsidRPr="00BE0DBF" w:rsidRDefault="00E832A7" w:rsidP="00E832A7">
            <w:pPr>
              <w:spacing w:after="0" w:line="240" w:lineRule="auto"/>
              <w:ind w:firstLine="0"/>
              <w:jc w:val="center"/>
              <w:rPr>
                <w:b/>
                <w:i/>
                <w:sz w:val="16"/>
                <w:szCs w:val="16"/>
                <w:lang w:val="lv-LV"/>
              </w:rPr>
            </w:pPr>
          </w:p>
          <w:p w14:paraId="5A2898ED" w14:textId="18D16088" w:rsidR="00E832A7" w:rsidRPr="00BE0DBF" w:rsidRDefault="004607CC" w:rsidP="00E832A7">
            <w:pPr>
              <w:spacing w:after="0" w:line="240" w:lineRule="auto"/>
              <w:ind w:firstLine="0"/>
              <w:jc w:val="center"/>
              <w:rPr>
                <w:b/>
                <w:i/>
                <w:sz w:val="16"/>
                <w:szCs w:val="16"/>
                <w:lang w:val="lv-LV"/>
              </w:rPr>
            </w:pPr>
            <w:r w:rsidRPr="00BE0DBF">
              <w:rPr>
                <w:b/>
                <w:i/>
                <w:sz w:val="16"/>
                <w:szCs w:val="16"/>
                <w:lang w:val="lv-LV"/>
              </w:rPr>
              <w:t>1</w:t>
            </w:r>
          </w:p>
          <w:p w14:paraId="56626A6F" w14:textId="77777777" w:rsidR="00E832A7" w:rsidRPr="00BE0DBF" w:rsidRDefault="00E832A7" w:rsidP="00A452C2">
            <w:pPr>
              <w:spacing w:after="0" w:line="240" w:lineRule="auto"/>
              <w:ind w:firstLine="0"/>
              <w:jc w:val="center"/>
              <w:rPr>
                <w:i/>
                <w:color w:val="ADADAD" w:themeColor="background2" w:themeShade="BF"/>
                <w:sz w:val="16"/>
                <w:szCs w:val="16"/>
                <w:lang w:val="lv-LV"/>
              </w:rPr>
            </w:pPr>
          </w:p>
          <w:p w14:paraId="71C31E09" w14:textId="627FA824" w:rsidR="00060A08" w:rsidRPr="00BE0DBF" w:rsidRDefault="00A452C2" w:rsidP="00A452C2">
            <w:pPr>
              <w:spacing w:after="0" w:line="240" w:lineRule="auto"/>
              <w:ind w:firstLine="0"/>
              <w:jc w:val="center"/>
              <w:rPr>
                <w:i/>
                <w:color w:val="ADADAD" w:themeColor="background2" w:themeShade="BF"/>
                <w:sz w:val="16"/>
                <w:szCs w:val="16"/>
                <w:lang w:val="lv-LV"/>
              </w:rPr>
            </w:pPr>
            <w:r w:rsidRPr="00BE0DBF">
              <w:rPr>
                <w:i/>
                <w:color w:val="ADADAD" w:themeColor="background2" w:themeShade="BF"/>
                <w:sz w:val="16"/>
                <w:szCs w:val="16"/>
                <w:lang w:val="lv-LV"/>
              </w:rPr>
              <w:t>(</w:t>
            </w:r>
            <w:r w:rsidR="00060A08" w:rsidRPr="00BE0DBF">
              <w:rPr>
                <w:i/>
                <w:color w:val="ADADAD" w:themeColor="background2" w:themeShade="BF"/>
                <w:sz w:val="16"/>
                <w:szCs w:val="16"/>
                <w:lang w:val="lv-LV"/>
              </w:rPr>
              <w:t>10</w:t>
            </w:r>
            <w:r w:rsidRPr="00BE0DBF">
              <w:rPr>
                <w:i/>
                <w:color w:val="ADADAD" w:themeColor="background2" w:themeShade="BF"/>
                <w:sz w:val="16"/>
                <w:szCs w:val="16"/>
                <w:lang w:val="lv-LV"/>
              </w:rPr>
              <w:t>)</w:t>
            </w:r>
          </w:p>
        </w:tc>
      </w:tr>
      <w:tr w:rsidR="00060A08" w:rsidRPr="00387441" w14:paraId="42F4CBD3" w14:textId="77777777" w:rsidTr="00D35C5C">
        <w:trPr>
          <w:trHeight w:val="572"/>
        </w:trPr>
        <w:tc>
          <w:tcPr>
            <w:tcW w:w="2127" w:type="dxa"/>
            <w:tcBorders>
              <w:left w:val="single" w:sz="4" w:space="0" w:color="auto"/>
              <w:right w:val="single" w:sz="4" w:space="0" w:color="auto"/>
            </w:tcBorders>
            <w:shd w:val="clear" w:color="auto" w:fill="DAE9F7" w:themeFill="text2" w:themeFillTint="1A"/>
            <w:vAlign w:val="center"/>
          </w:tcPr>
          <w:p w14:paraId="445A3464" w14:textId="63205A12" w:rsidR="00060A08" w:rsidRPr="00BE0DBF" w:rsidRDefault="00B5678E" w:rsidP="00510C90">
            <w:pPr>
              <w:spacing w:after="0" w:line="240" w:lineRule="auto"/>
              <w:ind w:firstLine="0"/>
              <w:jc w:val="center"/>
              <w:rPr>
                <w:b/>
                <w:sz w:val="16"/>
                <w:szCs w:val="16"/>
                <w:lang w:val="lv-LV"/>
              </w:rPr>
            </w:pPr>
            <w:r w:rsidRPr="00BE0DBF">
              <w:rPr>
                <w:rStyle w:val="Strong"/>
                <w:rFonts w:cstheme="majorHAnsi"/>
                <w:sz w:val="16"/>
                <w:szCs w:val="16"/>
                <w:lang w:val="lv-LV"/>
              </w:rPr>
              <w:t>Atgūto naudas līdzekļu summa EUR</w:t>
            </w:r>
          </w:p>
        </w:tc>
        <w:tc>
          <w:tcPr>
            <w:tcW w:w="1559" w:type="dxa"/>
            <w:tcBorders>
              <w:left w:val="single" w:sz="4" w:space="0" w:color="auto"/>
              <w:right w:val="single" w:sz="4" w:space="0" w:color="auto"/>
            </w:tcBorders>
            <w:shd w:val="clear" w:color="auto" w:fill="auto"/>
          </w:tcPr>
          <w:p w14:paraId="1E56D884" w14:textId="77777777" w:rsidR="00AB3C7E" w:rsidRPr="00BE0DBF" w:rsidRDefault="00AB3C7E" w:rsidP="00510C90">
            <w:pPr>
              <w:spacing w:after="0" w:line="240" w:lineRule="auto"/>
              <w:ind w:firstLine="0"/>
              <w:contextualSpacing/>
              <w:jc w:val="center"/>
              <w:rPr>
                <w:sz w:val="16"/>
                <w:szCs w:val="16"/>
                <w:lang w:val="lv-LV"/>
              </w:rPr>
            </w:pPr>
          </w:p>
          <w:p w14:paraId="27E275FF" w14:textId="235AB0B9" w:rsidR="00060A08" w:rsidRPr="00BE0DBF" w:rsidRDefault="00AB3C7E" w:rsidP="00510C90">
            <w:pPr>
              <w:spacing w:after="0" w:line="240" w:lineRule="auto"/>
              <w:ind w:firstLine="0"/>
              <w:contextualSpacing/>
              <w:jc w:val="center"/>
              <w:rPr>
                <w:b/>
                <w:i/>
                <w:sz w:val="16"/>
                <w:szCs w:val="16"/>
                <w:lang w:val="lv-LV"/>
              </w:rPr>
            </w:pPr>
            <w:r w:rsidRPr="00BE0DBF">
              <w:rPr>
                <w:b/>
                <w:i/>
                <w:sz w:val="16"/>
                <w:szCs w:val="16"/>
                <w:lang w:val="lv-LV"/>
              </w:rPr>
              <w:t>31</w:t>
            </w:r>
            <w:r w:rsidR="000410D2" w:rsidRPr="00BE0DBF">
              <w:rPr>
                <w:b/>
                <w:i/>
                <w:sz w:val="16"/>
                <w:szCs w:val="16"/>
                <w:lang w:val="lv-LV"/>
              </w:rPr>
              <w:t xml:space="preserve"> </w:t>
            </w:r>
            <w:r w:rsidRPr="00BE0DBF">
              <w:rPr>
                <w:b/>
                <w:i/>
                <w:sz w:val="16"/>
                <w:szCs w:val="16"/>
                <w:lang w:val="lv-LV"/>
              </w:rPr>
              <w:t>316,49</w:t>
            </w:r>
          </w:p>
        </w:tc>
        <w:tc>
          <w:tcPr>
            <w:tcW w:w="1745" w:type="dxa"/>
            <w:tcBorders>
              <w:left w:val="single" w:sz="4" w:space="0" w:color="auto"/>
              <w:right w:val="single" w:sz="4" w:space="0" w:color="auto"/>
            </w:tcBorders>
            <w:shd w:val="clear" w:color="auto" w:fill="auto"/>
          </w:tcPr>
          <w:p w14:paraId="2466E3DD" w14:textId="77777777" w:rsidR="000410D2" w:rsidRPr="00BE0DBF" w:rsidRDefault="000410D2" w:rsidP="00510C90">
            <w:pPr>
              <w:spacing w:after="0" w:line="240" w:lineRule="auto"/>
              <w:ind w:firstLine="0"/>
              <w:contextualSpacing/>
              <w:jc w:val="center"/>
              <w:rPr>
                <w:sz w:val="16"/>
                <w:szCs w:val="16"/>
                <w:lang w:val="lv-LV"/>
              </w:rPr>
            </w:pPr>
          </w:p>
          <w:p w14:paraId="5D2F4782" w14:textId="0E245843" w:rsidR="00060A08" w:rsidRPr="00BE0DBF" w:rsidRDefault="000410D2" w:rsidP="00510C90">
            <w:pPr>
              <w:spacing w:after="0" w:line="240" w:lineRule="auto"/>
              <w:ind w:firstLine="0"/>
              <w:contextualSpacing/>
              <w:jc w:val="center"/>
              <w:rPr>
                <w:b/>
                <w:i/>
                <w:sz w:val="16"/>
                <w:szCs w:val="16"/>
                <w:lang w:val="lv-LV"/>
              </w:rPr>
            </w:pPr>
            <w:r w:rsidRPr="00BE0DBF">
              <w:rPr>
                <w:b/>
                <w:i/>
                <w:sz w:val="16"/>
                <w:szCs w:val="16"/>
                <w:lang w:val="lv-LV"/>
              </w:rPr>
              <w:t>9 847,63</w:t>
            </w:r>
          </w:p>
        </w:tc>
        <w:tc>
          <w:tcPr>
            <w:tcW w:w="2082" w:type="dxa"/>
            <w:tcBorders>
              <w:left w:val="single" w:sz="4" w:space="0" w:color="auto"/>
              <w:right w:val="single" w:sz="4" w:space="0" w:color="auto"/>
            </w:tcBorders>
            <w:shd w:val="clear" w:color="auto" w:fill="DAE9F7" w:themeFill="text2" w:themeFillTint="1A"/>
            <w:vAlign w:val="center"/>
          </w:tcPr>
          <w:p w14:paraId="79D73019" w14:textId="77777777" w:rsidR="00060A08" w:rsidRPr="00BE0DBF" w:rsidRDefault="00060A08" w:rsidP="00510C90">
            <w:pPr>
              <w:spacing w:after="0" w:line="240" w:lineRule="auto"/>
              <w:ind w:firstLine="0"/>
              <w:jc w:val="center"/>
              <w:rPr>
                <w:b/>
                <w:sz w:val="16"/>
                <w:szCs w:val="16"/>
                <w:lang w:val="lv-LV"/>
              </w:rPr>
            </w:pPr>
            <w:r w:rsidRPr="00BE0DBF">
              <w:rPr>
                <w:b/>
                <w:sz w:val="16"/>
                <w:szCs w:val="16"/>
                <w:lang w:val="lv-LV"/>
              </w:rPr>
              <w:t>Atklāšanas veids</w:t>
            </w:r>
          </w:p>
        </w:tc>
        <w:tc>
          <w:tcPr>
            <w:tcW w:w="2977" w:type="dxa"/>
            <w:gridSpan w:val="2"/>
            <w:tcBorders>
              <w:left w:val="single" w:sz="4" w:space="0" w:color="auto"/>
            </w:tcBorders>
            <w:shd w:val="clear" w:color="auto" w:fill="auto"/>
            <w:vAlign w:val="center"/>
          </w:tcPr>
          <w:p w14:paraId="4F5D222C" w14:textId="5AD72627" w:rsidR="00060A08" w:rsidRPr="00BE0DBF" w:rsidRDefault="00D33578" w:rsidP="00510C90">
            <w:pPr>
              <w:spacing w:after="0" w:line="240" w:lineRule="auto"/>
              <w:ind w:left="-108" w:firstLine="0"/>
              <w:jc w:val="center"/>
              <w:rPr>
                <w:sz w:val="16"/>
                <w:szCs w:val="16"/>
                <w:lang w:val="lv-LV"/>
              </w:rPr>
            </w:pPr>
            <w:r w:rsidRPr="009330C5">
              <w:rPr>
                <w:sz w:val="16"/>
                <w:szCs w:val="16"/>
                <w:lang w:val="lv-LV"/>
              </w:rPr>
              <w:t>Administratīvo un Pārbaužu projektu īstenošanas vietās ietvaros</w:t>
            </w:r>
          </w:p>
        </w:tc>
      </w:tr>
    </w:tbl>
    <w:tbl>
      <w:tblPr>
        <w:tblStyle w:val="TableGrid"/>
        <w:tblW w:w="10490" w:type="dxa"/>
        <w:shd w:val="clear" w:color="auto" w:fill="29A3FF"/>
        <w:tblLayout w:type="fixed"/>
        <w:tblLook w:val="04A0" w:firstRow="1" w:lastRow="0" w:firstColumn="1" w:lastColumn="0" w:noHBand="0" w:noVBand="1"/>
      </w:tblPr>
      <w:tblGrid>
        <w:gridCol w:w="2127"/>
        <w:gridCol w:w="992"/>
        <w:gridCol w:w="1134"/>
        <w:gridCol w:w="1134"/>
        <w:gridCol w:w="2126"/>
        <w:gridCol w:w="993"/>
        <w:gridCol w:w="1056"/>
        <w:gridCol w:w="928"/>
      </w:tblGrid>
      <w:tr w:rsidR="00060A08" w:rsidRPr="00387441" w14:paraId="5A94C31B" w14:textId="77777777" w:rsidTr="009862AC">
        <w:trPr>
          <w:trHeight w:val="187"/>
        </w:trPr>
        <w:tc>
          <w:tcPr>
            <w:tcW w:w="2127" w:type="dxa"/>
            <w:tcBorders>
              <w:top w:val="nil"/>
              <w:left w:val="nil"/>
              <w:bottom w:val="single" w:sz="4" w:space="0" w:color="auto"/>
              <w:right w:val="single" w:sz="8" w:space="0" w:color="auto"/>
            </w:tcBorders>
            <w:shd w:val="clear" w:color="auto" w:fill="auto"/>
            <w:vAlign w:val="center"/>
          </w:tcPr>
          <w:p w14:paraId="443C2F53" w14:textId="77777777" w:rsidR="00060A08" w:rsidRPr="00387441" w:rsidRDefault="00060A08" w:rsidP="00510C90">
            <w:pPr>
              <w:pStyle w:val="ListParagraph"/>
              <w:spacing w:after="0" w:line="240" w:lineRule="auto"/>
              <w:ind w:left="0"/>
              <w:contextualSpacing w:val="0"/>
              <w:jc w:val="center"/>
              <w:rPr>
                <w:rStyle w:val="Strong"/>
                <w:rFonts w:cstheme="majorHAnsi"/>
                <w:sz w:val="16"/>
                <w:szCs w:val="16"/>
                <w:lang w:val="lv-LV"/>
              </w:rPr>
            </w:pPr>
            <w:r w:rsidRPr="00387441">
              <w:rPr>
                <w:rStyle w:val="Strong"/>
                <w:rFonts w:cstheme="majorHAnsi"/>
                <w:sz w:val="20"/>
                <w:szCs w:val="20"/>
                <w:lang w:val="lv-LV"/>
              </w:rPr>
              <w:t>2021-2027</w:t>
            </w:r>
          </w:p>
        </w:tc>
        <w:tc>
          <w:tcPr>
            <w:tcW w:w="992" w:type="dxa"/>
            <w:tcBorders>
              <w:left w:val="single" w:sz="8" w:space="0" w:color="auto"/>
              <w:bottom w:val="single" w:sz="4" w:space="0" w:color="auto"/>
            </w:tcBorders>
            <w:shd w:val="clear" w:color="auto" w:fill="4C94D8" w:themeFill="text2" w:themeFillTint="80"/>
            <w:vAlign w:val="center"/>
          </w:tcPr>
          <w:p w14:paraId="53F05C8A" w14:textId="77777777" w:rsidR="00060A08" w:rsidRPr="00387441" w:rsidRDefault="00060A08" w:rsidP="00510C90">
            <w:pPr>
              <w:spacing w:after="0" w:line="240" w:lineRule="auto"/>
              <w:ind w:firstLine="0"/>
              <w:jc w:val="center"/>
              <w:rPr>
                <w:color w:val="FFFFFF"/>
                <w:lang w:val="lv-LV"/>
              </w:rPr>
            </w:pPr>
            <w:r w:rsidRPr="00387441">
              <w:rPr>
                <w:b/>
                <w:bCs/>
                <w:color w:val="FFFFFF"/>
                <w:sz w:val="16"/>
                <w:szCs w:val="16"/>
                <w:lang w:val="lv-LV"/>
              </w:rPr>
              <w:t>IDF</w:t>
            </w:r>
          </w:p>
        </w:tc>
        <w:tc>
          <w:tcPr>
            <w:tcW w:w="1134" w:type="dxa"/>
            <w:tcBorders>
              <w:bottom w:val="single" w:sz="4" w:space="0" w:color="auto"/>
            </w:tcBorders>
            <w:shd w:val="clear" w:color="auto" w:fill="4C94D8" w:themeFill="text2" w:themeFillTint="80"/>
            <w:vAlign w:val="center"/>
          </w:tcPr>
          <w:p w14:paraId="471B0EB9" w14:textId="77777777" w:rsidR="00060A08" w:rsidRPr="00387441" w:rsidRDefault="00060A08" w:rsidP="00510C90">
            <w:pPr>
              <w:spacing w:after="0" w:line="240" w:lineRule="auto"/>
              <w:ind w:firstLine="0"/>
              <w:jc w:val="center"/>
              <w:rPr>
                <w:color w:val="FFFFFF"/>
                <w:lang w:val="lv-LV"/>
              </w:rPr>
            </w:pPr>
            <w:r w:rsidRPr="00387441">
              <w:rPr>
                <w:b/>
                <w:bCs/>
                <w:color w:val="FFFFFF"/>
                <w:sz w:val="16"/>
                <w:szCs w:val="16"/>
                <w:lang w:val="lv-LV"/>
              </w:rPr>
              <w:t>PMIF</w:t>
            </w:r>
          </w:p>
        </w:tc>
        <w:tc>
          <w:tcPr>
            <w:tcW w:w="1134" w:type="dxa"/>
            <w:tcBorders>
              <w:bottom w:val="single" w:sz="4" w:space="0" w:color="auto"/>
              <w:right w:val="single" w:sz="4" w:space="0" w:color="auto"/>
            </w:tcBorders>
            <w:shd w:val="clear" w:color="auto" w:fill="4C94D8" w:themeFill="text2" w:themeFillTint="80"/>
          </w:tcPr>
          <w:p w14:paraId="74109AF5" w14:textId="77777777" w:rsidR="00060A08" w:rsidRPr="00387441" w:rsidRDefault="00060A08" w:rsidP="00510C90">
            <w:pPr>
              <w:spacing w:after="0" w:line="240" w:lineRule="auto"/>
              <w:ind w:firstLine="0"/>
              <w:jc w:val="center"/>
              <w:rPr>
                <w:color w:val="FFFFFF"/>
                <w:lang w:val="lv-LV"/>
              </w:rPr>
            </w:pPr>
            <w:r w:rsidRPr="00387441">
              <w:rPr>
                <w:b/>
                <w:bCs/>
                <w:color w:val="FFFFFF"/>
                <w:sz w:val="16"/>
                <w:szCs w:val="16"/>
                <w:lang w:val="lv-LV"/>
              </w:rPr>
              <w:t>RPVP</w:t>
            </w:r>
          </w:p>
        </w:tc>
        <w:tc>
          <w:tcPr>
            <w:tcW w:w="2126" w:type="dxa"/>
            <w:tcBorders>
              <w:top w:val="nil"/>
              <w:left w:val="single" w:sz="8" w:space="0" w:color="auto"/>
              <w:bottom w:val="single" w:sz="4" w:space="0" w:color="auto"/>
              <w:right w:val="single" w:sz="8" w:space="0" w:color="auto"/>
            </w:tcBorders>
            <w:shd w:val="clear" w:color="auto" w:fill="auto"/>
            <w:vAlign w:val="center"/>
          </w:tcPr>
          <w:p w14:paraId="3C159B58" w14:textId="77777777" w:rsidR="00060A08" w:rsidRPr="00387441" w:rsidRDefault="00060A08"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p>
        </w:tc>
        <w:tc>
          <w:tcPr>
            <w:tcW w:w="993" w:type="dxa"/>
            <w:tcBorders>
              <w:left w:val="single" w:sz="8" w:space="0" w:color="auto"/>
              <w:bottom w:val="single" w:sz="4" w:space="0" w:color="auto"/>
            </w:tcBorders>
            <w:shd w:val="clear" w:color="auto" w:fill="4C94D8" w:themeFill="text2" w:themeFillTint="80"/>
            <w:vAlign w:val="center"/>
          </w:tcPr>
          <w:p w14:paraId="23F56001" w14:textId="77777777" w:rsidR="00060A08" w:rsidRPr="00387441" w:rsidRDefault="00060A08" w:rsidP="00F63C68">
            <w:pPr>
              <w:pStyle w:val="ListParagraph"/>
              <w:spacing w:after="0" w:line="240" w:lineRule="auto"/>
              <w:ind w:left="0" w:firstLine="31"/>
              <w:contextualSpacing w:val="0"/>
              <w:jc w:val="center"/>
              <w:rPr>
                <w:rStyle w:val="Strong"/>
                <w:rFonts w:cstheme="majorHAnsi"/>
                <w:color w:val="FFFFFF" w:themeColor="background1"/>
                <w:sz w:val="16"/>
                <w:szCs w:val="16"/>
                <w:lang w:val="lv-LV"/>
              </w:rPr>
            </w:pPr>
            <w:r w:rsidRPr="00387441">
              <w:rPr>
                <w:b/>
                <w:bCs/>
                <w:color w:val="FFFFFF"/>
                <w:sz w:val="16"/>
                <w:szCs w:val="16"/>
                <w:lang w:val="lv-LV"/>
              </w:rPr>
              <w:t>IDF</w:t>
            </w:r>
          </w:p>
        </w:tc>
        <w:tc>
          <w:tcPr>
            <w:tcW w:w="1056" w:type="dxa"/>
            <w:tcBorders>
              <w:bottom w:val="single" w:sz="4" w:space="0" w:color="auto"/>
            </w:tcBorders>
            <w:shd w:val="clear" w:color="auto" w:fill="4C94D8" w:themeFill="text2" w:themeFillTint="80"/>
            <w:vAlign w:val="center"/>
          </w:tcPr>
          <w:p w14:paraId="1770C275" w14:textId="77777777" w:rsidR="00060A08" w:rsidRPr="00387441" w:rsidRDefault="00060A08" w:rsidP="00F63C68">
            <w:pPr>
              <w:pStyle w:val="ListParagraph"/>
              <w:spacing w:after="0" w:line="240" w:lineRule="auto"/>
              <w:ind w:left="0" w:firstLine="0"/>
              <w:contextualSpacing w:val="0"/>
              <w:jc w:val="center"/>
              <w:rPr>
                <w:rStyle w:val="Strong"/>
                <w:rFonts w:cstheme="majorHAnsi"/>
                <w:color w:val="FFFFFF" w:themeColor="background1"/>
                <w:sz w:val="16"/>
                <w:szCs w:val="16"/>
                <w:lang w:val="lv-LV"/>
              </w:rPr>
            </w:pPr>
            <w:r w:rsidRPr="00387441">
              <w:rPr>
                <w:b/>
                <w:bCs/>
                <w:color w:val="FFFFFF"/>
                <w:sz w:val="16"/>
                <w:szCs w:val="16"/>
                <w:lang w:val="lv-LV"/>
              </w:rPr>
              <w:t>PMIF</w:t>
            </w:r>
          </w:p>
        </w:tc>
        <w:tc>
          <w:tcPr>
            <w:tcW w:w="928" w:type="dxa"/>
            <w:tcBorders>
              <w:bottom w:val="single" w:sz="4" w:space="0" w:color="auto"/>
            </w:tcBorders>
            <w:shd w:val="clear" w:color="auto" w:fill="4C94D8" w:themeFill="text2" w:themeFillTint="80"/>
          </w:tcPr>
          <w:p w14:paraId="5BE0CFE7" w14:textId="77777777" w:rsidR="00060A08" w:rsidRPr="00387441" w:rsidRDefault="00060A08" w:rsidP="00F63C68">
            <w:pPr>
              <w:pStyle w:val="ListParagraph"/>
              <w:spacing w:after="0" w:line="240" w:lineRule="auto"/>
              <w:ind w:left="0" w:right="-253" w:firstLine="0"/>
              <w:contextualSpacing w:val="0"/>
              <w:jc w:val="center"/>
              <w:rPr>
                <w:rStyle w:val="Strong"/>
                <w:rFonts w:cstheme="majorHAnsi"/>
                <w:color w:val="FFFFFF" w:themeColor="background1"/>
                <w:sz w:val="16"/>
                <w:szCs w:val="16"/>
                <w:lang w:val="lv-LV"/>
              </w:rPr>
            </w:pPr>
            <w:r w:rsidRPr="00387441">
              <w:rPr>
                <w:b/>
                <w:bCs/>
                <w:color w:val="FFFFFF"/>
                <w:sz w:val="16"/>
                <w:szCs w:val="16"/>
                <w:lang w:val="lv-LV"/>
              </w:rPr>
              <w:t>RPVP</w:t>
            </w:r>
          </w:p>
        </w:tc>
      </w:tr>
      <w:tr w:rsidR="00060A08" w:rsidRPr="00387441" w14:paraId="4DF97BE9" w14:textId="77777777" w:rsidTr="009862AC">
        <w:trPr>
          <w:trHeight w:val="356"/>
        </w:trPr>
        <w:tc>
          <w:tcPr>
            <w:tcW w:w="2127" w:type="dxa"/>
            <w:tcBorders>
              <w:left w:val="single" w:sz="8" w:space="0" w:color="auto"/>
              <w:right w:val="single" w:sz="8" w:space="0" w:color="auto"/>
            </w:tcBorders>
            <w:shd w:val="clear" w:color="auto" w:fill="DAE9F7" w:themeFill="text2" w:themeFillTint="1A"/>
            <w:vAlign w:val="center"/>
          </w:tcPr>
          <w:p w14:paraId="406BD26E" w14:textId="77777777" w:rsidR="00B5678E" w:rsidRPr="00387441" w:rsidRDefault="00B5678E" w:rsidP="00B5678E">
            <w:pPr>
              <w:pStyle w:val="ListParagraph"/>
              <w:spacing w:after="0" w:line="240" w:lineRule="auto"/>
              <w:ind w:left="0" w:firstLine="0"/>
              <w:contextualSpacing w:val="0"/>
              <w:jc w:val="center"/>
              <w:rPr>
                <w:rStyle w:val="Strong"/>
                <w:rFonts w:cstheme="majorHAnsi"/>
                <w:sz w:val="16"/>
                <w:szCs w:val="16"/>
                <w:lang w:val="lv-LV"/>
              </w:rPr>
            </w:pPr>
          </w:p>
          <w:p w14:paraId="57A66DC8" w14:textId="3E96F618" w:rsidR="00060A08" w:rsidRPr="00387441" w:rsidRDefault="00060A08" w:rsidP="00B5678E">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Neatbilstoši veikto izdevumu summa</w:t>
            </w:r>
            <w:r w:rsidR="00B5678E" w:rsidRPr="00387441">
              <w:rPr>
                <w:rStyle w:val="Strong"/>
                <w:rFonts w:cstheme="majorHAnsi"/>
                <w:sz w:val="16"/>
                <w:szCs w:val="16"/>
                <w:lang w:val="lv-LV"/>
              </w:rPr>
              <w:t xml:space="preserve"> EUR</w:t>
            </w:r>
          </w:p>
          <w:p w14:paraId="0DA6444D" w14:textId="77777777" w:rsidR="00B5678E" w:rsidRPr="00387441" w:rsidRDefault="00B5678E" w:rsidP="00B5678E">
            <w:pPr>
              <w:pStyle w:val="ListParagraph"/>
              <w:spacing w:after="0" w:line="240" w:lineRule="auto"/>
              <w:ind w:left="0" w:firstLine="0"/>
              <w:contextualSpacing w:val="0"/>
              <w:jc w:val="center"/>
              <w:rPr>
                <w:rStyle w:val="Strong"/>
                <w:rFonts w:cstheme="majorHAnsi"/>
                <w:i/>
                <w:iCs/>
                <w:color w:val="A6A6A6" w:themeColor="background1" w:themeShade="A6"/>
                <w:sz w:val="16"/>
                <w:szCs w:val="16"/>
                <w:lang w:val="lv-LV"/>
              </w:rPr>
            </w:pPr>
          </w:p>
          <w:p w14:paraId="180DDC1F" w14:textId="7768E1AB" w:rsidR="00A452C2" w:rsidRPr="00387441" w:rsidRDefault="00A452C2" w:rsidP="00B5678E">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992" w:type="dxa"/>
            <w:tcBorders>
              <w:left w:val="single" w:sz="8" w:space="0" w:color="auto"/>
            </w:tcBorders>
            <w:shd w:val="clear" w:color="auto" w:fill="auto"/>
            <w:vAlign w:val="center"/>
          </w:tcPr>
          <w:p w14:paraId="0CF1B612" w14:textId="77777777" w:rsidR="00A452C2" w:rsidRPr="00387441" w:rsidRDefault="00A452C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225F2310" w14:textId="77777777" w:rsidR="00A452C2" w:rsidRPr="00387441" w:rsidRDefault="00A452C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44ED6DCF" w14:textId="48920984" w:rsidR="000410D2" w:rsidRPr="00387441" w:rsidRDefault="00A9000E" w:rsidP="00F63C68">
            <w:pPr>
              <w:pStyle w:val="ListParagraph"/>
              <w:spacing w:after="0" w:line="240" w:lineRule="auto"/>
              <w:ind w:left="0" w:right="-107" w:firstLine="29"/>
              <w:contextualSpacing w:val="0"/>
              <w:jc w:val="center"/>
              <w:rPr>
                <w:b/>
                <w:bCs/>
                <w:i/>
                <w:iCs/>
                <w:sz w:val="16"/>
                <w:szCs w:val="16"/>
                <w:lang w:val="lv-LV"/>
              </w:rPr>
            </w:pPr>
            <w:r w:rsidRPr="00387441">
              <w:rPr>
                <w:b/>
                <w:bCs/>
                <w:i/>
                <w:iCs/>
                <w:sz w:val="16"/>
                <w:szCs w:val="16"/>
                <w:lang w:val="lv-LV"/>
              </w:rPr>
              <w:t>0</w:t>
            </w:r>
          </w:p>
          <w:p w14:paraId="374F7111" w14:textId="77777777" w:rsidR="000410D2" w:rsidRPr="00387441" w:rsidRDefault="000410D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66C247A8" w14:textId="639A738A" w:rsidR="00060A08" w:rsidRPr="00387441" w:rsidRDefault="00A452C2" w:rsidP="00F63C68">
            <w:pPr>
              <w:pStyle w:val="ListParagraph"/>
              <w:spacing w:after="0" w:line="240" w:lineRule="auto"/>
              <w:ind w:left="0" w:right="-107" w:firstLine="29"/>
              <w:contextualSpacing w:val="0"/>
              <w:jc w:val="center"/>
              <w:rPr>
                <w:rStyle w:val="Strong"/>
                <w:rFonts w:cstheme="majorHAnsi"/>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0.00</w:t>
            </w:r>
            <w:r w:rsidRPr="00387441">
              <w:rPr>
                <w:i/>
                <w:iCs/>
                <w:color w:val="ADADAD" w:themeColor="background2" w:themeShade="BF"/>
                <w:sz w:val="16"/>
                <w:szCs w:val="16"/>
                <w:lang w:val="lv-LV"/>
              </w:rPr>
              <w:t>)</w:t>
            </w:r>
          </w:p>
        </w:tc>
        <w:tc>
          <w:tcPr>
            <w:tcW w:w="1134" w:type="dxa"/>
            <w:shd w:val="clear" w:color="auto" w:fill="auto"/>
            <w:vAlign w:val="center"/>
          </w:tcPr>
          <w:p w14:paraId="0DBB21BE" w14:textId="77777777" w:rsidR="00A452C2" w:rsidRPr="00387441" w:rsidRDefault="00A452C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256533F9" w14:textId="77777777" w:rsidR="00A452C2" w:rsidRPr="00387441" w:rsidRDefault="00A452C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185497A2" w14:textId="5085C28E" w:rsidR="000410D2" w:rsidRPr="00387441" w:rsidRDefault="00A9000E" w:rsidP="00F63C68">
            <w:pPr>
              <w:pStyle w:val="ListParagraph"/>
              <w:spacing w:after="0" w:line="240" w:lineRule="auto"/>
              <w:ind w:left="0" w:right="-107" w:firstLine="29"/>
              <w:contextualSpacing w:val="0"/>
              <w:jc w:val="center"/>
              <w:rPr>
                <w:b/>
                <w:bCs/>
                <w:i/>
                <w:iCs/>
                <w:sz w:val="16"/>
                <w:szCs w:val="16"/>
                <w:lang w:val="lv-LV"/>
              </w:rPr>
            </w:pPr>
            <w:r w:rsidRPr="00387441">
              <w:rPr>
                <w:b/>
                <w:bCs/>
                <w:i/>
                <w:iCs/>
                <w:sz w:val="16"/>
                <w:szCs w:val="16"/>
                <w:lang w:val="lv-LV"/>
              </w:rPr>
              <w:t>38 325,27</w:t>
            </w:r>
          </w:p>
          <w:p w14:paraId="2C58BFE1" w14:textId="77777777" w:rsidR="000410D2" w:rsidRPr="00387441" w:rsidRDefault="000410D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4643F34A" w14:textId="0049DABA" w:rsidR="00060A08" w:rsidRPr="00387441" w:rsidRDefault="00A452C2" w:rsidP="00F63C68">
            <w:pPr>
              <w:pStyle w:val="ListParagraph"/>
              <w:spacing w:after="0" w:line="240" w:lineRule="auto"/>
              <w:ind w:left="0" w:right="-107" w:firstLine="29"/>
              <w:contextualSpacing w:val="0"/>
              <w:jc w:val="center"/>
              <w:rPr>
                <w:rStyle w:val="Strong"/>
                <w:rFonts w:cstheme="majorHAnsi"/>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80.30</w:t>
            </w:r>
            <w:r w:rsidRPr="00387441">
              <w:rPr>
                <w:i/>
                <w:iCs/>
                <w:color w:val="ADADAD" w:themeColor="background2" w:themeShade="BF"/>
                <w:sz w:val="16"/>
                <w:szCs w:val="16"/>
                <w:lang w:val="lv-LV"/>
              </w:rPr>
              <w:t>)</w:t>
            </w:r>
          </w:p>
        </w:tc>
        <w:tc>
          <w:tcPr>
            <w:tcW w:w="1134" w:type="dxa"/>
            <w:tcBorders>
              <w:right w:val="single" w:sz="4" w:space="0" w:color="auto"/>
            </w:tcBorders>
            <w:shd w:val="clear" w:color="auto" w:fill="auto"/>
            <w:vAlign w:val="center"/>
          </w:tcPr>
          <w:p w14:paraId="7DDFBC78" w14:textId="77777777" w:rsidR="00A452C2" w:rsidRPr="00387441" w:rsidRDefault="00A452C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56A93D79" w14:textId="77777777" w:rsidR="00A452C2" w:rsidRPr="00387441" w:rsidRDefault="00A452C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37FAA33A" w14:textId="06DCD348" w:rsidR="000410D2" w:rsidRPr="00387441" w:rsidRDefault="00A9000E" w:rsidP="00F63C68">
            <w:pPr>
              <w:pStyle w:val="ListParagraph"/>
              <w:spacing w:after="0" w:line="240" w:lineRule="auto"/>
              <w:ind w:left="0" w:right="-107" w:firstLine="29"/>
              <w:contextualSpacing w:val="0"/>
              <w:jc w:val="center"/>
              <w:rPr>
                <w:b/>
                <w:bCs/>
                <w:i/>
                <w:iCs/>
                <w:sz w:val="16"/>
                <w:szCs w:val="16"/>
                <w:lang w:val="lv-LV"/>
              </w:rPr>
            </w:pPr>
            <w:r w:rsidRPr="00387441">
              <w:rPr>
                <w:b/>
                <w:bCs/>
                <w:i/>
                <w:iCs/>
                <w:sz w:val="16"/>
                <w:szCs w:val="16"/>
                <w:lang w:val="lv-LV"/>
              </w:rPr>
              <w:t>4 013,83</w:t>
            </w:r>
          </w:p>
          <w:p w14:paraId="3F0A600B" w14:textId="77777777" w:rsidR="000410D2" w:rsidRPr="00387441" w:rsidRDefault="000410D2" w:rsidP="00F63C68">
            <w:pPr>
              <w:pStyle w:val="ListParagraph"/>
              <w:spacing w:after="0" w:line="240" w:lineRule="auto"/>
              <w:ind w:left="0" w:right="-107" w:firstLine="29"/>
              <w:contextualSpacing w:val="0"/>
              <w:jc w:val="center"/>
              <w:rPr>
                <w:i/>
                <w:iCs/>
                <w:color w:val="ADADAD" w:themeColor="background2" w:themeShade="BF"/>
                <w:sz w:val="16"/>
                <w:szCs w:val="16"/>
                <w:lang w:val="lv-LV"/>
              </w:rPr>
            </w:pPr>
          </w:p>
          <w:p w14:paraId="37D93001" w14:textId="2554BE04" w:rsidR="00060A08" w:rsidRPr="00387441" w:rsidRDefault="00A452C2" w:rsidP="00F63C68">
            <w:pPr>
              <w:pStyle w:val="ListParagraph"/>
              <w:spacing w:after="0" w:line="240" w:lineRule="auto"/>
              <w:ind w:left="0" w:right="-107" w:firstLine="29"/>
              <w:contextualSpacing w:val="0"/>
              <w:jc w:val="center"/>
              <w:rPr>
                <w:rStyle w:val="Strong"/>
                <w:rFonts w:cstheme="majorHAnsi"/>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0.00</w:t>
            </w:r>
            <w:r w:rsidRPr="00387441">
              <w:rPr>
                <w:i/>
                <w:iCs/>
                <w:color w:val="ADADAD" w:themeColor="background2" w:themeShade="BF"/>
                <w:sz w:val="16"/>
                <w:szCs w:val="16"/>
                <w:lang w:val="lv-LV"/>
              </w:rPr>
              <w:t>)</w:t>
            </w:r>
          </w:p>
        </w:tc>
        <w:tc>
          <w:tcPr>
            <w:tcW w:w="2126" w:type="dxa"/>
            <w:tcBorders>
              <w:left w:val="single" w:sz="8" w:space="0" w:color="auto"/>
              <w:right w:val="single" w:sz="8" w:space="0" w:color="auto"/>
            </w:tcBorders>
            <w:shd w:val="clear" w:color="auto" w:fill="DAE9F7" w:themeFill="text2" w:themeFillTint="1A"/>
            <w:vAlign w:val="center"/>
          </w:tcPr>
          <w:p w14:paraId="7A880141" w14:textId="77777777" w:rsidR="00B5678E" w:rsidRPr="00387441" w:rsidRDefault="00B5678E" w:rsidP="00B5678E">
            <w:pPr>
              <w:pStyle w:val="ListParagraph"/>
              <w:spacing w:after="0" w:line="240" w:lineRule="auto"/>
              <w:ind w:left="0" w:hanging="107"/>
              <w:contextualSpacing w:val="0"/>
              <w:jc w:val="center"/>
              <w:rPr>
                <w:rStyle w:val="Strong"/>
                <w:rFonts w:cstheme="majorHAnsi"/>
                <w:sz w:val="16"/>
                <w:szCs w:val="16"/>
                <w:lang w:val="lv-LV"/>
              </w:rPr>
            </w:pPr>
          </w:p>
          <w:p w14:paraId="076CA7AF" w14:textId="581D63BC" w:rsidR="00B5678E" w:rsidRPr="00387441" w:rsidRDefault="00060A08" w:rsidP="00B5678E">
            <w:pPr>
              <w:pStyle w:val="ListParagraph"/>
              <w:spacing w:after="0" w:line="240" w:lineRule="auto"/>
              <w:ind w:left="0" w:hanging="107"/>
              <w:contextualSpacing w:val="0"/>
              <w:jc w:val="center"/>
              <w:rPr>
                <w:rStyle w:val="Strong"/>
                <w:rFonts w:cstheme="majorHAnsi"/>
                <w:sz w:val="16"/>
                <w:szCs w:val="16"/>
                <w:lang w:val="lv-LV"/>
              </w:rPr>
            </w:pPr>
            <w:r w:rsidRPr="00387441">
              <w:rPr>
                <w:rStyle w:val="Strong"/>
                <w:rFonts w:cstheme="majorHAnsi"/>
                <w:sz w:val="16"/>
                <w:szCs w:val="16"/>
                <w:lang w:val="lv-LV"/>
              </w:rPr>
              <w:t>Skaits</w:t>
            </w:r>
          </w:p>
          <w:p w14:paraId="6376C257" w14:textId="77777777" w:rsidR="00B5678E" w:rsidRPr="00387441" w:rsidRDefault="00B5678E" w:rsidP="00B5678E">
            <w:pPr>
              <w:pStyle w:val="ListParagraph"/>
              <w:spacing w:after="0" w:line="240" w:lineRule="auto"/>
              <w:ind w:left="0" w:hanging="107"/>
              <w:contextualSpacing w:val="0"/>
              <w:jc w:val="center"/>
              <w:rPr>
                <w:rStyle w:val="Strong"/>
                <w:rFonts w:cstheme="majorHAnsi"/>
                <w:i/>
                <w:iCs/>
                <w:color w:val="A6A6A6" w:themeColor="background1" w:themeShade="A6"/>
                <w:sz w:val="16"/>
                <w:szCs w:val="16"/>
                <w:lang w:val="lv-LV"/>
              </w:rPr>
            </w:pPr>
          </w:p>
          <w:p w14:paraId="22137334" w14:textId="6E69949A" w:rsidR="00A452C2" w:rsidRPr="00387441" w:rsidRDefault="00A452C2" w:rsidP="00B5678E">
            <w:pPr>
              <w:pStyle w:val="ListParagraph"/>
              <w:spacing w:after="0" w:line="240" w:lineRule="auto"/>
              <w:ind w:left="0" w:hanging="107"/>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993" w:type="dxa"/>
            <w:tcBorders>
              <w:left w:val="single" w:sz="8" w:space="0" w:color="auto"/>
            </w:tcBorders>
            <w:shd w:val="clear" w:color="auto" w:fill="auto"/>
            <w:vAlign w:val="center"/>
          </w:tcPr>
          <w:p w14:paraId="64C7C978" w14:textId="77777777" w:rsidR="00A452C2" w:rsidRPr="00387441" w:rsidRDefault="00A452C2" w:rsidP="00A452C2">
            <w:pPr>
              <w:pStyle w:val="ListParagraph"/>
              <w:spacing w:after="0" w:line="240" w:lineRule="auto"/>
              <w:ind w:left="0" w:firstLine="0"/>
              <w:contextualSpacing w:val="0"/>
              <w:jc w:val="center"/>
              <w:rPr>
                <w:i/>
                <w:iCs/>
                <w:color w:val="ADADAD" w:themeColor="background2" w:themeShade="BF"/>
                <w:sz w:val="16"/>
                <w:szCs w:val="16"/>
                <w:lang w:val="lv-LV"/>
              </w:rPr>
            </w:pPr>
          </w:p>
          <w:p w14:paraId="23B73D64" w14:textId="77777777" w:rsidR="00A452C2" w:rsidRPr="00387441" w:rsidRDefault="00A452C2" w:rsidP="00A452C2">
            <w:pPr>
              <w:pStyle w:val="ListParagraph"/>
              <w:spacing w:after="0" w:line="240" w:lineRule="auto"/>
              <w:ind w:left="0" w:firstLine="0"/>
              <w:contextualSpacing w:val="0"/>
              <w:jc w:val="center"/>
              <w:rPr>
                <w:b/>
                <w:bCs/>
                <w:i/>
                <w:iCs/>
                <w:sz w:val="16"/>
                <w:szCs w:val="16"/>
                <w:lang w:val="lv-LV"/>
              </w:rPr>
            </w:pPr>
          </w:p>
          <w:p w14:paraId="5BDDC29B" w14:textId="4E3A7290" w:rsidR="000410D2" w:rsidRPr="00387441" w:rsidRDefault="00A9000E" w:rsidP="00A452C2">
            <w:pPr>
              <w:pStyle w:val="ListParagraph"/>
              <w:spacing w:after="0" w:line="240" w:lineRule="auto"/>
              <w:ind w:left="0" w:firstLine="0"/>
              <w:contextualSpacing w:val="0"/>
              <w:jc w:val="center"/>
              <w:rPr>
                <w:b/>
                <w:bCs/>
                <w:i/>
                <w:iCs/>
                <w:sz w:val="16"/>
                <w:szCs w:val="16"/>
                <w:lang w:val="lv-LV"/>
              </w:rPr>
            </w:pPr>
            <w:r w:rsidRPr="00387441">
              <w:rPr>
                <w:b/>
                <w:bCs/>
                <w:i/>
                <w:iCs/>
                <w:sz w:val="16"/>
                <w:szCs w:val="16"/>
                <w:lang w:val="lv-LV"/>
              </w:rPr>
              <w:t>0</w:t>
            </w:r>
          </w:p>
          <w:p w14:paraId="6BD2FE93" w14:textId="77777777" w:rsidR="000410D2" w:rsidRPr="00387441" w:rsidRDefault="000410D2" w:rsidP="00A452C2">
            <w:pPr>
              <w:pStyle w:val="ListParagraph"/>
              <w:spacing w:after="0" w:line="240" w:lineRule="auto"/>
              <w:ind w:left="0" w:firstLine="0"/>
              <w:contextualSpacing w:val="0"/>
              <w:jc w:val="center"/>
              <w:rPr>
                <w:i/>
                <w:iCs/>
                <w:color w:val="ADADAD" w:themeColor="background2" w:themeShade="BF"/>
                <w:sz w:val="16"/>
                <w:szCs w:val="16"/>
                <w:lang w:val="lv-LV"/>
              </w:rPr>
            </w:pPr>
          </w:p>
          <w:p w14:paraId="5F374763" w14:textId="657F9DBB" w:rsidR="00060A08" w:rsidRPr="00387441" w:rsidRDefault="00A452C2" w:rsidP="00A452C2">
            <w:pPr>
              <w:pStyle w:val="ListParagraph"/>
              <w:spacing w:after="0" w:line="240" w:lineRule="auto"/>
              <w:ind w:left="0" w:firstLine="0"/>
              <w:contextualSpacing w:val="0"/>
              <w:jc w:val="center"/>
              <w:rPr>
                <w:rStyle w:val="Strong"/>
                <w:rFonts w:cstheme="majorHAnsi"/>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0</w:t>
            </w:r>
            <w:r w:rsidRPr="00387441">
              <w:rPr>
                <w:i/>
                <w:iCs/>
                <w:color w:val="ADADAD" w:themeColor="background2" w:themeShade="BF"/>
                <w:sz w:val="16"/>
                <w:szCs w:val="16"/>
                <w:lang w:val="lv-LV"/>
              </w:rPr>
              <w:t>)</w:t>
            </w:r>
          </w:p>
        </w:tc>
        <w:tc>
          <w:tcPr>
            <w:tcW w:w="1056" w:type="dxa"/>
            <w:shd w:val="clear" w:color="auto" w:fill="auto"/>
            <w:vAlign w:val="center"/>
          </w:tcPr>
          <w:p w14:paraId="6797976F" w14:textId="77777777" w:rsidR="00A452C2" w:rsidRPr="00387441" w:rsidRDefault="00A452C2" w:rsidP="00A452C2">
            <w:pPr>
              <w:pStyle w:val="ListParagraph"/>
              <w:spacing w:after="0" w:line="240" w:lineRule="auto"/>
              <w:ind w:left="0" w:firstLine="0"/>
              <w:contextualSpacing w:val="0"/>
              <w:jc w:val="center"/>
              <w:rPr>
                <w:i/>
                <w:iCs/>
                <w:color w:val="ADADAD" w:themeColor="background2" w:themeShade="BF"/>
                <w:sz w:val="16"/>
                <w:szCs w:val="16"/>
                <w:lang w:val="lv-LV"/>
              </w:rPr>
            </w:pPr>
          </w:p>
          <w:p w14:paraId="4357C264" w14:textId="77777777" w:rsidR="00A452C2" w:rsidRPr="00387441" w:rsidRDefault="00A452C2" w:rsidP="00A452C2">
            <w:pPr>
              <w:pStyle w:val="ListParagraph"/>
              <w:spacing w:after="0" w:line="240" w:lineRule="auto"/>
              <w:ind w:left="0" w:firstLine="0"/>
              <w:contextualSpacing w:val="0"/>
              <w:jc w:val="center"/>
              <w:rPr>
                <w:i/>
                <w:iCs/>
                <w:color w:val="ADADAD" w:themeColor="background2" w:themeShade="BF"/>
                <w:sz w:val="16"/>
                <w:szCs w:val="16"/>
                <w:lang w:val="lv-LV"/>
              </w:rPr>
            </w:pPr>
          </w:p>
          <w:p w14:paraId="180BDC98" w14:textId="3349EAF6" w:rsidR="000410D2" w:rsidRPr="00387441" w:rsidRDefault="00A9000E" w:rsidP="00A452C2">
            <w:pPr>
              <w:pStyle w:val="ListParagraph"/>
              <w:spacing w:after="0" w:line="240" w:lineRule="auto"/>
              <w:ind w:left="0" w:firstLine="0"/>
              <w:contextualSpacing w:val="0"/>
              <w:jc w:val="center"/>
              <w:rPr>
                <w:b/>
                <w:bCs/>
                <w:i/>
                <w:iCs/>
                <w:sz w:val="16"/>
                <w:szCs w:val="16"/>
                <w:lang w:val="lv-LV"/>
              </w:rPr>
            </w:pPr>
            <w:r w:rsidRPr="00387441">
              <w:rPr>
                <w:b/>
                <w:bCs/>
                <w:i/>
                <w:iCs/>
                <w:sz w:val="16"/>
                <w:szCs w:val="16"/>
                <w:lang w:val="lv-LV"/>
              </w:rPr>
              <w:t>2</w:t>
            </w:r>
          </w:p>
          <w:p w14:paraId="06073C9E" w14:textId="77777777" w:rsidR="000410D2" w:rsidRPr="00387441" w:rsidRDefault="000410D2" w:rsidP="00A452C2">
            <w:pPr>
              <w:pStyle w:val="ListParagraph"/>
              <w:spacing w:after="0" w:line="240" w:lineRule="auto"/>
              <w:ind w:left="0" w:firstLine="0"/>
              <w:contextualSpacing w:val="0"/>
              <w:jc w:val="center"/>
              <w:rPr>
                <w:i/>
                <w:iCs/>
                <w:color w:val="ADADAD" w:themeColor="background2" w:themeShade="BF"/>
                <w:sz w:val="16"/>
                <w:szCs w:val="16"/>
                <w:lang w:val="lv-LV"/>
              </w:rPr>
            </w:pPr>
          </w:p>
          <w:p w14:paraId="66BA9554" w14:textId="1A1A8258" w:rsidR="00060A08" w:rsidRPr="00387441" w:rsidRDefault="00A452C2" w:rsidP="00A452C2">
            <w:pPr>
              <w:pStyle w:val="ListParagraph"/>
              <w:spacing w:after="0" w:line="240" w:lineRule="auto"/>
              <w:ind w:left="0" w:firstLine="0"/>
              <w:contextualSpacing w:val="0"/>
              <w:jc w:val="center"/>
              <w:rPr>
                <w:rStyle w:val="Strong"/>
                <w:rFonts w:cstheme="majorHAnsi"/>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1</w:t>
            </w:r>
            <w:r w:rsidRPr="00387441">
              <w:rPr>
                <w:i/>
                <w:iCs/>
                <w:color w:val="ADADAD" w:themeColor="background2" w:themeShade="BF"/>
                <w:sz w:val="16"/>
                <w:szCs w:val="16"/>
                <w:lang w:val="lv-LV"/>
              </w:rPr>
              <w:t>)</w:t>
            </w:r>
          </w:p>
        </w:tc>
        <w:tc>
          <w:tcPr>
            <w:tcW w:w="928" w:type="dxa"/>
            <w:shd w:val="clear" w:color="auto" w:fill="auto"/>
            <w:vAlign w:val="center"/>
          </w:tcPr>
          <w:p w14:paraId="5A0A59E8" w14:textId="77777777" w:rsidR="00A452C2" w:rsidRPr="00387441" w:rsidRDefault="00A452C2" w:rsidP="00A452C2">
            <w:pPr>
              <w:pStyle w:val="ListParagraph"/>
              <w:spacing w:after="0" w:line="240" w:lineRule="auto"/>
              <w:ind w:left="0"/>
              <w:contextualSpacing w:val="0"/>
              <w:jc w:val="center"/>
              <w:rPr>
                <w:i/>
                <w:iCs/>
                <w:color w:val="ADADAD" w:themeColor="background2" w:themeShade="BF"/>
                <w:sz w:val="16"/>
                <w:szCs w:val="16"/>
                <w:lang w:val="lv-LV"/>
              </w:rPr>
            </w:pPr>
            <w:r w:rsidRPr="00387441">
              <w:rPr>
                <w:i/>
                <w:iCs/>
                <w:color w:val="ADADAD" w:themeColor="background2" w:themeShade="BF"/>
                <w:sz w:val="16"/>
                <w:szCs w:val="16"/>
                <w:lang w:val="lv-LV"/>
              </w:rPr>
              <w:t xml:space="preserve">  </w:t>
            </w:r>
          </w:p>
          <w:p w14:paraId="22A51C84" w14:textId="77777777" w:rsidR="00A452C2" w:rsidRPr="00387441" w:rsidRDefault="00A452C2" w:rsidP="00A452C2">
            <w:pPr>
              <w:pStyle w:val="ListParagraph"/>
              <w:spacing w:after="0" w:line="240" w:lineRule="auto"/>
              <w:ind w:left="0" w:firstLine="0"/>
              <w:contextualSpacing w:val="0"/>
              <w:rPr>
                <w:i/>
                <w:iCs/>
                <w:color w:val="ADADAD" w:themeColor="background2" w:themeShade="BF"/>
                <w:sz w:val="16"/>
                <w:szCs w:val="16"/>
                <w:lang w:val="lv-LV"/>
              </w:rPr>
            </w:pPr>
          </w:p>
          <w:p w14:paraId="36A1E7E6" w14:textId="35C7AF04" w:rsidR="000410D2" w:rsidRPr="00387441" w:rsidRDefault="00A9000E" w:rsidP="00A452C2">
            <w:pPr>
              <w:pStyle w:val="ListParagraph"/>
              <w:spacing w:after="0" w:line="240" w:lineRule="auto"/>
              <w:ind w:left="0" w:firstLine="0"/>
              <w:contextualSpacing w:val="0"/>
              <w:jc w:val="center"/>
              <w:rPr>
                <w:b/>
                <w:bCs/>
                <w:i/>
                <w:iCs/>
                <w:sz w:val="16"/>
                <w:szCs w:val="16"/>
                <w:lang w:val="lv-LV"/>
              </w:rPr>
            </w:pPr>
            <w:r w:rsidRPr="00387441">
              <w:rPr>
                <w:b/>
                <w:bCs/>
                <w:i/>
                <w:iCs/>
                <w:sz w:val="16"/>
                <w:szCs w:val="16"/>
                <w:lang w:val="lv-LV"/>
              </w:rPr>
              <w:t>2</w:t>
            </w:r>
          </w:p>
          <w:p w14:paraId="459A3045" w14:textId="77777777" w:rsidR="000410D2" w:rsidRPr="00387441" w:rsidRDefault="000410D2" w:rsidP="00A452C2">
            <w:pPr>
              <w:pStyle w:val="ListParagraph"/>
              <w:spacing w:after="0" w:line="240" w:lineRule="auto"/>
              <w:ind w:left="0" w:firstLine="0"/>
              <w:contextualSpacing w:val="0"/>
              <w:jc w:val="center"/>
              <w:rPr>
                <w:i/>
                <w:iCs/>
                <w:color w:val="ADADAD" w:themeColor="background2" w:themeShade="BF"/>
                <w:sz w:val="16"/>
                <w:szCs w:val="16"/>
                <w:lang w:val="lv-LV"/>
              </w:rPr>
            </w:pPr>
          </w:p>
          <w:p w14:paraId="1EFF94BB" w14:textId="7C4A332D" w:rsidR="00060A08" w:rsidRPr="00387441" w:rsidRDefault="00A452C2" w:rsidP="00A452C2">
            <w:pPr>
              <w:pStyle w:val="ListParagraph"/>
              <w:spacing w:after="0" w:line="240" w:lineRule="auto"/>
              <w:ind w:left="0" w:firstLine="0"/>
              <w:contextualSpacing w:val="0"/>
              <w:jc w:val="center"/>
              <w:rPr>
                <w:rStyle w:val="Strong"/>
                <w:rFonts w:cstheme="majorHAnsi"/>
                <w:b w:val="0"/>
                <w:bCs w:val="0"/>
                <w:i/>
                <w:iCs/>
                <w:color w:val="ADADAD" w:themeColor="background2" w:themeShade="BF"/>
                <w:sz w:val="16"/>
                <w:szCs w:val="16"/>
                <w:lang w:val="lv-LV"/>
              </w:rPr>
            </w:pPr>
            <w:r w:rsidRPr="00387441">
              <w:rPr>
                <w:i/>
                <w:iCs/>
                <w:color w:val="ADADAD" w:themeColor="background2" w:themeShade="BF"/>
                <w:sz w:val="16"/>
                <w:szCs w:val="16"/>
                <w:lang w:val="lv-LV"/>
              </w:rPr>
              <w:t>(</w:t>
            </w:r>
            <w:r w:rsidR="00060A08" w:rsidRPr="00387441">
              <w:rPr>
                <w:i/>
                <w:iCs/>
                <w:color w:val="ADADAD" w:themeColor="background2" w:themeShade="BF"/>
                <w:sz w:val="16"/>
                <w:szCs w:val="16"/>
                <w:lang w:val="lv-LV"/>
              </w:rPr>
              <w:t>0</w:t>
            </w:r>
            <w:r w:rsidRPr="00387441">
              <w:rPr>
                <w:i/>
                <w:iCs/>
                <w:color w:val="ADADAD" w:themeColor="background2" w:themeShade="BF"/>
                <w:sz w:val="16"/>
                <w:szCs w:val="16"/>
                <w:lang w:val="lv-LV"/>
              </w:rPr>
              <w:t>)</w:t>
            </w:r>
          </w:p>
        </w:tc>
      </w:tr>
      <w:tr w:rsidR="00060A08" w:rsidRPr="00387441" w14:paraId="6C023313" w14:textId="77777777" w:rsidTr="009862AC">
        <w:trPr>
          <w:trHeight w:val="304"/>
        </w:trPr>
        <w:tc>
          <w:tcPr>
            <w:tcW w:w="2127" w:type="dxa"/>
            <w:tcBorders>
              <w:left w:val="single" w:sz="8" w:space="0" w:color="auto"/>
              <w:bottom w:val="single" w:sz="4" w:space="0" w:color="auto"/>
              <w:right w:val="single" w:sz="8" w:space="0" w:color="auto"/>
            </w:tcBorders>
            <w:shd w:val="clear" w:color="auto" w:fill="DAE9F7" w:themeFill="text2" w:themeFillTint="1A"/>
            <w:vAlign w:val="center"/>
          </w:tcPr>
          <w:p w14:paraId="77137966" w14:textId="028F062D" w:rsidR="00060A08" w:rsidRPr="00387441" w:rsidRDefault="00B5678E" w:rsidP="00B5678E">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Atgūto naudas līdzekļu summa EUR</w:t>
            </w:r>
          </w:p>
        </w:tc>
        <w:tc>
          <w:tcPr>
            <w:tcW w:w="992" w:type="dxa"/>
            <w:tcBorders>
              <w:left w:val="single" w:sz="8" w:space="0" w:color="auto"/>
              <w:bottom w:val="single" w:sz="4" w:space="0" w:color="auto"/>
            </w:tcBorders>
            <w:shd w:val="clear" w:color="auto" w:fill="auto"/>
          </w:tcPr>
          <w:p w14:paraId="1DBC65DC" w14:textId="77777777" w:rsidR="00A9000E" w:rsidRPr="00387441" w:rsidRDefault="00A9000E" w:rsidP="00F63C68">
            <w:pPr>
              <w:pStyle w:val="ListParagraph"/>
              <w:spacing w:after="0" w:line="240" w:lineRule="auto"/>
              <w:ind w:left="0" w:right="-107" w:firstLine="29"/>
              <w:contextualSpacing w:val="0"/>
              <w:jc w:val="center"/>
              <w:rPr>
                <w:rStyle w:val="Strong"/>
                <w:rFonts w:cstheme="majorHAnsi"/>
                <w:i/>
                <w:iCs/>
                <w:sz w:val="16"/>
                <w:szCs w:val="16"/>
                <w:lang w:val="lv-LV"/>
              </w:rPr>
            </w:pPr>
          </w:p>
          <w:p w14:paraId="41254381" w14:textId="13E044CF" w:rsidR="00060A08" w:rsidRPr="00387441" w:rsidRDefault="00A9000E" w:rsidP="00F63C68">
            <w:pPr>
              <w:pStyle w:val="ListParagraph"/>
              <w:spacing w:after="0" w:line="240" w:lineRule="auto"/>
              <w:ind w:left="0" w:right="-107" w:firstLine="29"/>
              <w:contextualSpacing w:val="0"/>
              <w:jc w:val="center"/>
              <w:rPr>
                <w:rStyle w:val="Strong"/>
                <w:rFonts w:cstheme="majorHAnsi"/>
                <w:i/>
                <w:iCs/>
                <w:sz w:val="16"/>
                <w:szCs w:val="16"/>
                <w:lang w:val="lv-LV"/>
              </w:rPr>
            </w:pPr>
            <w:r w:rsidRPr="00387441">
              <w:rPr>
                <w:rStyle w:val="Strong"/>
                <w:rFonts w:cstheme="majorHAnsi"/>
                <w:i/>
                <w:iCs/>
                <w:sz w:val="16"/>
                <w:szCs w:val="16"/>
                <w:lang w:val="lv-LV"/>
              </w:rPr>
              <w:t>0</w:t>
            </w:r>
          </w:p>
        </w:tc>
        <w:tc>
          <w:tcPr>
            <w:tcW w:w="1134" w:type="dxa"/>
            <w:tcBorders>
              <w:bottom w:val="single" w:sz="4" w:space="0" w:color="auto"/>
            </w:tcBorders>
            <w:shd w:val="clear" w:color="auto" w:fill="auto"/>
          </w:tcPr>
          <w:p w14:paraId="36B68A31" w14:textId="77777777" w:rsidR="00A9000E" w:rsidRPr="00387441" w:rsidRDefault="00A9000E" w:rsidP="00F63C68">
            <w:pPr>
              <w:pStyle w:val="ListParagraph"/>
              <w:spacing w:after="0" w:line="240" w:lineRule="auto"/>
              <w:ind w:left="0" w:right="-107" w:firstLine="29"/>
              <w:contextualSpacing w:val="0"/>
              <w:jc w:val="center"/>
              <w:rPr>
                <w:rStyle w:val="Strong"/>
                <w:rFonts w:cstheme="majorHAnsi"/>
                <w:i/>
                <w:iCs/>
                <w:sz w:val="16"/>
                <w:szCs w:val="16"/>
                <w:lang w:val="lv-LV"/>
              </w:rPr>
            </w:pPr>
          </w:p>
          <w:p w14:paraId="4D9B72AC" w14:textId="6A28B50C" w:rsidR="00060A08" w:rsidRPr="00387441" w:rsidRDefault="00A9000E" w:rsidP="00F63C68">
            <w:pPr>
              <w:pStyle w:val="ListParagraph"/>
              <w:spacing w:after="0" w:line="240" w:lineRule="auto"/>
              <w:ind w:left="0" w:right="-107" w:firstLine="29"/>
              <w:contextualSpacing w:val="0"/>
              <w:jc w:val="center"/>
              <w:rPr>
                <w:rStyle w:val="Strong"/>
                <w:rFonts w:cstheme="majorHAnsi"/>
                <w:i/>
                <w:iCs/>
                <w:sz w:val="16"/>
                <w:szCs w:val="16"/>
                <w:lang w:val="lv-LV"/>
              </w:rPr>
            </w:pPr>
            <w:r w:rsidRPr="00387441">
              <w:rPr>
                <w:rStyle w:val="Strong"/>
                <w:rFonts w:cstheme="majorHAnsi"/>
                <w:i/>
                <w:iCs/>
                <w:sz w:val="16"/>
                <w:szCs w:val="16"/>
                <w:lang w:val="lv-LV"/>
              </w:rPr>
              <w:t>38 325,27</w:t>
            </w:r>
          </w:p>
        </w:tc>
        <w:tc>
          <w:tcPr>
            <w:tcW w:w="1134" w:type="dxa"/>
            <w:tcBorders>
              <w:bottom w:val="single" w:sz="4" w:space="0" w:color="auto"/>
              <w:right w:val="single" w:sz="4" w:space="0" w:color="auto"/>
            </w:tcBorders>
            <w:shd w:val="clear" w:color="auto" w:fill="auto"/>
          </w:tcPr>
          <w:p w14:paraId="38D8A46D" w14:textId="77777777" w:rsidR="00A9000E" w:rsidRPr="00387441" w:rsidRDefault="00A9000E" w:rsidP="00F63C68">
            <w:pPr>
              <w:pStyle w:val="ListParagraph"/>
              <w:spacing w:after="0" w:line="240" w:lineRule="auto"/>
              <w:ind w:left="0" w:right="-107" w:firstLine="29"/>
              <w:contextualSpacing w:val="0"/>
              <w:jc w:val="center"/>
              <w:rPr>
                <w:rStyle w:val="Strong"/>
                <w:rFonts w:cstheme="majorHAnsi"/>
                <w:i/>
                <w:iCs/>
                <w:sz w:val="16"/>
                <w:szCs w:val="16"/>
                <w:lang w:val="lv-LV"/>
              </w:rPr>
            </w:pPr>
          </w:p>
          <w:p w14:paraId="0E0CF5A9" w14:textId="77777777" w:rsidR="00060A08" w:rsidRPr="00387441" w:rsidRDefault="00A9000E" w:rsidP="00F63C68">
            <w:pPr>
              <w:pStyle w:val="ListParagraph"/>
              <w:spacing w:after="0" w:line="240" w:lineRule="auto"/>
              <w:ind w:left="0" w:right="-107" w:firstLine="29"/>
              <w:contextualSpacing w:val="0"/>
              <w:jc w:val="center"/>
              <w:rPr>
                <w:rStyle w:val="Strong"/>
                <w:rFonts w:cstheme="majorHAnsi"/>
                <w:i/>
                <w:iCs/>
                <w:sz w:val="16"/>
                <w:szCs w:val="16"/>
                <w:lang w:val="lv-LV"/>
              </w:rPr>
            </w:pPr>
            <w:r w:rsidRPr="00387441">
              <w:rPr>
                <w:rStyle w:val="Strong"/>
                <w:rFonts w:cstheme="majorHAnsi"/>
                <w:i/>
                <w:iCs/>
                <w:sz w:val="16"/>
                <w:szCs w:val="16"/>
                <w:lang w:val="lv-LV"/>
              </w:rPr>
              <w:t>4 013,83</w:t>
            </w:r>
          </w:p>
          <w:p w14:paraId="5F8AFCE9" w14:textId="3B294213" w:rsidR="00A9000E" w:rsidRPr="00387441" w:rsidRDefault="00A9000E" w:rsidP="00F63C68">
            <w:pPr>
              <w:pStyle w:val="ListParagraph"/>
              <w:spacing w:after="0" w:line="240" w:lineRule="auto"/>
              <w:ind w:left="0" w:right="-107" w:firstLine="29"/>
              <w:contextualSpacing w:val="0"/>
              <w:jc w:val="center"/>
              <w:rPr>
                <w:rStyle w:val="Strong"/>
                <w:rFonts w:cstheme="majorHAnsi"/>
                <w:i/>
                <w:iCs/>
                <w:sz w:val="16"/>
                <w:szCs w:val="16"/>
                <w:lang w:val="lv-LV"/>
              </w:rPr>
            </w:pPr>
          </w:p>
        </w:tc>
        <w:tc>
          <w:tcPr>
            <w:tcW w:w="2126" w:type="dxa"/>
            <w:tcBorders>
              <w:left w:val="single" w:sz="8" w:space="0" w:color="auto"/>
              <w:bottom w:val="single" w:sz="4" w:space="0" w:color="auto"/>
              <w:right w:val="single" w:sz="8" w:space="0" w:color="auto"/>
            </w:tcBorders>
            <w:shd w:val="clear" w:color="auto" w:fill="DAE9F7" w:themeFill="text2" w:themeFillTint="1A"/>
            <w:vAlign w:val="center"/>
          </w:tcPr>
          <w:p w14:paraId="72155AF9" w14:textId="77777777" w:rsidR="00060A08" w:rsidRPr="00387441" w:rsidRDefault="00060A08" w:rsidP="00B5678E">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Atklāšanas veids</w:t>
            </w:r>
          </w:p>
        </w:tc>
        <w:tc>
          <w:tcPr>
            <w:tcW w:w="2977" w:type="dxa"/>
            <w:gridSpan w:val="3"/>
            <w:tcBorders>
              <w:left w:val="single" w:sz="8" w:space="0" w:color="auto"/>
              <w:bottom w:val="single" w:sz="4" w:space="0" w:color="auto"/>
            </w:tcBorders>
            <w:shd w:val="clear" w:color="auto" w:fill="auto"/>
            <w:vAlign w:val="center"/>
          </w:tcPr>
          <w:p w14:paraId="384FE49D" w14:textId="198A0314" w:rsidR="00060A08" w:rsidRPr="00387441" w:rsidRDefault="00CD3553" w:rsidP="00F01968">
            <w:pPr>
              <w:pStyle w:val="ListParagraph"/>
              <w:spacing w:after="0" w:line="240" w:lineRule="auto"/>
              <w:ind w:left="0" w:firstLine="0"/>
              <w:contextualSpacing w:val="0"/>
              <w:jc w:val="center"/>
              <w:rPr>
                <w:rStyle w:val="Strong"/>
                <w:rFonts w:cstheme="majorHAnsi"/>
                <w:b w:val="0"/>
                <w:bCs w:val="0"/>
                <w:sz w:val="16"/>
                <w:szCs w:val="16"/>
                <w:lang w:val="lv-LV"/>
              </w:rPr>
            </w:pPr>
            <w:r w:rsidRPr="009330C5">
              <w:rPr>
                <w:sz w:val="16"/>
                <w:szCs w:val="16"/>
                <w:lang w:val="lv-LV"/>
              </w:rPr>
              <w:t>Administratīvo un Pārbaužu projektu īstenošanas vietās ietvaros</w:t>
            </w:r>
          </w:p>
        </w:tc>
      </w:tr>
    </w:tbl>
    <w:p w14:paraId="7B4D2159" w14:textId="30ED582B" w:rsidR="005D6200" w:rsidRPr="00BE0DBF" w:rsidRDefault="00060A08" w:rsidP="00F75B8A">
      <w:pPr>
        <w:spacing w:before="240" w:after="120" w:line="276" w:lineRule="auto"/>
        <w:rPr>
          <w:lang w:val="lv-LV"/>
        </w:rPr>
      </w:pPr>
      <w:r w:rsidRPr="00BE0DBF">
        <w:rPr>
          <w:lang w:val="lv-LV"/>
        </w:rPr>
        <w:t>2014.-2020. gada plānošanas perioda ietvaros 202</w:t>
      </w:r>
      <w:r w:rsidR="001F7675" w:rsidRPr="00BE0DBF">
        <w:rPr>
          <w:lang w:val="lv-LV"/>
        </w:rPr>
        <w:t>4</w:t>
      </w:r>
      <w:r w:rsidRPr="00BE0DBF">
        <w:rPr>
          <w:lang w:val="lv-LV"/>
        </w:rPr>
        <w:t>. gadā IDF</w:t>
      </w:r>
      <w:r w:rsidR="00904DD0" w:rsidRPr="00BE0DBF">
        <w:rPr>
          <w:lang w:val="lv-LV"/>
        </w:rPr>
        <w:t xml:space="preserve"> konstatētas </w:t>
      </w:r>
      <w:r w:rsidR="00904DD0" w:rsidRPr="00BE0DBF" w:rsidDel="00322C3B">
        <w:rPr>
          <w:lang w:val="lv-LV"/>
        </w:rPr>
        <w:t>3</w:t>
      </w:r>
      <w:r w:rsidR="00904DD0" w:rsidRPr="00BE0DBF">
        <w:rPr>
          <w:lang w:val="lv-LV"/>
        </w:rPr>
        <w:t xml:space="preserve"> </w:t>
      </w:r>
      <w:r w:rsidR="005D6200" w:rsidRPr="00BE0DBF">
        <w:rPr>
          <w:lang w:val="lv-LV"/>
        </w:rPr>
        <w:t xml:space="preserve">neatbilstības </w:t>
      </w:r>
      <w:r w:rsidR="00904DD0" w:rsidRPr="00BE0DBF">
        <w:rPr>
          <w:lang w:val="lv-LV"/>
        </w:rPr>
        <w:t>par kopējo summu EUR 31 316,49</w:t>
      </w:r>
      <w:r w:rsidRPr="00BE0DBF">
        <w:rPr>
          <w:lang w:val="lv-LV"/>
        </w:rPr>
        <w:t xml:space="preserve"> un PMIF </w:t>
      </w:r>
      <w:r w:rsidR="001F7675" w:rsidRPr="00BE0DBF">
        <w:rPr>
          <w:lang w:val="lv-LV"/>
        </w:rPr>
        <w:t xml:space="preserve">konstatēta </w:t>
      </w:r>
      <w:r w:rsidR="00904DD0" w:rsidRPr="00BE0DBF" w:rsidDel="00322C3B">
        <w:rPr>
          <w:lang w:val="lv-LV"/>
        </w:rPr>
        <w:t>1</w:t>
      </w:r>
      <w:r w:rsidR="005375B3" w:rsidRPr="00BE0DBF">
        <w:rPr>
          <w:lang w:val="lv-LV"/>
        </w:rPr>
        <w:t xml:space="preserve"> </w:t>
      </w:r>
      <w:r w:rsidRPr="00BE0DBF">
        <w:rPr>
          <w:lang w:val="lv-LV"/>
        </w:rPr>
        <w:t>neatbilstība par kopējo summu</w:t>
      </w:r>
      <w:r w:rsidR="005375B3" w:rsidRPr="00BE0DBF">
        <w:rPr>
          <w:lang w:val="lv-LV"/>
        </w:rPr>
        <w:t xml:space="preserve"> EUR</w:t>
      </w:r>
      <w:r w:rsidRPr="00BE0DBF">
        <w:rPr>
          <w:lang w:val="lv-LV"/>
        </w:rPr>
        <w:t xml:space="preserve"> </w:t>
      </w:r>
      <w:r w:rsidR="005375B3" w:rsidRPr="00BE0DBF">
        <w:rPr>
          <w:lang w:val="lv-LV"/>
        </w:rPr>
        <w:t>9 847,63</w:t>
      </w:r>
      <w:r w:rsidR="005D6200" w:rsidRPr="00BE0DBF">
        <w:rPr>
          <w:lang w:val="lv-LV"/>
        </w:rPr>
        <w:t>, vis</w:t>
      </w:r>
      <w:r w:rsidR="00505673" w:rsidRPr="00BE0DBF">
        <w:rPr>
          <w:lang w:val="lv-LV"/>
        </w:rPr>
        <w:t>i</w:t>
      </w:r>
      <w:r w:rsidR="005D6200" w:rsidRPr="00BE0DBF">
        <w:rPr>
          <w:lang w:val="lv-LV"/>
        </w:rPr>
        <w:t xml:space="preserve"> neatbilstoši veiktie izdevumi atgūti pilnā apmērā.</w:t>
      </w:r>
      <w:r w:rsidR="00BA0BBA" w:rsidRPr="00BE0DBF">
        <w:rPr>
          <w:lang w:val="lv-LV"/>
        </w:rPr>
        <w:t xml:space="preserve"> </w:t>
      </w:r>
      <w:r w:rsidR="00BA0BBA" w:rsidRPr="00BE0DBF" w:rsidDel="00322C3B">
        <w:rPr>
          <w:lang w:val="lv-LV"/>
        </w:rPr>
        <w:t>2</w:t>
      </w:r>
      <w:r w:rsidR="00BA0BBA" w:rsidRPr="00BE0DBF">
        <w:rPr>
          <w:lang w:val="lv-LV"/>
        </w:rPr>
        <w:t xml:space="preserve"> no minētajām neatbilstībām saistītas ar iepirkumu normu pārkāpumiem</w:t>
      </w:r>
      <w:r w:rsidR="001406C4" w:rsidRPr="00BE0DBF">
        <w:rPr>
          <w:lang w:val="lv-LV"/>
        </w:rPr>
        <w:t xml:space="preserve"> un </w:t>
      </w:r>
      <w:r w:rsidR="001406C4" w:rsidRPr="00BE0DBF" w:rsidDel="00A20687">
        <w:rPr>
          <w:lang w:val="lv-LV"/>
        </w:rPr>
        <w:t xml:space="preserve">2 </w:t>
      </w:r>
      <w:r w:rsidR="001406C4" w:rsidRPr="00BE0DBF">
        <w:rPr>
          <w:lang w:val="lv-LV"/>
        </w:rPr>
        <w:t>ar personāla vai administratīvo izmaksu pārkāpumu.</w:t>
      </w:r>
    </w:p>
    <w:p w14:paraId="411F8386" w14:textId="0CA34D74" w:rsidR="00060A08" w:rsidRPr="00BE0DBF" w:rsidRDefault="00326F8E" w:rsidP="00F75B8A">
      <w:pPr>
        <w:spacing w:before="120" w:after="120" w:line="276" w:lineRule="auto"/>
        <w:rPr>
          <w:lang w:val="lv-LV"/>
        </w:rPr>
      </w:pPr>
      <w:r w:rsidRPr="00BE0DBF">
        <w:rPr>
          <w:lang w:val="lv-LV"/>
        </w:rPr>
        <w:t>Savukārt, 2021.-2027.gada plānošanas periodā vērojams gan minimāls neatbilstību skaita, gan summas pieaugums, tikai IDF jaunajā plānošanas periodā vēl nav konstatēta neviena neatbilstība. 2024.</w:t>
      </w:r>
      <w:r>
        <w:rPr>
          <w:lang w:val="lv-LV"/>
        </w:rPr>
        <w:t> </w:t>
      </w:r>
      <w:r w:rsidRPr="00BE0DBF">
        <w:rPr>
          <w:lang w:val="lv-LV"/>
        </w:rPr>
        <w:t xml:space="preserve">gadā PMIF konstatētas </w:t>
      </w:r>
      <w:r>
        <w:rPr>
          <w:lang w:val="lv-LV"/>
        </w:rPr>
        <w:t>divas</w:t>
      </w:r>
      <w:r w:rsidRPr="00BE0DBF">
        <w:rPr>
          <w:lang w:val="lv-LV"/>
        </w:rPr>
        <w:t xml:space="preserve"> neatbilstības </w:t>
      </w:r>
      <w:r>
        <w:rPr>
          <w:lang w:val="lv-LV"/>
        </w:rPr>
        <w:t>p</w:t>
      </w:r>
      <w:r w:rsidRPr="00BE0DBF">
        <w:rPr>
          <w:lang w:val="lv-LV"/>
        </w:rPr>
        <w:t>ar kopējo summu EUR 38 325,27</w:t>
      </w:r>
      <w:r>
        <w:rPr>
          <w:lang w:val="lv-LV"/>
        </w:rPr>
        <w:t xml:space="preserve">, </w:t>
      </w:r>
      <w:r w:rsidRPr="006170D0">
        <w:rPr>
          <w:lang w:val="lv-LV"/>
        </w:rPr>
        <w:t>lielākā no tām ir par iepirkumu normu pārkāpumiem, kas tika konstatētas 2014.-2020. gada plānošanas perioda projekta ietvaros un attiecināts arī uz jaunā plānošanas perioda projektu. RPVP konstatētas divas neatbilstības par kopējo summu EUR 4 013,83, abas neatbilstības saistītas ar personāla vai administratīvo izmaksu pārkāpumiem. Visi neatbilstoši veiktie izdevumi atgūti pilnā apmērā.</w:t>
      </w:r>
    </w:p>
    <w:p w14:paraId="39CBF578" w14:textId="3BF56C79" w:rsidR="00364BCF" w:rsidRPr="00BE0DBF" w:rsidRDefault="00060A08" w:rsidP="00364BCF">
      <w:pPr>
        <w:spacing w:after="120" w:line="276" w:lineRule="auto"/>
        <w:rPr>
          <w:b/>
          <w:lang w:val="lv-LV"/>
        </w:rPr>
      </w:pPr>
      <w:r w:rsidRPr="00BE0DBF">
        <w:rPr>
          <w:lang w:val="lv-LV"/>
        </w:rPr>
        <w:t>202</w:t>
      </w:r>
      <w:r w:rsidR="00CE221C" w:rsidRPr="00BE0DBF">
        <w:rPr>
          <w:lang w:val="lv-LV"/>
        </w:rPr>
        <w:t>4</w:t>
      </w:r>
      <w:r w:rsidRPr="00BE0DBF">
        <w:rPr>
          <w:lang w:val="lv-LV"/>
        </w:rPr>
        <w:t xml:space="preserve">. gadā </w:t>
      </w:r>
      <w:r w:rsidRPr="00BE0DBF">
        <w:rPr>
          <w:b/>
          <w:lang w:val="lv-LV"/>
        </w:rPr>
        <w:t>netika konstatēti krāpšanas / aizdomu par krāpšanu gadījumi.</w:t>
      </w:r>
    </w:p>
    <w:p w14:paraId="68B76C49" w14:textId="77777777" w:rsidR="005574A9" w:rsidRPr="00BE0DBF" w:rsidRDefault="005574A9" w:rsidP="005574A9">
      <w:pPr>
        <w:spacing w:after="120" w:line="276" w:lineRule="auto"/>
        <w:rPr>
          <w:b/>
          <w:bCs/>
          <w:lang w:val="lv-LV"/>
        </w:rPr>
      </w:pPr>
    </w:p>
    <w:p w14:paraId="077DC31C" w14:textId="326AF5A4" w:rsidR="00060A08" w:rsidRPr="00387441" w:rsidRDefault="00364BCF" w:rsidP="00F75B8A">
      <w:pPr>
        <w:pStyle w:val="Heading4"/>
        <w:rPr>
          <w:rStyle w:val="Strong"/>
          <w:b/>
          <w:bCs w:val="0"/>
        </w:rPr>
      </w:pPr>
      <w:bookmarkStart w:id="90" w:name="_Toc167178720"/>
      <w:bookmarkStart w:id="91" w:name="_Toc192753112"/>
      <w:r w:rsidRPr="00387441">
        <w:rPr>
          <w:rStyle w:val="Strong"/>
          <w:b/>
          <w:bCs w:val="0"/>
        </w:rPr>
        <w:t>B.</w:t>
      </w:r>
      <w:r w:rsidR="006644EC" w:rsidRPr="00387441">
        <w:rPr>
          <w:rStyle w:val="Strong"/>
          <w:b/>
          <w:bCs w:val="0"/>
        </w:rPr>
        <w:t>3</w:t>
      </w:r>
      <w:r w:rsidR="00060A08" w:rsidRPr="00387441">
        <w:rPr>
          <w:rStyle w:val="Strong"/>
          <w:b/>
          <w:bCs w:val="0"/>
        </w:rPr>
        <w:t>.6. Atveseļošanas fonds</w:t>
      </w:r>
      <w:bookmarkEnd w:id="90"/>
      <w:bookmarkEnd w:id="91"/>
    </w:p>
    <w:p w14:paraId="7EB2BD18" w14:textId="6FC17972" w:rsidR="00060A08" w:rsidRPr="00387441" w:rsidRDefault="000D4D50" w:rsidP="00060A08">
      <w:pPr>
        <w:pStyle w:val="TabulasAttli"/>
        <w:spacing w:after="0"/>
        <w:rPr>
          <w:sz w:val="20"/>
          <w:szCs w:val="20"/>
        </w:rPr>
      </w:pPr>
      <w:r w:rsidRPr="00387441">
        <w:rPr>
          <w:b/>
          <w:bCs/>
          <w:sz w:val="20"/>
          <w:szCs w:val="20"/>
        </w:rPr>
        <w:t>Attēls Nr.1</w:t>
      </w:r>
      <w:r w:rsidR="00CA6DFE" w:rsidRPr="00387441">
        <w:rPr>
          <w:b/>
          <w:bCs/>
          <w:sz w:val="20"/>
          <w:szCs w:val="20"/>
        </w:rPr>
        <w:t>5</w:t>
      </w:r>
      <w:r w:rsidR="00060A08" w:rsidRPr="00387441">
        <w:rPr>
          <w:sz w:val="20"/>
          <w:szCs w:val="20"/>
        </w:rPr>
        <w:t xml:space="preserve"> Kopsavilkums par AF </w:t>
      </w:r>
      <w:r w:rsidR="00882808" w:rsidRPr="00387441">
        <w:rPr>
          <w:sz w:val="20"/>
          <w:szCs w:val="20"/>
        </w:rPr>
        <w:t xml:space="preserve">pārkāpumiem </w:t>
      </w:r>
      <w:r w:rsidR="00E504E2" w:rsidRPr="00387441">
        <w:rPr>
          <w:sz w:val="20"/>
          <w:szCs w:val="20"/>
        </w:rPr>
        <w:t xml:space="preserve"> </w:t>
      </w:r>
      <w:r w:rsidR="00CA58DF" w:rsidRPr="00387441">
        <w:rPr>
          <w:sz w:val="20"/>
          <w:szCs w:val="20"/>
        </w:rPr>
        <w:t>2024.gadā</w:t>
      </w:r>
    </w:p>
    <w:tbl>
      <w:tblPr>
        <w:tblStyle w:val="TableGrid"/>
        <w:tblW w:w="10563" w:type="dxa"/>
        <w:shd w:val="clear" w:color="auto" w:fill="29A3FF"/>
        <w:tblLayout w:type="fixed"/>
        <w:tblLook w:val="04A0" w:firstRow="1" w:lastRow="0" w:firstColumn="1" w:lastColumn="0" w:noHBand="0" w:noVBand="1"/>
      </w:tblPr>
      <w:tblGrid>
        <w:gridCol w:w="2058"/>
        <w:gridCol w:w="3155"/>
        <w:gridCol w:w="2469"/>
        <w:gridCol w:w="2881"/>
      </w:tblGrid>
      <w:tr w:rsidR="00060A08" w:rsidRPr="00387441" w14:paraId="7148D561" w14:textId="77777777" w:rsidTr="009862AC">
        <w:trPr>
          <w:trHeight w:val="208"/>
        </w:trPr>
        <w:tc>
          <w:tcPr>
            <w:tcW w:w="2058" w:type="dxa"/>
            <w:tcBorders>
              <w:top w:val="nil"/>
              <w:left w:val="nil"/>
              <w:bottom w:val="single" w:sz="4" w:space="0" w:color="auto"/>
              <w:right w:val="single" w:sz="8" w:space="0" w:color="auto"/>
            </w:tcBorders>
            <w:shd w:val="clear" w:color="auto" w:fill="auto"/>
            <w:vAlign w:val="center"/>
          </w:tcPr>
          <w:p w14:paraId="2A0D3D34" w14:textId="77777777" w:rsidR="00060A08" w:rsidRPr="00387441" w:rsidRDefault="00060A08" w:rsidP="00510C90">
            <w:pPr>
              <w:pStyle w:val="ListParagraph"/>
              <w:spacing w:after="0" w:line="240" w:lineRule="auto"/>
              <w:ind w:left="0"/>
              <w:contextualSpacing w:val="0"/>
              <w:jc w:val="center"/>
              <w:rPr>
                <w:rStyle w:val="Strong"/>
                <w:rFonts w:cstheme="majorHAnsi"/>
                <w:sz w:val="16"/>
                <w:szCs w:val="16"/>
                <w:highlight w:val="lightGray"/>
                <w:lang w:val="lv-LV"/>
              </w:rPr>
            </w:pPr>
          </w:p>
          <w:p w14:paraId="58F1B48D" w14:textId="77777777" w:rsidR="00060A08" w:rsidRPr="00387441" w:rsidRDefault="00060A08" w:rsidP="00510C90">
            <w:pPr>
              <w:pStyle w:val="ListParagraph"/>
              <w:spacing w:after="0" w:line="240" w:lineRule="auto"/>
              <w:ind w:left="0"/>
              <w:contextualSpacing w:val="0"/>
              <w:jc w:val="center"/>
              <w:rPr>
                <w:rStyle w:val="Strong"/>
                <w:rFonts w:cstheme="majorHAnsi"/>
                <w:sz w:val="16"/>
                <w:szCs w:val="16"/>
                <w:highlight w:val="lightGray"/>
                <w:lang w:val="lv-LV"/>
              </w:rPr>
            </w:pPr>
          </w:p>
        </w:tc>
        <w:tc>
          <w:tcPr>
            <w:tcW w:w="3155" w:type="dxa"/>
            <w:tcBorders>
              <w:left w:val="single" w:sz="8" w:space="0" w:color="auto"/>
              <w:bottom w:val="single" w:sz="4" w:space="0" w:color="auto"/>
              <w:right w:val="single" w:sz="4" w:space="0" w:color="auto"/>
            </w:tcBorders>
            <w:shd w:val="clear" w:color="auto" w:fill="4C94D8" w:themeFill="text2" w:themeFillTint="80"/>
            <w:vAlign w:val="center"/>
          </w:tcPr>
          <w:p w14:paraId="4BA87C0F" w14:textId="77777777" w:rsidR="00060A08" w:rsidRPr="00387441" w:rsidRDefault="00060A08"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AF</w:t>
            </w:r>
          </w:p>
        </w:tc>
        <w:tc>
          <w:tcPr>
            <w:tcW w:w="2469" w:type="dxa"/>
            <w:tcBorders>
              <w:top w:val="nil"/>
              <w:left w:val="single" w:sz="8" w:space="0" w:color="auto"/>
              <w:bottom w:val="single" w:sz="4" w:space="0" w:color="auto"/>
              <w:right w:val="single" w:sz="8" w:space="0" w:color="auto"/>
            </w:tcBorders>
            <w:shd w:val="clear" w:color="auto" w:fill="auto"/>
            <w:vAlign w:val="center"/>
          </w:tcPr>
          <w:p w14:paraId="19AC2870" w14:textId="77777777" w:rsidR="00060A08" w:rsidRPr="00387441" w:rsidRDefault="00060A08" w:rsidP="00510C90">
            <w:pPr>
              <w:pStyle w:val="ListParagraph"/>
              <w:spacing w:after="0" w:line="240" w:lineRule="auto"/>
              <w:ind w:left="0"/>
              <w:contextualSpacing w:val="0"/>
              <w:jc w:val="center"/>
              <w:rPr>
                <w:rStyle w:val="Strong"/>
                <w:rFonts w:cstheme="majorHAnsi"/>
                <w:color w:val="FFFFFF" w:themeColor="background1"/>
                <w:sz w:val="16"/>
                <w:szCs w:val="16"/>
                <w:lang w:val="lv-LV"/>
              </w:rPr>
            </w:pPr>
          </w:p>
        </w:tc>
        <w:tc>
          <w:tcPr>
            <w:tcW w:w="2881" w:type="dxa"/>
            <w:tcBorders>
              <w:left w:val="single" w:sz="8" w:space="0" w:color="auto"/>
              <w:bottom w:val="single" w:sz="4" w:space="0" w:color="auto"/>
            </w:tcBorders>
            <w:shd w:val="clear" w:color="auto" w:fill="4C94D8" w:themeFill="text2" w:themeFillTint="80"/>
            <w:vAlign w:val="center"/>
          </w:tcPr>
          <w:p w14:paraId="7C98141F" w14:textId="064CEA8C" w:rsidR="00060A08" w:rsidRPr="00387441" w:rsidRDefault="00D35C5C" w:rsidP="00D35C5C">
            <w:pPr>
              <w:spacing w:after="0" w:line="240" w:lineRule="auto"/>
              <w:ind w:firstLine="0"/>
              <w:jc w:val="center"/>
              <w:rPr>
                <w:rStyle w:val="Strong"/>
                <w:rFonts w:cstheme="majorHAnsi"/>
                <w:color w:val="FFFFFF" w:themeColor="background1"/>
                <w:sz w:val="16"/>
                <w:szCs w:val="16"/>
                <w:lang w:val="lv-LV"/>
              </w:rPr>
            </w:pPr>
            <w:r w:rsidRPr="00387441">
              <w:rPr>
                <w:rStyle w:val="Strong"/>
                <w:rFonts w:cstheme="majorHAnsi"/>
                <w:color w:val="FFFFFF" w:themeColor="background1"/>
                <w:sz w:val="16"/>
                <w:szCs w:val="16"/>
                <w:lang w:val="lv-LV"/>
              </w:rPr>
              <w:t>AF</w:t>
            </w:r>
          </w:p>
        </w:tc>
      </w:tr>
      <w:tr w:rsidR="00060A08" w:rsidRPr="00387441" w14:paraId="6E1098E4" w14:textId="77777777" w:rsidTr="007076E1">
        <w:trPr>
          <w:trHeight w:val="396"/>
        </w:trPr>
        <w:tc>
          <w:tcPr>
            <w:tcW w:w="2058" w:type="dxa"/>
            <w:tcBorders>
              <w:left w:val="single" w:sz="8" w:space="0" w:color="auto"/>
              <w:right w:val="single" w:sz="8" w:space="0" w:color="auto"/>
            </w:tcBorders>
            <w:shd w:val="clear" w:color="auto" w:fill="DAE9F7" w:themeFill="text2" w:themeFillTint="1A"/>
            <w:vAlign w:val="center"/>
          </w:tcPr>
          <w:p w14:paraId="122EEEA4" w14:textId="0BD27CD6" w:rsidR="00060A08" w:rsidRPr="00387441" w:rsidRDefault="00DA222A" w:rsidP="00DA222A">
            <w:pPr>
              <w:pStyle w:val="ListParagraph"/>
              <w:spacing w:after="0"/>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Neatbilstoši veikto izdevumu summa EUR</w:t>
            </w:r>
          </w:p>
        </w:tc>
        <w:tc>
          <w:tcPr>
            <w:tcW w:w="3155" w:type="dxa"/>
            <w:tcBorders>
              <w:left w:val="single" w:sz="8" w:space="0" w:color="auto"/>
              <w:right w:val="single" w:sz="4" w:space="0" w:color="auto"/>
            </w:tcBorders>
            <w:shd w:val="clear" w:color="auto" w:fill="auto"/>
            <w:vAlign w:val="center"/>
          </w:tcPr>
          <w:p w14:paraId="2D85BB8F" w14:textId="77777777" w:rsidR="00060A08" w:rsidRPr="00387441" w:rsidRDefault="00060A08" w:rsidP="00DA222A">
            <w:pPr>
              <w:pStyle w:val="ListParagraph"/>
              <w:spacing w:after="0" w:line="240" w:lineRule="auto"/>
              <w:ind w:left="0" w:right="-107" w:firstLine="0"/>
              <w:contextualSpacing w:val="0"/>
              <w:jc w:val="center"/>
              <w:rPr>
                <w:rStyle w:val="Strong"/>
                <w:rFonts w:cstheme="majorHAnsi"/>
                <w:b w:val="0"/>
                <w:bCs w:val="0"/>
                <w:sz w:val="16"/>
                <w:szCs w:val="16"/>
                <w:lang w:val="lv-LV"/>
              </w:rPr>
            </w:pPr>
            <w:r w:rsidRPr="00387441">
              <w:rPr>
                <w:rStyle w:val="Strong"/>
                <w:rFonts w:cstheme="majorHAnsi"/>
                <w:sz w:val="16"/>
                <w:szCs w:val="16"/>
                <w:lang w:val="lv-LV"/>
              </w:rPr>
              <w:t>n/a - dēļ fonda specifikas</w:t>
            </w:r>
          </w:p>
        </w:tc>
        <w:tc>
          <w:tcPr>
            <w:tcW w:w="2469" w:type="dxa"/>
            <w:tcBorders>
              <w:left w:val="single" w:sz="8" w:space="0" w:color="auto"/>
              <w:right w:val="single" w:sz="8" w:space="0" w:color="auto"/>
            </w:tcBorders>
            <w:shd w:val="clear" w:color="auto" w:fill="DAE9F7" w:themeFill="text2" w:themeFillTint="1A"/>
            <w:vAlign w:val="center"/>
          </w:tcPr>
          <w:p w14:paraId="7A33EDE8" w14:textId="77777777" w:rsidR="00060A08" w:rsidRPr="00387441" w:rsidRDefault="00DA222A" w:rsidP="001F7D30">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Pārkāpumu skaits</w:t>
            </w:r>
          </w:p>
          <w:p w14:paraId="7E791657" w14:textId="353ACA9A" w:rsidR="001F7D30" w:rsidRPr="00387441" w:rsidRDefault="001F7D30" w:rsidP="001F7D30">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i/>
                <w:iCs/>
                <w:color w:val="A6A6A6" w:themeColor="background1" w:themeShade="A6"/>
                <w:sz w:val="16"/>
                <w:szCs w:val="16"/>
                <w:lang w:val="lv-LV"/>
              </w:rPr>
              <w:t>(2023. gada dati)</w:t>
            </w:r>
          </w:p>
        </w:tc>
        <w:tc>
          <w:tcPr>
            <w:tcW w:w="2881" w:type="dxa"/>
            <w:tcBorders>
              <w:left w:val="single" w:sz="8" w:space="0" w:color="auto"/>
            </w:tcBorders>
            <w:shd w:val="clear" w:color="auto" w:fill="auto"/>
            <w:vAlign w:val="center"/>
          </w:tcPr>
          <w:p w14:paraId="5507CE87" w14:textId="70A4F8AA" w:rsidR="001F7D30" w:rsidRPr="00387441" w:rsidRDefault="00060A08" w:rsidP="001F7D30">
            <w:pPr>
              <w:spacing w:after="0" w:line="240" w:lineRule="auto"/>
              <w:ind w:firstLine="0"/>
              <w:jc w:val="center"/>
              <w:rPr>
                <w:rStyle w:val="Strong"/>
                <w:rFonts w:cstheme="majorHAnsi"/>
                <w:sz w:val="18"/>
                <w:szCs w:val="18"/>
                <w:lang w:val="lv-LV"/>
              </w:rPr>
            </w:pPr>
            <w:r w:rsidRPr="00387441">
              <w:rPr>
                <w:rStyle w:val="Strong"/>
                <w:rFonts w:cstheme="majorHAnsi"/>
                <w:sz w:val="18"/>
                <w:szCs w:val="18"/>
                <w:lang w:val="lv-LV"/>
              </w:rPr>
              <w:t>2</w:t>
            </w:r>
          </w:p>
          <w:p w14:paraId="065B0D0E" w14:textId="5FA4EC3D" w:rsidR="001F7D30" w:rsidRPr="00387441" w:rsidRDefault="001F7D30" w:rsidP="001F7D30">
            <w:pPr>
              <w:pStyle w:val="ListParagraph"/>
              <w:spacing w:after="0" w:line="240" w:lineRule="auto"/>
              <w:ind w:left="0" w:firstLine="0"/>
              <w:contextualSpacing w:val="0"/>
              <w:jc w:val="center"/>
              <w:rPr>
                <w:rStyle w:val="Strong"/>
                <w:rFonts w:cstheme="majorHAnsi"/>
                <w:b w:val="0"/>
                <w:bCs w:val="0"/>
                <w:i/>
                <w:iCs/>
                <w:sz w:val="18"/>
                <w:szCs w:val="18"/>
                <w:lang w:val="lv-LV"/>
              </w:rPr>
            </w:pPr>
            <w:r w:rsidRPr="00387441">
              <w:rPr>
                <w:rStyle w:val="Strong"/>
                <w:rFonts w:cstheme="majorHAnsi"/>
                <w:i/>
                <w:iCs/>
                <w:color w:val="ADADAD" w:themeColor="background2" w:themeShade="BF"/>
                <w:sz w:val="18"/>
                <w:szCs w:val="18"/>
                <w:lang w:val="lv-LV"/>
              </w:rPr>
              <w:t>(2)</w:t>
            </w:r>
          </w:p>
        </w:tc>
      </w:tr>
      <w:tr w:rsidR="00060A08" w:rsidRPr="00387441" w14:paraId="33ACC92E" w14:textId="77777777" w:rsidTr="007076E1">
        <w:trPr>
          <w:trHeight w:val="338"/>
        </w:trPr>
        <w:tc>
          <w:tcPr>
            <w:tcW w:w="2058" w:type="dxa"/>
            <w:tcBorders>
              <w:left w:val="single" w:sz="8" w:space="0" w:color="auto"/>
              <w:bottom w:val="single" w:sz="4" w:space="0" w:color="auto"/>
              <w:right w:val="single" w:sz="8" w:space="0" w:color="auto"/>
            </w:tcBorders>
            <w:shd w:val="clear" w:color="auto" w:fill="DAE9F7" w:themeFill="text2" w:themeFillTint="1A"/>
            <w:vAlign w:val="center"/>
          </w:tcPr>
          <w:p w14:paraId="0DC6559F" w14:textId="73DA6FA7" w:rsidR="00060A08" w:rsidRPr="00387441" w:rsidRDefault="00DA222A" w:rsidP="00DA222A">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Atgūto naudas līdzekļu summa EUR</w:t>
            </w:r>
          </w:p>
        </w:tc>
        <w:tc>
          <w:tcPr>
            <w:tcW w:w="3155" w:type="dxa"/>
            <w:tcBorders>
              <w:left w:val="single" w:sz="8" w:space="0" w:color="auto"/>
              <w:bottom w:val="single" w:sz="4" w:space="0" w:color="auto"/>
              <w:right w:val="single" w:sz="4" w:space="0" w:color="auto"/>
            </w:tcBorders>
            <w:shd w:val="clear" w:color="auto" w:fill="auto"/>
            <w:vAlign w:val="center"/>
          </w:tcPr>
          <w:p w14:paraId="0CCF72BB" w14:textId="77777777" w:rsidR="00060A08" w:rsidRPr="00387441" w:rsidRDefault="00060A08" w:rsidP="00DA222A">
            <w:pPr>
              <w:pStyle w:val="ListParagraph"/>
              <w:spacing w:after="0" w:line="240" w:lineRule="auto"/>
              <w:ind w:left="0" w:right="-107" w:firstLine="0"/>
              <w:contextualSpacing w:val="0"/>
              <w:jc w:val="center"/>
              <w:rPr>
                <w:rStyle w:val="Strong"/>
                <w:rFonts w:cstheme="majorHAnsi"/>
                <w:b w:val="0"/>
                <w:bCs w:val="0"/>
                <w:sz w:val="16"/>
                <w:szCs w:val="16"/>
                <w:lang w:val="lv-LV"/>
              </w:rPr>
            </w:pPr>
            <w:r w:rsidRPr="00387441">
              <w:rPr>
                <w:rStyle w:val="Strong"/>
                <w:rFonts w:cstheme="majorHAnsi"/>
                <w:sz w:val="16"/>
                <w:szCs w:val="16"/>
                <w:lang w:val="lv-LV"/>
              </w:rPr>
              <w:t>n/a - dēļ fonda specifikas</w:t>
            </w:r>
          </w:p>
        </w:tc>
        <w:tc>
          <w:tcPr>
            <w:tcW w:w="2469" w:type="dxa"/>
            <w:tcBorders>
              <w:left w:val="single" w:sz="8" w:space="0" w:color="auto"/>
              <w:bottom w:val="single" w:sz="4" w:space="0" w:color="auto"/>
              <w:right w:val="single" w:sz="8" w:space="0" w:color="auto"/>
            </w:tcBorders>
            <w:shd w:val="clear" w:color="auto" w:fill="DAE9F7" w:themeFill="text2" w:themeFillTint="1A"/>
            <w:vAlign w:val="center"/>
          </w:tcPr>
          <w:p w14:paraId="0D712BBB" w14:textId="77777777" w:rsidR="00060A08" w:rsidRPr="00387441" w:rsidRDefault="00060A08" w:rsidP="001F7D30">
            <w:pPr>
              <w:pStyle w:val="ListParagraph"/>
              <w:spacing w:after="0" w:line="240" w:lineRule="auto"/>
              <w:ind w:left="0" w:firstLine="0"/>
              <w:contextualSpacing w:val="0"/>
              <w:jc w:val="center"/>
              <w:rPr>
                <w:rStyle w:val="Strong"/>
                <w:rFonts w:cstheme="majorHAnsi"/>
                <w:sz w:val="16"/>
                <w:szCs w:val="16"/>
                <w:lang w:val="lv-LV"/>
              </w:rPr>
            </w:pPr>
            <w:r w:rsidRPr="00387441">
              <w:rPr>
                <w:rStyle w:val="Strong"/>
                <w:rFonts w:cstheme="majorHAnsi"/>
                <w:sz w:val="16"/>
                <w:szCs w:val="16"/>
                <w:lang w:val="lv-LV"/>
              </w:rPr>
              <w:t>Atklāšanas veids</w:t>
            </w:r>
          </w:p>
        </w:tc>
        <w:tc>
          <w:tcPr>
            <w:tcW w:w="2881" w:type="dxa"/>
            <w:tcBorders>
              <w:left w:val="single" w:sz="8" w:space="0" w:color="auto"/>
              <w:bottom w:val="single" w:sz="4" w:space="0" w:color="auto"/>
            </w:tcBorders>
            <w:shd w:val="clear" w:color="auto" w:fill="auto"/>
            <w:vAlign w:val="center"/>
          </w:tcPr>
          <w:p w14:paraId="49A75676" w14:textId="47A7E851" w:rsidR="00060A08" w:rsidRPr="00D56A51" w:rsidRDefault="00D56A51" w:rsidP="00D56A51">
            <w:pPr>
              <w:pStyle w:val="ListParagraph"/>
              <w:spacing w:after="0" w:line="240" w:lineRule="auto"/>
              <w:ind w:left="0" w:firstLine="0"/>
              <w:contextualSpacing w:val="0"/>
              <w:jc w:val="center"/>
              <w:rPr>
                <w:rStyle w:val="Strong"/>
                <w:rFonts w:cstheme="majorHAnsi"/>
                <w:sz w:val="16"/>
                <w:szCs w:val="16"/>
                <w:lang w:val="lv-LV"/>
              </w:rPr>
            </w:pPr>
            <w:r w:rsidRPr="006170D0">
              <w:rPr>
                <w:rStyle w:val="Strong"/>
                <w:rFonts w:cstheme="majorHAnsi"/>
                <w:sz w:val="16"/>
                <w:szCs w:val="16"/>
                <w:lang w:val="lv-LV"/>
              </w:rPr>
              <w:t>Progresa pārskatu vērtēšana</w:t>
            </w:r>
          </w:p>
        </w:tc>
      </w:tr>
    </w:tbl>
    <w:p w14:paraId="69E71541" w14:textId="77777777" w:rsidR="00D56300" w:rsidRPr="00BE0DBF" w:rsidRDefault="00D56300" w:rsidP="00F75B8A">
      <w:pPr>
        <w:spacing w:after="120" w:line="276" w:lineRule="auto"/>
        <w:rPr>
          <w:lang w:val="lv-LV"/>
        </w:rPr>
      </w:pPr>
    </w:p>
    <w:p w14:paraId="06AEBB29" w14:textId="3DA15D89" w:rsidR="00060A08" w:rsidRPr="00BE0DBF" w:rsidRDefault="00060A08" w:rsidP="00F75B8A">
      <w:pPr>
        <w:spacing w:after="120" w:line="276" w:lineRule="auto"/>
        <w:rPr>
          <w:lang w:val="lv-LV"/>
        </w:rPr>
      </w:pPr>
      <w:r w:rsidRPr="00BE0DBF">
        <w:rPr>
          <w:lang w:val="lv-LV"/>
        </w:rPr>
        <w:t xml:space="preserve">Ņemot vērā </w:t>
      </w:r>
      <w:r w:rsidR="003B444B" w:rsidRPr="00BE0DBF">
        <w:rPr>
          <w:lang w:val="lv-LV"/>
        </w:rPr>
        <w:t>AF</w:t>
      </w:r>
      <w:r w:rsidRPr="00BE0DBF">
        <w:rPr>
          <w:lang w:val="lv-LV"/>
        </w:rPr>
        <w:t xml:space="preserve"> administrēšanas īpatnības, kas pēc būtības atšķiras no pārējiem šajā ziņojumā analizētajiem fondiem, finanšu ietekme uz AF budžetu vai valsts budžetu nav bijusi. Taču pārkāpuma fakts pret nacionālo noteikumu pārkāpumu tiek reģistrēts un attiecīgi novērsts</w:t>
      </w:r>
      <w:r w:rsidR="00DE4A8C" w:rsidRPr="00BE0DBF">
        <w:rPr>
          <w:lang w:val="lv-LV"/>
        </w:rPr>
        <w:t>,</w:t>
      </w:r>
      <w:r w:rsidRPr="00BE0DBF">
        <w:rPr>
          <w:lang w:val="lv-LV"/>
        </w:rPr>
        <w:t xml:space="preserve"> kā to paredz </w:t>
      </w:r>
      <w:r w:rsidR="00B83B5A" w:rsidRPr="00BE0DBF">
        <w:rPr>
          <w:lang w:val="lv-LV"/>
        </w:rPr>
        <w:t xml:space="preserve">Finanšu ministrijas </w:t>
      </w:r>
      <w:r w:rsidR="00B83B5A" w:rsidRPr="00BE0DBF">
        <w:rPr>
          <w:lang w:val="lv-LV"/>
        </w:rPr>
        <w:lastRenderedPageBreak/>
        <w:t>procedūra</w:t>
      </w:r>
      <w:r w:rsidR="00DE4A8C" w:rsidRPr="00BE0DBF">
        <w:rPr>
          <w:rStyle w:val="FootnoteReference"/>
          <w:lang w:val="lv-LV"/>
        </w:rPr>
        <w:footnoteReference w:id="16"/>
      </w:r>
      <w:r w:rsidRPr="00BE0DBF">
        <w:rPr>
          <w:lang w:val="lv-LV"/>
        </w:rPr>
        <w:t>.</w:t>
      </w:r>
      <w:r w:rsidR="00F6285A" w:rsidRPr="00BE0DBF">
        <w:rPr>
          <w:lang w:val="lv-LV"/>
        </w:rPr>
        <w:t xml:space="preserve"> </w:t>
      </w:r>
      <w:r w:rsidR="00470174" w:rsidRPr="00BE0DBF">
        <w:rPr>
          <w:lang w:val="lv-LV"/>
        </w:rPr>
        <w:t>Eiropas Komisija var piemērot neatbilstību gadījumā, ja kāds no plānā paredzētajiem mērķiem netiek sasniegts</w:t>
      </w:r>
      <w:r w:rsidR="00131BA0" w:rsidRPr="00BE0DBF">
        <w:rPr>
          <w:lang w:val="lv-LV"/>
        </w:rPr>
        <w:t>.</w:t>
      </w:r>
    </w:p>
    <w:p w14:paraId="03D564BE" w14:textId="682D022C" w:rsidR="00F56C60" w:rsidRPr="006170D0" w:rsidRDefault="003B444B" w:rsidP="00F75B8A">
      <w:pPr>
        <w:spacing w:after="120" w:line="276" w:lineRule="auto"/>
        <w:rPr>
          <w:b/>
          <w:lang w:val="lv-LV"/>
        </w:rPr>
      </w:pPr>
      <w:r w:rsidRPr="006170D0">
        <w:rPr>
          <w:b/>
          <w:lang w:val="lv-LV"/>
        </w:rPr>
        <w:t>2024.</w:t>
      </w:r>
      <w:r w:rsidR="005D7B6A" w:rsidRPr="006170D0">
        <w:rPr>
          <w:b/>
          <w:lang w:val="lv-LV"/>
        </w:rPr>
        <w:t xml:space="preserve"> </w:t>
      </w:r>
      <w:r w:rsidRPr="006170D0">
        <w:rPr>
          <w:b/>
          <w:lang w:val="lv-LV"/>
        </w:rPr>
        <w:t>gadā</w:t>
      </w:r>
      <w:r w:rsidRPr="006170D0">
        <w:rPr>
          <w:lang w:val="lv-LV"/>
        </w:rPr>
        <w:t xml:space="preserve"> </w:t>
      </w:r>
      <w:r w:rsidRPr="006170D0">
        <w:rPr>
          <w:b/>
          <w:lang w:val="lv-LV"/>
        </w:rPr>
        <w:t xml:space="preserve">AF konstatēto pārkāpumu apjomā ir </w:t>
      </w:r>
      <w:r w:rsidR="00A0793E" w:rsidRPr="006170D0">
        <w:rPr>
          <w:b/>
          <w:bCs/>
          <w:lang w:val="lv-LV"/>
        </w:rPr>
        <w:t>10</w:t>
      </w:r>
      <w:r w:rsidRPr="006170D0">
        <w:rPr>
          <w:b/>
          <w:bCs/>
          <w:lang w:val="lv-LV"/>
        </w:rPr>
        <w:t xml:space="preserve"> </w:t>
      </w:r>
      <w:r w:rsidRPr="006170D0">
        <w:rPr>
          <w:b/>
          <w:i/>
          <w:lang w:val="lv-LV"/>
        </w:rPr>
        <w:t>Trūkumi</w:t>
      </w:r>
      <w:r w:rsidR="00E41C98" w:rsidRPr="006170D0">
        <w:rPr>
          <w:rStyle w:val="FootnoteReference"/>
          <w:b/>
          <w:lang w:val="lv-LV"/>
        </w:rPr>
        <w:footnoteReference w:id="17"/>
      </w:r>
      <w:r w:rsidRPr="006170D0">
        <w:rPr>
          <w:lang w:val="lv-LV"/>
        </w:rPr>
        <w:t xml:space="preserve">, </w:t>
      </w:r>
      <w:r w:rsidR="00DE4A8C" w:rsidRPr="006170D0">
        <w:rPr>
          <w:lang w:val="lv-LV"/>
        </w:rPr>
        <w:t xml:space="preserve">līdz ar to šobrīd </w:t>
      </w:r>
      <w:r w:rsidR="00025DF8" w:rsidRPr="006170D0">
        <w:rPr>
          <w:lang w:val="lv-LV"/>
        </w:rPr>
        <w:t>(kumulatīvi par 2023. un 2024. gadu)</w:t>
      </w:r>
      <w:r w:rsidR="00252666" w:rsidRPr="006170D0">
        <w:rPr>
          <w:lang w:val="lv-LV"/>
        </w:rPr>
        <w:t xml:space="preserve"> </w:t>
      </w:r>
      <w:r w:rsidR="00025DF8" w:rsidRPr="006170D0">
        <w:rPr>
          <w:lang w:val="lv-LV"/>
        </w:rPr>
        <w:t>kopā AF</w:t>
      </w:r>
      <w:r w:rsidRPr="006170D0">
        <w:rPr>
          <w:lang w:val="lv-LV"/>
        </w:rPr>
        <w:t xml:space="preserve"> </w:t>
      </w:r>
      <w:r w:rsidR="00025DF8" w:rsidRPr="006170D0">
        <w:rPr>
          <w:lang w:val="lv-LV"/>
        </w:rPr>
        <w:t xml:space="preserve">konstatēti </w:t>
      </w:r>
      <w:r w:rsidR="00AA1F9B" w:rsidRPr="006170D0">
        <w:rPr>
          <w:lang w:val="lv-LV"/>
        </w:rPr>
        <w:t>13</w:t>
      </w:r>
      <w:r w:rsidRPr="006170D0" w:rsidDel="00CC48F1">
        <w:rPr>
          <w:lang w:val="lv-LV"/>
        </w:rPr>
        <w:t xml:space="preserve"> </w:t>
      </w:r>
      <w:r w:rsidR="00025DF8" w:rsidRPr="006170D0">
        <w:rPr>
          <w:i/>
          <w:lang w:val="lv-LV"/>
        </w:rPr>
        <w:t>Trūkumi</w:t>
      </w:r>
      <w:r w:rsidRPr="006170D0">
        <w:rPr>
          <w:lang w:val="lv-LV"/>
        </w:rPr>
        <w:t xml:space="preserve">. </w:t>
      </w:r>
      <w:r w:rsidR="00025DF8" w:rsidRPr="006170D0">
        <w:rPr>
          <w:lang w:val="lv-LV"/>
        </w:rPr>
        <w:t xml:space="preserve">Savukārt, </w:t>
      </w:r>
      <w:r w:rsidR="00F07BEE" w:rsidRPr="006170D0">
        <w:rPr>
          <w:b/>
          <w:bCs/>
          <w:i/>
          <w:iCs/>
          <w:lang w:val="lv-LV"/>
        </w:rPr>
        <w:t>Nopietni p</w:t>
      </w:r>
      <w:r w:rsidRPr="006170D0">
        <w:rPr>
          <w:b/>
          <w:bCs/>
          <w:i/>
          <w:iCs/>
          <w:lang w:val="lv-LV"/>
        </w:rPr>
        <w:t>ārkāpumi</w:t>
      </w:r>
      <w:r w:rsidR="00846686" w:rsidRPr="006170D0">
        <w:rPr>
          <w:b/>
          <w:bCs/>
          <w:lang w:val="lv-LV"/>
        </w:rPr>
        <w:t xml:space="preserve">, </w:t>
      </w:r>
      <w:r w:rsidR="00F07BEE" w:rsidRPr="006170D0">
        <w:rPr>
          <w:b/>
          <w:bCs/>
          <w:lang w:val="lv-LV"/>
        </w:rPr>
        <w:t>kas aptver</w:t>
      </w:r>
      <w:r w:rsidR="00846686" w:rsidRPr="006170D0">
        <w:rPr>
          <w:b/>
          <w:lang w:val="lv-LV"/>
        </w:rPr>
        <w:t xml:space="preserve"> arī krāpšanas / aizdomu par krāpšanu </w:t>
      </w:r>
      <w:r w:rsidR="00846686" w:rsidRPr="006170D0">
        <w:rPr>
          <w:b/>
          <w:bCs/>
          <w:lang w:val="lv-LV"/>
        </w:rPr>
        <w:t>gadījum</w:t>
      </w:r>
      <w:r w:rsidR="00F07BEE" w:rsidRPr="006170D0">
        <w:rPr>
          <w:b/>
          <w:bCs/>
          <w:lang w:val="lv-LV"/>
        </w:rPr>
        <w:t>us,</w:t>
      </w:r>
      <w:r w:rsidR="00846686" w:rsidRPr="006170D0">
        <w:rPr>
          <w:b/>
          <w:lang w:val="lv-LV"/>
        </w:rPr>
        <w:t xml:space="preserve"> </w:t>
      </w:r>
      <w:r w:rsidRPr="006170D0">
        <w:rPr>
          <w:b/>
          <w:lang w:val="lv-LV"/>
        </w:rPr>
        <w:t xml:space="preserve">2024.gadā nav konstatēti. </w:t>
      </w:r>
    </w:p>
    <w:p w14:paraId="3B311238" w14:textId="55B963C0" w:rsidR="00F56C60" w:rsidRPr="006170D0" w:rsidRDefault="003B444B" w:rsidP="00F75B8A">
      <w:pPr>
        <w:spacing w:after="120" w:line="276" w:lineRule="auto"/>
        <w:rPr>
          <w:lang w:val="lv-LV"/>
        </w:rPr>
      </w:pPr>
      <w:r w:rsidRPr="006170D0">
        <w:rPr>
          <w:lang w:val="lv-LV"/>
        </w:rPr>
        <w:t>2024.</w:t>
      </w:r>
      <w:r w:rsidR="00CE5063" w:rsidRPr="006170D0">
        <w:rPr>
          <w:lang w:val="lv-LV"/>
        </w:rPr>
        <w:t xml:space="preserve"> </w:t>
      </w:r>
      <w:r w:rsidRPr="006170D0">
        <w:rPr>
          <w:lang w:val="lv-LV"/>
        </w:rPr>
        <w:t>gadā AF ir veiktas</w:t>
      </w:r>
      <w:r w:rsidR="00F56C60" w:rsidRPr="006170D0">
        <w:rPr>
          <w:lang w:val="lv-LV"/>
        </w:rPr>
        <w:t xml:space="preserve"> </w:t>
      </w:r>
      <w:r w:rsidRPr="006170D0">
        <w:rPr>
          <w:lang w:val="lv-LV"/>
        </w:rPr>
        <w:t xml:space="preserve">62 pārbaudes projekta īstenošanas vietā (PPĪV), no tām 19 gadījumos pārbaudes rezultāts – </w:t>
      </w:r>
      <w:r w:rsidRPr="006170D0">
        <w:rPr>
          <w:i/>
          <w:lang w:val="lv-LV"/>
        </w:rPr>
        <w:t>Ar iebildumiem</w:t>
      </w:r>
      <w:r w:rsidRPr="006170D0">
        <w:rPr>
          <w:lang w:val="lv-LV"/>
        </w:rPr>
        <w:t xml:space="preserve">. Kopējais PPĪV laikā konstatēto atkāpju skaits – 30 atkāpes.  </w:t>
      </w:r>
    </w:p>
    <w:p w14:paraId="429294B5" w14:textId="77777777" w:rsidR="00A00964" w:rsidRPr="00A00964" w:rsidRDefault="00A00964" w:rsidP="00A00964">
      <w:pPr>
        <w:spacing w:after="120" w:line="276" w:lineRule="auto"/>
        <w:rPr>
          <w:lang w:val="lv-LV"/>
        </w:rPr>
      </w:pPr>
      <w:r w:rsidRPr="006170D0">
        <w:rPr>
          <w:lang w:val="lv-LV"/>
        </w:rPr>
        <w:t xml:space="preserve">2024. gadā AF ir veiktas 174 iepirkumu pārbaudes, no tām 14 gadījumos pārbaudes rezultāts – </w:t>
      </w:r>
      <w:r w:rsidRPr="006170D0">
        <w:rPr>
          <w:i/>
          <w:lang w:val="lv-LV"/>
        </w:rPr>
        <w:t>Ar iebildumiem</w:t>
      </w:r>
      <w:r w:rsidRPr="006170D0">
        <w:rPr>
          <w:lang w:val="lv-LV"/>
        </w:rPr>
        <w:t>. Kopējais iepirkuma pārbaužu laikā konstatēto atkāpju skaits – 16 atkāpes.</w:t>
      </w:r>
    </w:p>
    <w:p w14:paraId="514750E7" w14:textId="77777777" w:rsidR="005333B4" w:rsidRPr="00BE0DBF" w:rsidRDefault="005333B4" w:rsidP="005333B4">
      <w:pPr>
        <w:spacing w:after="120" w:line="276" w:lineRule="auto"/>
        <w:rPr>
          <w:lang w:val="lv-LV"/>
        </w:rPr>
      </w:pPr>
    </w:p>
    <w:p w14:paraId="01D32714" w14:textId="77777777" w:rsidR="003207B8" w:rsidRPr="00BE0DBF" w:rsidRDefault="003207B8" w:rsidP="006644EC">
      <w:pPr>
        <w:spacing w:after="120" w:line="276" w:lineRule="auto"/>
        <w:rPr>
          <w:lang w:val="lv-LV"/>
        </w:rPr>
      </w:pPr>
    </w:p>
    <w:p w14:paraId="7CFB9FB8" w14:textId="77777777" w:rsidR="003207B8" w:rsidRPr="00BE0DBF" w:rsidRDefault="003207B8" w:rsidP="006644EC">
      <w:pPr>
        <w:spacing w:after="120" w:line="276" w:lineRule="auto"/>
        <w:rPr>
          <w:lang w:val="lv-LV"/>
        </w:rPr>
      </w:pPr>
    </w:p>
    <w:p w14:paraId="50FE10D1" w14:textId="77777777" w:rsidR="003207B8" w:rsidRPr="00BE0DBF" w:rsidRDefault="003207B8" w:rsidP="006644EC">
      <w:pPr>
        <w:spacing w:after="120" w:line="276" w:lineRule="auto"/>
        <w:rPr>
          <w:lang w:val="lv-LV"/>
        </w:rPr>
      </w:pPr>
    </w:p>
    <w:p w14:paraId="71F95621" w14:textId="77777777" w:rsidR="003207B8" w:rsidRPr="00BE0DBF" w:rsidRDefault="003207B8" w:rsidP="006644EC">
      <w:pPr>
        <w:spacing w:after="120" w:line="276" w:lineRule="auto"/>
        <w:rPr>
          <w:lang w:val="lv-LV"/>
        </w:rPr>
      </w:pPr>
    </w:p>
    <w:p w14:paraId="79F4E68D" w14:textId="77777777" w:rsidR="003207B8" w:rsidRPr="00BE0DBF" w:rsidRDefault="003207B8" w:rsidP="006644EC">
      <w:pPr>
        <w:spacing w:after="120" w:line="276" w:lineRule="auto"/>
        <w:rPr>
          <w:lang w:val="lv-LV"/>
        </w:rPr>
      </w:pPr>
    </w:p>
    <w:p w14:paraId="08588F76" w14:textId="77777777" w:rsidR="003207B8" w:rsidRPr="00BE0DBF" w:rsidRDefault="003207B8" w:rsidP="006644EC">
      <w:pPr>
        <w:spacing w:after="120" w:line="276" w:lineRule="auto"/>
        <w:rPr>
          <w:lang w:val="lv-LV"/>
        </w:rPr>
      </w:pPr>
    </w:p>
    <w:p w14:paraId="3CAD0E59" w14:textId="77777777" w:rsidR="003207B8" w:rsidRPr="00BE0DBF" w:rsidRDefault="003207B8" w:rsidP="006644EC">
      <w:pPr>
        <w:spacing w:after="120" w:line="276" w:lineRule="auto"/>
        <w:rPr>
          <w:lang w:val="lv-LV"/>
        </w:rPr>
      </w:pPr>
    </w:p>
    <w:p w14:paraId="357BE7FA" w14:textId="77777777" w:rsidR="003207B8" w:rsidRPr="00BE0DBF" w:rsidRDefault="003207B8" w:rsidP="006644EC">
      <w:pPr>
        <w:spacing w:after="120" w:line="276" w:lineRule="auto"/>
        <w:rPr>
          <w:lang w:val="lv-LV"/>
        </w:rPr>
      </w:pPr>
    </w:p>
    <w:p w14:paraId="5D3843BE" w14:textId="77777777" w:rsidR="003207B8" w:rsidRPr="00BE0DBF" w:rsidRDefault="003207B8" w:rsidP="006644EC">
      <w:pPr>
        <w:spacing w:after="120" w:line="276" w:lineRule="auto"/>
        <w:rPr>
          <w:lang w:val="lv-LV"/>
        </w:rPr>
      </w:pPr>
    </w:p>
    <w:p w14:paraId="5CEBE512" w14:textId="77777777" w:rsidR="003207B8" w:rsidRPr="00BE0DBF" w:rsidRDefault="003207B8" w:rsidP="006644EC">
      <w:pPr>
        <w:spacing w:after="120" w:line="276" w:lineRule="auto"/>
        <w:rPr>
          <w:lang w:val="lv-LV"/>
        </w:rPr>
      </w:pPr>
    </w:p>
    <w:p w14:paraId="71FE31F5" w14:textId="77777777" w:rsidR="003207B8" w:rsidRPr="00BE0DBF" w:rsidRDefault="003207B8" w:rsidP="006644EC">
      <w:pPr>
        <w:spacing w:after="120" w:line="276" w:lineRule="auto"/>
        <w:rPr>
          <w:lang w:val="lv-LV"/>
        </w:rPr>
      </w:pPr>
    </w:p>
    <w:p w14:paraId="2FA5B83B" w14:textId="77777777" w:rsidR="007414D9" w:rsidRPr="00BE0DBF" w:rsidRDefault="007414D9" w:rsidP="00865398">
      <w:pPr>
        <w:spacing w:after="120" w:line="276" w:lineRule="auto"/>
        <w:ind w:firstLine="0"/>
        <w:rPr>
          <w:lang w:val="lv-LV"/>
        </w:rPr>
      </w:pPr>
    </w:p>
    <w:p w14:paraId="5C1EB7F0" w14:textId="4A22824C" w:rsidR="00766B83" w:rsidRPr="00387441" w:rsidRDefault="00766B83" w:rsidP="00017956">
      <w:pPr>
        <w:pStyle w:val="Heading1"/>
      </w:pPr>
      <w:bookmarkStart w:id="92" w:name="_Toc128581418"/>
      <w:bookmarkStart w:id="93" w:name="_Toc128581766"/>
      <w:bookmarkStart w:id="94" w:name="_Toc128581998"/>
      <w:bookmarkStart w:id="95" w:name="_Toc129695805"/>
      <w:bookmarkStart w:id="96" w:name="_Toc192753113"/>
      <w:r w:rsidRPr="00387441">
        <w:lastRenderedPageBreak/>
        <w:t>C daļa</w:t>
      </w:r>
      <w:bookmarkEnd w:id="92"/>
      <w:bookmarkEnd w:id="93"/>
      <w:bookmarkEnd w:id="94"/>
      <w:bookmarkEnd w:id="95"/>
      <w:bookmarkEnd w:id="96"/>
    </w:p>
    <w:p w14:paraId="218346DC" w14:textId="32EBB358" w:rsidR="00766B83" w:rsidRPr="00BE0DBF" w:rsidRDefault="00766B83" w:rsidP="00017956">
      <w:pPr>
        <w:pStyle w:val="Heading2"/>
        <w:rPr>
          <w:lang w:val="lv-LV"/>
        </w:rPr>
      </w:pPr>
      <w:bookmarkStart w:id="97" w:name="_Toc192753114"/>
      <w:r w:rsidRPr="00BE0DBF">
        <w:rPr>
          <w:lang w:val="lv-LV"/>
        </w:rPr>
        <w:t>202</w:t>
      </w:r>
      <w:r w:rsidR="00C612B7" w:rsidRPr="00BE0DBF">
        <w:rPr>
          <w:lang w:val="lv-LV"/>
        </w:rPr>
        <w:t>4</w:t>
      </w:r>
      <w:r w:rsidRPr="00BE0DBF">
        <w:rPr>
          <w:lang w:val="lv-LV"/>
        </w:rPr>
        <w:t>.</w:t>
      </w:r>
      <w:r w:rsidR="00EC159C" w:rsidRPr="00BE0DBF">
        <w:rPr>
          <w:lang w:val="lv-LV"/>
        </w:rPr>
        <w:t xml:space="preserve"> </w:t>
      </w:r>
      <w:r w:rsidRPr="00BE0DBF">
        <w:rPr>
          <w:lang w:val="lv-LV"/>
        </w:rPr>
        <w:t>GADĀ VEIKTIE IZMEKLĒŠANAS UN KRIMINĀLVAJĀŠANAS PASĀKUMI UN SADARBĪBA AR OLAF UN CITĀM EIROPAS INSTITŪCIJĀM</w:t>
      </w:r>
      <w:bookmarkEnd w:id="97"/>
    </w:p>
    <w:p w14:paraId="334FB664" w14:textId="0CDCB544" w:rsidR="00C11525" w:rsidRPr="00387441" w:rsidRDefault="00536195" w:rsidP="004B4C65">
      <w:pPr>
        <w:pStyle w:val="Heading3"/>
      </w:pPr>
      <w:bookmarkStart w:id="98" w:name="_Toc192753115"/>
      <w:r w:rsidRPr="00387441">
        <w:t>C</w:t>
      </w:r>
      <w:r w:rsidR="004F7773" w:rsidRPr="00387441">
        <w:t>.1. Izmeklēšanas iestādēs saņemto iesniegumu statistika</w:t>
      </w:r>
      <w:bookmarkEnd w:id="98"/>
    </w:p>
    <w:p w14:paraId="44423186" w14:textId="3DE4A64B" w:rsidR="00766B83" w:rsidRPr="00387441" w:rsidRDefault="00766B83" w:rsidP="00F75B8A">
      <w:pPr>
        <w:spacing w:after="120" w:line="276" w:lineRule="auto"/>
        <w:rPr>
          <w:lang w:val="lv-LV"/>
        </w:rPr>
      </w:pPr>
      <w:r w:rsidRPr="00387441">
        <w:rPr>
          <w:lang w:val="lv-LV"/>
        </w:rPr>
        <w:t>Izmeklēšanas iestādes</w:t>
      </w:r>
      <w:r w:rsidR="00430704" w:rsidRPr="00387441">
        <w:rPr>
          <w:lang w:val="lv-LV"/>
        </w:rPr>
        <w:t xml:space="preserve"> </w:t>
      </w:r>
      <w:r w:rsidRPr="00387441">
        <w:rPr>
          <w:lang w:val="lv-LV"/>
        </w:rPr>
        <w:t>202</w:t>
      </w:r>
      <w:r w:rsidR="00C612B7" w:rsidRPr="00387441">
        <w:rPr>
          <w:lang w:val="lv-LV"/>
        </w:rPr>
        <w:t>4</w:t>
      </w:r>
      <w:r w:rsidRPr="00387441">
        <w:rPr>
          <w:lang w:val="lv-LV"/>
        </w:rPr>
        <w:t>.</w:t>
      </w:r>
      <w:r w:rsidR="00EC159C" w:rsidRPr="00387441">
        <w:rPr>
          <w:lang w:val="lv-LV"/>
        </w:rPr>
        <w:t xml:space="preserve"> </w:t>
      </w:r>
      <w:r w:rsidRPr="00387441">
        <w:rPr>
          <w:lang w:val="lv-LV"/>
        </w:rPr>
        <w:t xml:space="preserve">gadā turpināja aktīvu </w:t>
      </w:r>
      <w:r w:rsidR="00430704" w:rsidRPr="00387441">
        <w:rPr>
          <w:lang w:val="lv-LV"/>
        </w:rPr>
        <w:t>darbu ES fondu finanšu līdzekļu krāpšanas gadījumu izmeklēšanā</w:t>
      </w:r>
      <w:r w:rsidR="006A2CC3" w:rsidRPr="00387441">
        <w:rPr>
          <w:lang w:val="lv-LV"/>
        </w:rPr>
        <w:t xml:space="preserve">, kā arī turpināja </w:t>
      </w:r>
      <w:r w:rsidRPr="00387441">
        <w:rPr>
          <w:lang w:val="lv-LV"/>
        </w:rPr>
        <w:t>savstarpēju sadarbību, tajā skaitā ar EPPO, kas darbojas kā neatkarīga ES līmeņa izmeklēšanas iestāde</w:t>
      </w:r>
      <w:r w:rsidR="00C612B7" w:rsidRPr="00387441">
        <w:rPr>
          <w:lang w:val="lv-LV"/>
        </w:rPr>
        <w:t>.</w:t>
      </w:r>
      <w:r w:rsidRPr="00387441">
        <w:rPr>
          <w:lang w:val="lv-LV"/>
        </w:rPr>
        <w:t xml:space="preserve"> </w:t>
      </w:r>
      <w:r w:rsidR="00C11525" w:rsidRPr="00387441">
        <w:rPr>
          <w:lang w:val="lv-LV"/>
        </w:rPr>
        <w:t xml:space="preserve">Lai gūtu pilnvērtīgu </w:t>
      </w:r>
      <w:r w:rsidR="003047CD" w:rsidRPr="00387441">
        <w:rPr>
          <w:lang w:val="lv-LV"/>
        </w:rPr>
        <w:t xml:space="preserve">ieskatu </w:t>
      </w:r>
      <w:r w:rsidR="00C11525" w:rsidRPr="00387441">
        <w:rPr>
          <w:lang w:val="lv-LV"/>
        </w:rPr>
        <w:t>par 2024.</w:t>
      </w:r>
      <w:r w:rsidR="00CA15B3" w:rsidRPr="00387441">
        <w:rPr>
          <w:lang w:val="lv-LV"/>
        </w:rPr>
        <w:t xml:space="preserve"> </w:t>
      </w:r>
      <w:r w:rsidR="00C11525" w:rsidRPr="00387441">
        <w:rPr>
          <w:lang w:val="lv-LV"/>
        </w:rPr>
        <w:t xml:space="preserve">gadā veiktajām izmeklēšanām, šo ziņojuma sadaļu ir </w:t>
      </w:r>
      <w:r w:rsidR="003047CD" w:rsidRPr="00387441">
        <w:rPr>
          <w:lang w:val="lv-LV"/>
        </w:rPr>
        <w:t>jāskata</w:t>
      </w:r>
      <w:r w:rsidR="00C11525" w:rsidRPr="00387441">
        <w:rPr>
          <w:lang w:val="lv-LV"/>
        </w:rPr>
        <w:t xml:space="preserve"> kopā ar EPPO ikgadējo pārskatu par 2024.</w:t>
      </w:r>
      <w:r w:rsidR="00D97BA5">
        <w:rPr>
          <w:lang w:val="lv-LV"/>
        </w:rPr>
        <w:t xml:space="preserve"> </w:t>
      </w:r>
      <w:r w:rsidR="00C11525" w:rsidRPr="00387441">
        <w:rPr>
          <w:lang w:val="lv-LV"/>
        </w:rPr>
        <w:t>gadu</w:t>
      </w:r>
      <w:r w:rsidR="003047CD" w:rsidRPr="00BE0DBF">
        <w:rPr>
          <w:rStyle w:val="FootnoteReference"/>
          <w:lang w:val="lv-LV"/>
        </w:rPr>
        <w:footnoteReference w:id="18"/>
      </w:r>
      <w:r w:rsidR="003047CD" w:rsidRPr="00387441">
        <w:rPr>
          <w:lang w:val="lv-LV"/>
        </w:rPr>
        <w:t>.</w:t>
      </w:r>
    </w:p>
    <w:p w14:paraId="05905BD9" w14:textId="07637B28" w:rsidR="00C65DA9" w:rsidRPr="00387441" w:rsidRDefault="009438CD" w:rsidP="00F75B8A">
      <w:pPr>
        <w:spacing w:before="120" w:after="120" w:line="276" w:lineRule="auto"/>
        <w:rPr>
          <w:lang w:val="lv-LV"/>
        </w:rPr>
      </w:pPr>
      <w:r w:rsidRPr="00387441">
        <w:rPr>
          <w:lang w:val="lv-LV"/>
        </w:rPr>
        <w:t xml:space="preserve">Saskaņā ar </w:t>
      </w:r>
      <w:r w:rsidRPr="00387441">
        <w:rPr>
          <w:b/>
          <w:lang w:val="lv-LV"/>
        </w:rPr>
        <w:t>Ģenerālprokuratūras</w:t>
      </w:r>
      <w:r w:rsidRPr="00387441">
        <w:rPr>
          <w:lang w:val="lv-LV"/>
        </w:rPr>
        <w:t xml:space="preserve"> sniegto informāciju, Prokuratūras struktūrvienībās (nacionālajā līmenī) </w:t>
      </w:r>
      <w:r w:rsidRPr="00387441">
        <w:rPr>
          <w:b/>
          <w:lang w:val="lv-LV"/>
        </w:rPr>
        <w:t>2024.</w:t>
      </w:r>
      <w:r w:rsidR="008B672C" w:rsidRPr="00387441">
        <w:rPr>
          <w:b/>
          <w:lang w:val="lv-LV"/>
        </w:rPr>
        <w:t xml:space="preserve"> </w:t>
      </w:r>
      <w:r w:rsidRPr="00387441">
        <w:rPr>
          <w:b/>
          <w:lang w:val="lv-LV"/>
        </w:rPr>
        <w:t xml:space="preserve">gadā netika saņemti iesniegumi </w:t>
      </w:r>
      <w:r w:rsidR="005B7998" w:rsidRPr="00387441">
        <w:rPr>
          <w:lang w:val="lv-LV"/>
        </w:rPr>
        <w:t xml:space="preserve">par iespējamām krāpnieciskām un citām nelikumīgām darbībām </w:t>
      </w:r>
      <w:r w:rsidR="009D412D" w:rsidRPr="00387441">
        <w:rPr>
          <w:lang w:val="lv-LV"/>
        </w:rPr>
        <w:t>ES</w:t>
      </w:r>
      <w:r w:rsidR="005B7998" w:rsidRPr="00387441">
        <w:rPr>
          <w:lang w:val="lv-LV"/>
        </w:rPr>
        <w:t xml:space="preserve"> politiku instrumentu ietvaros</w:t>
      </w:r>
      <w:r w:rsidR="00187B80" w:rsidRPr="00387441">
        <w:rPr>
          <w:lang w:val="lv-LV"/>
        </w:rPr>
        <w:t xml:space="preserve">, taču turpinājās darbs </w:t>
      </w:r>
      <w:r w:rsidR="00B217B2" w:rsidRPr="00387441">
        <w:rPr>
          <w:lang w:val="lv-LV"/>
        </w:rPr>
        <w:t>uzsākto kriminālprocesu uzraudzībā.</w:t>
      </w:r>
      <w:r w:rsidR="00C65DA9" w:rsidRPr="00387441">
        <w:rPr>
          <w:lang w:val="lv-LV"/>
        </w:rPr>
        <w:t xml:space="preserve"> </w:t>
      </w:r>
    </w:p>
    <w:p w14:paraId="5A42595B" w14:textId="1D503DD3" w:rsidR="009438CD" w:rsidRPr="00387441" w:rsidRDefault="00C65DA9" w:rsidP="00F75B8A">
      <w:pPr>
        <w:spacing w:before="120" w:after="120" w:line="276" w:lineRule="auto"/>
        <w:rPr>
          <w:lang w:val="lv-LV"/>
        </w:rPr>
      </w:pPr>
      <w:r w:rsidRPr="006170D0">
        <w:rPr>
          <w:lang w:val="lv-LV"/>
        </w:rPr>
        <w:t xml:space="preserve">Arī VID </w:t>
      </w:r>
      <w:r w:rsidRPr="006170D0">
        <w:rPr>
          <w:b/>
          <w:lang w:val="lv-LV"/>
        </w:rPr>
        <w:t xml:space="preserve">2024.gadā netika saņemti iesniegumi </w:t>
      </w:r>
      <w:r w:rsidRPr="006170D0">
        <w:rPr>
          <w:lang w:val="lv-LV"/>
        </w:rPr>
        <w:t xml:space="preserve">par iespējamām krāpnieciskām un citām nelikumīgām darbībām </w:t>
      </w:r>
      <w:r w:rsidR="008B672C" w:rsidRPr="006170D0">
        <w:rPr>
          <w:lang w:val="lv-LV"/>
        </w:rPr>
        <w:t>ES</w:t>
      </w:r>
      <w:r w:rsidRPr="006170D0">
        <w:rPr>
          <w:lang w:val="lv-LV"/>
        </w:rPr>
        <w:t xml:space="preserve"> politiku instrumentu ietvaros</w:t>
      </w:r>
      <w:r w:rsidR="00F7199D" w:rsidRPr="006170D0">
        <w:rPr>
          <w:lang w:val="lv-LV"/>
        </w:rPr>
        <w:t>.</w:t>
      </w:r>
    </w:p>
    <w:p w14:paraId="203B9E61" w14:textId="04E81AE0" w:rsidR="00917149" w:rsidRPr="00387441" w:rsidRDefault="00917149" w:rsidP="00F75B8A">
      <w:pPr>
        <w:spacing w:before="120" w:after="120" w:line="276" w:lineRule="auto"/>
        <w:rPr>
          <w:lang w:val="lv-LV"/>
        </w:rPr>
      </w:pPr>
      <w:r w:rsidRPr="00387441">
        <w:rPr>
          <w:lang w:val="lv-LV"/>
        </w:rPr>
        <w:t xml:space="preserve">Valsts policijā </w:t>
      </w:r>
      <w:r w:rsidRPr="00387441">
        <w:rPr>
          <w:b/>
          <w:lang w:val="lv-LV"/>
        </w:rPr>
        <w:t>2024. gadā ierosināti 15</w:t>
      </w:r>
      <w:r w:rsidR="001F4E14" w:rsidRPr="00387441">
        <w:rPr>
          <w:b/>
          <w:lang w:val="lv-LV"/>
        </w:rPr>
        <w:t xml:space="preserve"> jauni</w:t>
      </w:r>
      <w:r w:rsidRPr="00387441">
        <w:rPr>
          <w:b/>
          <w:lang w:val="lv-LV"/>
        </w:rPr>
        <w:t xml:space="preserve"> kriminālprocesi</w:t>
      </w:r>
      <w:r w:rsidRPr="00387441">
        <w:rPr>
          <w:lang w:val="lv-LV"/>
        </w:rPr>
        <w:t xml:space="preserve"> saistībā ar iespējamām krāpnieciskām darbībām ES līdzfinansētajos projektos</w:t>
      </w:r>
      <w:r w:rsidR="006679E5" w:rsidRPr="00387441">
        <w:rPr>
          <w:lang w:val="lv-LV"/>
        </w:rPr>
        <w:t xml:space="preserve">, no kuriem </w:t>
      </w:r>
      <w:r w:rsidR="00AA695F" w:rsidRPr="00387441">
        <w:rPr>
          <w:lang w:val="lv-LV"/>
        </w:rPr>
        <w:t>2024</w:t>
      </w:r>
      <w:r w:rsidR="004841E9" w:rsidRPr="00387441">
        <w:rPr>
          <w:lang w:val="lv-LV"/>
        </w:rPr>
        <w:t>.</w:t>
      </w:r>
      <w:r w:rsidR="00AA695F" w:rsidRPr="00387441">
        <w:rPr>
          <w:lang w:val="lv-LV"/>
        </w:rPr>
        <w:t xml:space="preserve"> gadā viens tika arī izbeigts. Lielākoties uzsāktie kriminālprocesi kvalificēti saskaņā ar </w:t>
      </w:r>
      <w:r w:rsidR="00B732A8" w:rsidRPr="00387441">
        <w:rPr>
          <w:lang w:val="lv-LV"/>
        </w:rPr>
        <w:t>Krimināllikuma 177.</w:t>
      </w:r>
      <w:r w:rsidR="006412A1" w:rsidRPr="00387441">
        <w:rPr>
          <w:lang w:val="lv-LV"/>
        </w:rPr>
        <w:t xml:space="preserve"> </w:t>
      </w:r>
      <w:r w:rsidR="00B732A8" w:rsidRPr="00387441">
        <w:rPr>
          <w:lang w:val="lv-LV"/>
        </w:rPr>
        <w:t xml:space="preserve">pantu, atsevišķi procesi kvalificēti saskaņā </w:t>
      </w:r>
      <w:r w:rsidR="009A5E96" w:rsidRPr="00387441">
        <w:rPr>
          <w:lang w:val="lv-LV"/>
        </w:rPr>
        <w:t xml:space="preserve">ar </w:t>
      </w:r>
      <w:r w:rsidR="007622CB" w:rsidRPr="00387441">
        <w:rPr>
          <w:lang w:val="lv-LV"/>
        </w:rPr>
        <w:t xml:space="preserve">Krimināllikuma </w:t>
      </w:r>
      <w:r w:rsidR="0093412B" w:rsidRPr="00387441">
        <w:rPr>
          <w:lang w:val="lv-LV"/>
        </w:rPr>
        <w:t>179. un 180.</w:t>
      </w:r>
      <w:r w:rsidR="006412A1" w:rsidRPr="00387441">
        <w:rPr>
          <w:lang w:val="lv-LV"/>
        </w:rPr>
        <w:t xml:space="preserve"> </w:t>
      </w:r>
      <w:r w:rsidR="0093412B" w:rsidRPr="00387441">
        <w:rPr>
          <w:lang w:val="lv-LV"/>
        </w:rPr>
        <w:t xml:space="preserve">pantu. </w:t>
      </w:r>
    </w:p>
    <w:p w14:paraId="25E54103" w14:textId="0ABF4754" w:rsidR="0052563B" w:rsidRPr="00387441" w:rsidRDefault="0052563B" w:rsidP="00F75B8A">
      <w:pPr>
        <w:spacing w:before="120" w:after="120" w:line="276" w:lineRule="auto"/>
        <w:rPr>
          <w:b/>
          <w:lang w:val="lv-LV"/>
        </w:rPr>
      </w:pPr>
      <w:r w:rsidRPr="00387441">
        <w:rPr>
          <w:lang w:val="lv-LV"/>
        </w:rPr>
        <w:t xml:space="preserve">Kopā </w:t>
      </w:r>
      <w:r w:rsidR="00BA4E67" w:rsidRPr="00387441">
        <w:rPr>
          <w:b/>
          <w:lang w:val="lv-LV"/>
        </w:rPr>
        <w:t>V</w:t>
      </w:r>
      <w:r w:rsidRPr="00387441">
        <w:rPr>
          <w:b/>
          <w:lang w:val="lv-LV"/>
        </w:rPr>
        <w:t>alsts policijas lietvedībā 2024.</w:t>
      </w:r>
      <w:r w:rsidR="006412A1" w:rsidRPr="00387441">
        <w:rPr>
          <w:b/>
          <w:lang w:val="lv-LV"/>
        </w:rPr>
        <w:t xml:space="preserve"> </w:t>
      </w:r>
      <w:r w:rsidRPr="00387441">
        <w:rPr>
          <w:b/>
          <w:lang w:val="lv-LV"/>
        </w:rPr>
        <w:t>gadā</w:t>
      </w:r>
      <w:r w:rsidR="001E04F4" w:rsidRPr="00387441">
        <w:rPr>
          <w:b/>
          <w:lang w:val="lv-LV"/>
        </w:rPr>
        <w:t xml:space="preserve"> atradās 58 kriminālprocesi</w:t>
      </w:r>
      <w:r w:rsidR="001E04F4" w:rsidRPr="00387441">
        <w:rPr>
          <w:lang w:val="lv-LV"/>
        </w:rPr>
        <w:t xml:space="preserve"> </w:t>
      </w:r>
      <w:r w:rsidR="00BC3CC0" w:rsidRPr="00387441">
        <w:rPr>
          <w:lang w:val="lv-LV"/>
        </w:rPr>
        <w:t xml:space="preserve">(no tiem 14 EPPO uzraudzībā) </w:t>
      </w:r>
      <w:r w:rsidR="001E04F4" w:rsidRPr="00387441">
        <w:rPr>
          <w:lang w:val="lv-LV"/>
        </w:rPr>
        <w:t xml:space="preserve">saistībā ar iespējamiem pārkāpumiem ES finanšu izlietojumā. </w:t>
      </w:r>
      <w:r w:rsidR="008574F9" w:rsidRPr="00387441">
        <w:rPr>
          <w:lang w:val="lv-LV"/>
        </w:rPr>
        <w:t xml:space="preserve">Tāpat 2024. gadā </w:t>
      </w:r>
      <w:r w:rsidR="008574F9" w:rsidRPr="00387441" w:rsidDel="004310C0">
        <w:rPr>
          <w:b/>
          <w:lang w:val="lv-LV"/>
        </w:rPr>
        <w:t>9</w:t>
      </w:r>
      <w:r w:rsidR="008574F9" w:rsidRPr="00387441">
        <w:rPr>
          <w:b/>
          <w:lang w:val="lv-LV"/>
        </w:rPr>
        <w:t xml:space="preserve"> no minētajiem procesiem tika izbeigti un </w:t>
      </w:r>
      <w:r w:rsidR="008574F9" w:rsidRPr="00387441" w:rsidDel="004310C0">
        <w:rPr>
          <w:b/>
          <w:lang w:val="lv-LV"/>
        </w:rPr>
        <w:t>4</w:t>
      </w:r>
      <w:r w:rsidR="008574F9" w:rsidRPr="00387441">
        <w:rPr>
          <w:b/>
          <w:lang w:val="lv-LV"/>
        </w:rPr>
        <w:t xml:space="preserve"> iztiesāti</w:t>
      </w:r>
      <w:r w:rsidR="009742EF" w:rsidRPr="00387441">
        <w:rPr>
          <w:lang w:val="lv-LV"/>
        </w:rPr>
        <w:t xml:space="preserve">, līdz ar to gada noslēgumā Valsts policijas lietvedībā bija </w:t>
      </w:r>
      <w:r w:rsidR="00A90C1A" w:rsidRPr="00387441">
        <w:rPr>
          <w:b/>
          <w:lang w:val="lv-LV"/>
        </w:rPr>
        <w:t>45 aktīvi kriminālprocesi</w:t>
      </w:r>
      <w:r w:rsidR="00FF3BCF" w:rsidRPr="00BE0DBF">
        <w:rPr>
          <w:rStyle w:val="FootnoteReference"/>
          <w:b/>
          <w:lang w:val="lv-LV"/>
        </w:rPr>
        <w:footnoteReference w:id="19"/>
      </w:r>
      <w:r w:rsidR="00246CE8" w:rsidRPr="00387441">
        <w:rPr>
          <w:b/>
          <w:lang w:val="lv-LV"/>
        </w:rPr>
        <w:t xml:space="preserve"> </w:t>
      </w:r>
      <w:r w:rsidR="00246CE8" w:rsidRPr="006170D0">
        <w:rPr>
          <w:lang w:val="lv-LV"/>
        </w:rPr>
        <w:t>(</w:t>
      </w:r>
      <w:r w:rsidR="00815180" w:rsidRPr="006170D0">
        <w:rPr>
          <w:lang w:val="lv-LV"/>
        </w:rPr>
        <w:t xml:space="preserve">no tiem </w:t>
      </w:r>
      <w:r w:rsidR="003B35E4" w:rsidRPr="006170D0">
        <w:rPr>
          <w:lang w:val="lv-LV"/>
        </w:rPr>
        <w:t xml:space="preserve">23 </w:t>
      </w:r>
      <w:r w:rsidR="00815180" w:rsidRPr="006170D0">
        <w:rPr>
          <w:lang w:val="lv-LV"/>
        </w:rPr>
        <w:t xml:space="preserve">EPPO </w:t>
      </w:r>
      <w:r w:rsidR="00634AE0" w:rsidRPr="006170D0">
        <w:rPr>
          <w:lang w:val="lv-LV"/>
        </w:rPr>
        <w:t>uzraudzībā</w:t>
      </w:r>
      <w:r w:rsidR="00815180" w:rsidRPr="006170D0">
        <w:rPr>
          <w:lang w:val="lv-LV"/>
        </w:rPr>
        <w:t>)</w:t>
      </w:r>
      <w:r w:rsidR="00A90C1A" w:rsidRPr="006170D0">
        <w:rPr>
          <w:b/>
          <w:lang w:val="lv-LV"/>
        </w:rPr>
        <w:t>.</w:t>
      </w:r>
      <w:r w:rsidR="00C04CE8" w:rsidRPr="00387441">
        <w:rPr>
          <w:b/>
          <w:lang w:val="lv-LV"/>
        </w:rPr>
        <w:t xml:space="preserve"> </w:t>
      </w:r>
      <w:r w:rsidR="00C04CE8" w:rsidRPr="00387441">
        <w:rPr>
          <w:lang w:val="lv-LV"/>
        </w:rPr>
        <w:t xml:space="preserve">Papildus 2024. gadā Valsts policija saņēma </w:t>
      </w:r>
      <w:r w:rsidR="00C04CE8" w:rsidRPr="00387441" w:rsidDel="004310C0">
        <w:rPr>
          <w:b/>
          <w:lang w:val="lv-LV"/>
        </w:rPr>
        <w:t>2</w:t>
      </w:r>
      <w:r w:rsidR="00C04CE8" w:rsidRPr="00387441">
        <w:rPr>
          <w:b/>
          <w:lang w:val="lv-LV"/>
        </w:rPr>
        <w:t xml:space="preserve"> iesniegumus</w:t>
      </w:r>
      <w:r w:rsidR="00C04CE8" w:rsidRPr="00387441">
        <w:rPr>
          <w:lang w:val="lv-LV"/>
        </w:rPr>
        <w:t xml:space="preserve">, kuros uzsāka </w:t>
      </w:r>
      <w:proofErr w:type="spellStart"/>
      <w:r w:rsidR="00C04CE8" w:rsidRPr="00387441">
        <w:rPr>
          <w:lang w:val="lv-LV"/>
        </w:rPr>
        <w:t>resorisko</w:t>
      </w:r>
      <w:proofErr w:type="spellEnd"/>
      <w:r w:rsidR="00C04CE8" w:rsidRPr="00387441">
        <w:rPr>
          <w:lang w:val="lv-LV"/>
        </w:rPr>
        <w:t xml:space="preserve"> pārbaudi</w:t>
      </w:r>
      <w:r w:rsidR="00D82364" w:rsidRPr="00387441">
        <w:rPr>
          <w:lang w:val="lv-LV"/>
        </w:rPr>
        <w:t xml:space="preserve"> un izvērtēšanas rezultātā pieņēma </w:t>
      </w:r>
      <w:r w:rsidR="00D82364" w:rsidRPr="00387441">
        <w:rPr>
          <w:b/>
          <w:lang w:val="lv-LV"/>
        </w:rPr>
        <w:t xml:space="preserve">lēmumu </w:t>
      </w:r>
      <w:r w:rsidR="003208C4" w:rsidRPr="00387441">
        <w:rPr>
          <w:b/>
          <w:lang w:val="lv-LV"/>
        </w:rPr>
        <w:t>atteikt uzsākt kriminālprocesu.</w:t>
      </w:r>
    </w:p>
    <w:p w14:paraId="11C626D1" w14:textId="1AA9A368" w:rsidR="002D5A96" w:rsidRPr="00387441" w:rsidRDefault="00C65DA9" w:rsidP="00F75B8A">
      <w:pPr>
        <w:spacing w:before="120"/>
        <w:rPr>
          <w:lang w:val="lv-LV"/>
        </w:rPr>
      </w:pPr>
      <w:r w:rsidRPr="00387441">
        <w:rPr>
          <w:b/>
          <w:lang w:val="lv-LV"/>
        </w:rPr>
        <w:t xml:space="preserve">KNAB </w:t>
      </w:r>
      <w:r w:rsidR="00697484" w:rsidRPr="00387441">
        <w:rPr>
          <w:b/>
          <w:lang w:val="lv-LV"/>
        </w:rPr>
        <w:t>2024.</w:t>
      </w:r>
      <w:r w:rsidR="00C87289" w:rsidRPr="00387441">
        <w:rPr>
          <w:b/>
          <w:lang w:val="lv-LV"/>
        </w:rPr>
        <w:t xml:space="preserve"> </w:t>
      </w:r>
      <w:r w:rsidR="00697484" w:rsidRPr="00387441">
        <w:rPr>
          <w:b/>
          <w:lang w:val="lv-LV"/>
        </w:rPr>
        <w:t xml:space="preserve">gadā uzsāka </w:t>
      </w:r>
      <w:r w:rsidR="00697484" w:rsidRPr="00387441" w:rsidDel="00C87289">
        <w:rPr>
          <w:b/>
          <w:lang w:val="lv-LV"/>
        </w:rPr>
        <w:t>2</w:t>
      </w:r>
      <w:r w:rsidR="00697484" w:rsidRPr="00387441">
        <w:rPr>
          <w:b/>
          <w:lang w:val="lv-LV"/>
        </w:rPr>
        <w:t xml:space="preserve"> jaunus kriminālproces</w:t>
      </w:r>
      <w:r w:rsidR="00071D33" w:rsidRPr="00387441">
        <w:rPr>
          <w:b/>
          <w:lang w:val="lv-LV"/>
        </w:rPr>
        <w:t>us</w:t>
      </w:r>
      <w:r w:rsidR="00071D33" w:rsidRPr="00387441">
        <w:rPr>
          <w:lang w:val="lv-LV"/>
        </w:rPr>
        <w:t xml:space="preserve">, savukārt </w:t>
      </w:r>
      <w:r w:rsidR="00071D33" w:rsidRPr="00387441">
        <w:rPr>
          <w:b/>
          <w:lang w:val="lv-LV"/>
        </w:rPr>
        <w:t>kopā KNAB lietvedībā atradās 7</w:t>
      </w:r>
      <w:r w:rsidR="000142E8" w:rsidRPr="00BE0DBF">
        <w:rPr>
          <w:rStyle w:val="FootnoteReference"/>
          <w:b/>
          <w:lang w:val="lv-LV"/>
        </w:rPr>
        <w:footnoteReference w:id="20"/>
      </w:r>
      <w:r w:rsidR="00071D33" w:rsidRPr="00387441">
        <w:rPr>
          <w:b/>
          <w:lang w:val="lv-LV"/>
        </w:rPr>
        <w:t xml:space="preserve"> kriminālprocesi</w:t>
      </w:r>
      <w:r w:rsidR="00071D33" w:rsidRPr="00387441">
        <w:rPr>
          <w:lang w:val="lv-LV"/>
        </w:rPr>
        <w:t xml:space="preserve"> saistībā ar iespējamiem pārkāpumiem ES finanšu izlietojumā</w:t>
      </w:r>
      <w:r w:rsidR="00D56CC3" w:rsidRPr="00387441">
        <w:rPr>
          <w:lang w:val="lv-LV"/>
        </w:rPr>
        <w:t xml:space="preserve">. </w:t>
      </w:r>
      <w:r w:rsidR="00D56CC3" w:rsidRPr="00387441">
        <w:rPr>
          <w:b/>
          <w:lang w:val="lv-LV"/>
        </w:rPr>
        <w:t xml:space="preserve">Visos kriminālprocesos KNAB izmeklēšanu veic sadarbībā ar EPPO </w:t>
      </w:r>
      <w:r w:rsidR="00545005" w:rsidRPr="00387441">
        <w:rPr>
          <w:lang w:val="lv-LV"/>
        </w:rPr>
        <w:t xml:space="preserve">(gan </w:t>
      </w:r>
      <w:r w:rsidR="00D56CC3" w:rsidRPr="00387441">
        <w:rPr>
          <w:lang w:val="lv-LV"/>
        </w:rPr>
        <w:t xml:space="preserve">kā procesa virzītāji, </w:t>
      </w:r>
      <w:r w:rsidR="00545005" w:rsidRPr="00387441">
        <w:rPr>
          <w:lang w:val="lv-LV"/>
        </w:rPr>
        <w:t>gan</w:t>
      </w:r>
      <w:r w:rsidR="00D56CC3" w:rsidRPr="00387441">
        <w:rPr>
          <w:lang w:val="lv-LV"/>
        </w:rPr>
        <w:t xml:space="preserve"> EPPO grupas</w:t>
      </w:r>
      <w:r w:rsidR="008D6738" w:rsidRPr="00387441">
        <w:rPr>
          <w:lang w:val="lv-LV"/>
        </w:rPr>
        <w:t xml:space="preserve"> dalībnieki</w:t>
      </w:r>
      <w:r w:rsidR="00545005" w:rsidRPr="00387441">
        <w:rPr>
          <w:lang w:val="lv-LV"/>
        </w:rPr>
        <w:t>)</w:t>
      </w:r>
      <w:r w:rsidR="008D6738" w:rsidRPr="00387441">
        <w:rPr>
          <w:lang w:val="lv-LV"/>
        </w:rPr>
        <w:t>. 6 no procesiem ir aktīvi, 1 – nosūtīts kriminā</w:t>
      </w:r>
      <w:r w:rsidR="00442D8F" w:rsidRPr="00387441">
        <w:rPr>
          <w:lang w:val="lv-LV"/>
        </w:rPr>
        <w:t>l</w:t>
      </w:r>
      <w:r w:rsidR="008D6738" w:rsidRPr="00387441">
        <w:rPr>
          <w:lang w:val="lv-LV"/>
        </w:rPr>
        <w:t>vajāšanas uzsākšanai.</w:t>
      </w:r>
    </w:p>
    <w:p w14:paraId="37598FED" w14:textId="79D00722" w:rsidR="00865398" w:rsidRPr="00865398" w:rsidRDefault="002C52CF" w:rsidP="00865398">
      <w:pPr>
        <w:spacing w:before="120"/>
        <w:rPr>
          <w:lang w:val="lv-LV"/>
        </w:rPr>
      </w:pPr>
      <w:r w:rsidRPr="00522C2A">
        <w:rPr>
          <w:b/>
          <w:bCs/>
          <w:lang w:val="lv-LV"/>
        </w:rPr>
        <w:t xml:space="preserve">Konkurences padomē </w:t>
      </w:r>
      <w:r w:rsidRPr="00522C2A">
        <w:rPr>
          <w:lang w:val="lv-LV"/>
        </w:rPr>
        <w:t xml:space="preserve">2024. gadā tika saņemts viens iesniegums par iespējamu Konkurences likuma 11. panta pirmās daļas pārkāpumu iepirkumos ar ES struktūrfondu finansējumu, kurš šobrīd atrodas padziļinātā izpētē. Papildus 2024. gadā Konkurences padomē tika ierosināta viena pārkāpuma </w:t>
      </w:r>
      <w:r w:rsidRPr="00522C2A">
        <w:rPr>
          <w:lang w:val="lv-LV"/>
        </w:rPr>
        <w:lastRenderedPageBreak/>
        <w:t>izpētes lieta saistībā ar jau 2023. gadā uzsāktu izpēti par iespējamu Konkurences likuma 11. panta pirmās daļas pārkāpumu vairākos iepirkumos, no kuriem dažos piesaistīts ES struktūrfondu finansējums.</w:t>
      </w:r>
    </w:p>
    <w:p w14:paraId="1ECAA4AD" w14:textId="721937F0" w:rsidR="00DD38A3" w:rsidRPr="00387441" w:rsidRDefault="00536195" w:rsidP="00F75B8A">
      <w:pPr>
        <w:pStyle w:val="Heading3"/>
      </w:pPr>
      <w:bookmarkStart w:id="99" w:name="_Toc192753116"/>
      <w:r w:rsidRPr="00387441">
        <w:t>C</w:t>
      </w:r>
      <w:r w:rsidR="00DD38A3" w:rsidRPr="00387441">
        <w:t xml:space="preserve">.2. Sadarbība ar OLAF </w:t>
      </w:r>
      <w:r w:rsidR="004F454E" w:rsidRPr="00387441">
        <w:t>un citām Eiropas institūcijām</w:t>
      </w:r>
      <w:bookmarkEnd w:id="99"/>
    </w:p>
    <w:p w14:paraId="62DB327D" w14:textId="751FEF3D" w:rsidR="0091550A" w:rsidRPr="00387441" w:rsidRDefault="0091550A" w:rsidP="00F75B8A">
      <w:pPr>
        <w:spacing w:before="120" w:after="120" w:line="276" w:lineRule="auto"/>
        <w:rPr>
          <w:lang w:val="lv-LV"/>
        </w:rPr>
      </w:pPr>
      <w:r w:rsidRPr="00387441">
        <w:rPr>
          <w:lang w:val="lv-LV"/>
        </w:rPr>
        <w:t>Sadarbības uzlabošana</w:t>
      </w:r>
      <w:r w:rsidR="005D59DD" w:rsidRPr="00387441">
        <w:rPr>
          <w:lang w:val="lv-LV"/>
        </w:rPr>
        <w:t xml:space="preserve"> ir nepārtraukts process un ņemot vērā gūtās atziņ</w:t>
      </w:r>
      <w:r w:rsidR="00E83234" w:rsidRPr="00387441">
        <w:rPr>
          <w:lang w:val="lv-LV"/>
        </w:rPr>
        <w:t>a</w:t>
      </w:r>
      <w:r w:rsidR="005D59DD" w:rsidRPr="00387441">
        <w:rPr>
          <w:lang w:val="lv-LV"/>
        </w:rPr>
        <w:t xml:space="preserve">s, </w:t>
      </w:r>
      <w:r w:rsidR="005D59DD" w:rsidRPr="00387441">
        <w:rPr>
          <w:b/>
          <w:lang w:val="lv-LV"/>
        </w:rPr>
        <w:t xml:space="preserve">2024. gadā tika aktualizēta AFCOS metodika </w:t>
      </w:r>
      <w:r w:rsidR="00AD19F6" w:rsidRPr="00387441">
        <w:rPr>
          <w:b/>
          <w:lang w:val="lv-LV"/>
        </w:rPr>
        <w:t>par kārtību, kādā notiek AFCOS sadarbība un informācijas apmaiņa</w:t>
      </w:r>
      <w:r w:rsidR="00AD19F6" w:rsidRPr="00387441">
        <w:rPr>
          <w:lang w:val="lv-LV"/>
        </w:rPr>
        <w:t xml:space="preserve"> ar kompetentajām institūcijām ES finanšu interešu aizsardzības jomā</w:t>
      </w:r>
      <w:r w:rsidR="00BF0241" w:rsidRPr="00BE0DBF">
        <w:rPr>
          <w:rStyle w:val="FootnoteReference"/>
          <w:lang w:val="lv-LV"/>
        </w:rPr>
        <w:footnoteReference w:id="21"/>
      </w:r>
      <w:r w:rsidR="006F4B8E" w:rsidRPr="00387441">
        <w:rPr>
          <w:lang w:val="lv-LV"/>
        </w:rPr>
        <w:t>.</w:t>
      </w:r>
    </w:p>
    <w:p w14:paraId="42C76BF4" w14:textId="248857C9" w:rsidR="006F4B8E" w:rsidRPr="00387441" w:rsidRDefault="00316517" w:rsidP="00F75B8A">
      <w:pPr>
        <w:spacing w:before="120" w:after="120" w:line="276" w:lineRule="auto"/>
        <w:rPr>
          <w:lang w:val="lv-LV"/>
        </w:rPr>
      </w:pPr>
      <w:r w:rsidRPr="00387441">
        <w:rPr>
          <w:lang w:val="lv-LV"/>
        </w:rPr>
        <w:t>2024. gad</w:t>
      </w:r>
      <w:r w:rsidR="00AB22C6" w:rsidRPr="00387441">
        <w:rPr>
          <w:lang w:val="lv-LV"/>
        </w:rPr>
        <w:t xml:space="preserve">ā </w:t>
      </w:r>
      <w:r w:rsidRPr="00387441">
        <w:rPr>
          <w:lang w:val="lv-LV"/>
        </w:rPr>
        <w:t xml:space="preserve">tika saņemti </w:t>
      </w:r>
      <w:r w:rsidRPr="00387441" w:rsidDel="00E83234">
        <w:rPr>
          <w:b/>
          <w:lang w:val="lv-LV"/>
        </w:rPr>
        <w:t>2</w:t>
      </w:r>
      <w:r w:rsidRPr="00387441">
        <w:rPr>
          <w:b/>
          <w:lang w:val="lv-LV"/>
        </w:rPr>
        <w:t xml:space="preserve"> OLAF pieprasījumi ar lūgumu izgūt </w:t>
      </w:r>
      <w:r w:rsidR="00BC4811" w:rsidRPr="00387441">
        <w:rPr>
          <w:b/>
          <w:lang w:val="lv-LV"/>
        </w:rPr>
        <w:t>kredītiestāžu rīcībā esošās neizpaužamās ziņas</w:t>
      </w:r>
      <w:r w:rsidR="00BC4811" w:rsidRPr="00387441">
        <w:rPr>
          <w:lang w:val="lv-LV"/>
        </w:rPr>
        <w:t xml:space="preserve">. Minētie pieprasījumi tika izpildīti sekmīgi un </w:t>
      </w:r>
      <w:r w:rsidR="001A5531" w:rsidRPr="00387441">
        <w:rPr>
          <w:lang w:val="lv-LV"/>
        </w:rPr>
        <w:t>bez liekas kavēšanās</w:t>
      </w:r>
      <w:r w:rsidR="00974886" w:rsidRPr="00387441">
        <w:rPr>
          <w:lang w:val="lv-LV"/>
        </w:rPr>
        <w:t xml:space="preserve">, apliecinot </w:t>
      </w:r>
      <w:r w:rsidR="00287350" w:rsidRPr="00387441">
        <w:rPr>
          <w:lang w:val="lv-LV"/>
        </w:rPr>
        <w:t xml:space="preserve">OLAF atbalsta likumā iekļautā </w:t>
      </w:r>
      <w:r w:rsidR="00974886" w:rsidRPr="00387441">
        <w:rPr>
          <w:lang w:val="lv-LV"/>
        </w:rPr>
        <w:t>regulējuma efektivitāti.</w:t>
      </w:r>
    </w:p>
    <w:p w14:paraId="4BEA3E03" w14:textId="6B3501EE" w:rsidR="00766B83" w:rsidRPr="00387441" w:rsidRDefault="00766B83" w:rsidP="00F75B8A">
      <w:pPr>
        <w:spacing w:after="120" w:line="276" w:lineRule="auto"/>
        <w:rPr>
          <w:lang w:val="lv-LV"/>
        </w:rPr>
      </w:pPr>
      <w:r w:rsidRPr="00387441">
        <w:rPr>
          <w:lang w:val="lv-LV"/>
        </w:rPr>
        <w:t>202</w:t>
      </w:r>
      <w:r w:rsidR="006F4B8E" w:rsidRPr="00387441">
        <w:rPr>
          <w:lang w:val="lv-LV"/>
        </w:rPr>
        <w:t>4</w:t>
      </w:r>
      <w:r w:rsidRPr="00387441">
        <w:rPr>
          <w:lang w:val="lv-LV"/>
        </w:rPr>
        <w:t>.</w:t>
      </w:r>
      <w:r w:rsidR="00835891" w:rsidRPr="00387441">
        <w:rPr>
          <w:lang w:val="lv-LV"/>
        </w:rPr>
        <w:t xml:space="preserve"> </w:t>
      </w:r>
      <w:r w:rsidRPr="00387441">
        <w:rPr>
          <w:lang w:val="lv-LV"/>
        </w:rPr>
        <w:t xml:space="preserve">gadā tika veikti dažādi pasākumi, sadarbojoties gan ar OLAF, gan EPPO, gan tiesībsargājošām un ES fondus administrējošām iestādēm, sīkāk skatīt </w:t>
      </w:r>
      <w:r w:rsidR="00967BFC" w:rsidRPr="00387441">
        <w:rPr>
          <w:lang w:val="lv-LV"/>
        </w:rPr>
        <w:t>attēlā Nr.1</w:t>
      </w:r>
      <w:r w:rsidR="0046401F" w:rsidRPr="00387441">
        <w:rPr>
          <w:lang w:val="lv-LV"/>
        </w:rPr>
        <w:t>6</w:t>
      </w:r>
      <w:r w:rsidRPr="00387441">
        <w:rPr>
          <w:lang w:val="lv-LV"/>
        </w:rPr>
        <w:t xml:space="preserve"> sniegto apkopojumu.   </w:t>
      </w:r>
    </w:p>
    <w:p w14:paraId="7459D878" w14:textId="09CAF06B" w:rsidR="00766B83" w:rsidRPr="00387441" w:rsidRDefault="008E7F4B" w:rsidP="000E4D87">
      <w:pPr>
        <w:pStyle w:val="TabulasAttli"/>
        <w:spacing w:after="0"/>
        <w:ind w:firstLine="5103"/>
        <w:rPr>
          <w:sz w:val="20"/>
          <w:szCs w:val="20"/>
        </w:rPr>
      </w:pPr>
      <w:r w:rsidRPr="00387441">
        <w:rPr>
          <w:b/>
          <w:bCs/>
          <w:sz w:val="20"/>
          <w:szCs w:val="20"/>
        </w:rPr>
        <w:t>Attēls Nr.1</w:t>
      </w:r>
      <w:r w:rsidR="0046401F" w:rsidRPr="00387441">
        <w:rPr>
          <w:b/>
          <w:bCs/>
          <w:sz w:val="20"/>
          <w:szCs w:val="20"/>
        </w:rPr>
        <w:t>6</w:t>
      </w:r>
      <w:r w:rsidR="00766B83" w:rsidRPr="00387441">
        <w:rPr>
          <w:sz w:val="20"/>
          <w:szCs w:val="20"/>
        </w:rPr>
        <w:t xml:space="preserve"> Sadarbība ar OLAF un EPPO</w:t>
      </w:r>
      <w:r w:rsidRPr="00387441">
        <w:rPr>
          <w:sz w:val="20"/>
          <w:szCs w:val="20"/>
        </w:rPr>
        <w:t>, kā arī AFCOS saņemto signālu skaits</w:t>
      </w:r>
      <w:r w:rsidR="00766B83" w:rsidRPr="00387441">
        <w:rPr>
          <w:sz w:val="20"/>
          <w:szCs w:val="20"/>
        </w:rPr>
        <w:t xml:space="preserve"> 202</w:t>
      </w:r>
      <w:r w:rsidR="006F4B8E" w:rsidRPr="00387441">
        <w:rPr>
          <w:sz w:val="20"/>
          <w:szCs w:val="20"/>
        </w:rPr>
        <w:t>4</w:t>
      </w:r>
      <w:r w:rsidR="00766B83" w:rsidRPr="00387441">
        <w:rPr>
          <w:sz w:val="20"/>
          <w:szCs w:val="20"/>
        </w:rPr>
        <w:t>. gadā</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5241"/>
        <w:gridCol w:w="3971"/>
      </w:tblGrid>
      <w:tr w:rsidR="00766B83" w:rsidRPr="00387441" w14:paraId="50C5864F" w14:textId="77777777" w:rsidTr="26F39E02">
        <w:trPr>
          <w:trHeight w:val="334"/>
        </w:trPr>
        <w:tc>
          <w:tcPr>
            <w:tcW w:w="1583" w:type="dxa"/>
            <w:shd w:val="clear" w:color="auto" w:fill="002060"/>
            <w:vAlign w:val="center"/>
          </w:tcPr>
          <w:p w14:paraId="35D27C90" w14:textId="77777777" w:rsidR="00766B83" w:rsidRPr="00BE0DBF" w:rsidRDefault="00766B83" w:rsidP="00510C90">
            <w:pPr>
              <w:spacing w:after="0" w:line="276" w:lineRule="auto"/>
              <w:ind w:firstLine="0"/>
              <w:jc w:val="center"/>
              <w:rPr>
                <w:rFonts w:eastAsia="Times New Roman" w:cs="Times New Roman"/>
                <w:b/>
                <w:sz w:val="21"/>
                <w:szCs w:val="21"/>
                <w:lang w:val="lv-LV"/>
              </w:rPr>
            </w:pPr>
            <w:r w:rsidRPr="00BE0DBF">
              <w:rPr>
                <w:rFonts w:eastAsia="Times New Roman" w:cs="Times New Roman"/>
                <w:b/>
                <w:sz w:val="21"/>
                <w:szCs w:val="21"/>
                <w:lang w:val="lv-LV"/>
              </w:rPr>
              <w:t>Datums</w:t>
            </w:r>
          </w:p>
        </w:tc>
        <w:tc>
          <w:tcPr>
            <w:tcW w:w="5241" w:type="dxa"/>
            <w:shd w:val="clear" w:color="auto" w:fill="002060"/>
            <w:vAlign w:val="center"/>
          </w:tcPr>
          <w:p w14:paraId="67017BA6" w14:textId="77777777" w:rsidR="00766B83" w:rsidRPr="00BE0DBF" w:rsidRDefault="00766B83" w:rsidP="00510C90">
            <w:pPr>
              <w:spacing w:after="0" w:line="276" w:lineRule="auto"/>
              <w:ind w:firstLine="0"/>
              <w:jc w:val="center"/>
              <w:rPr>
                <w:rFonts w:eastAsia="Times New Roman" w:cs="Times New Roman"/>
                <w:b/>
                <w:sz w:val="21"/>
                <w:szCs w:val="21"/>
                <w:lang w:val="lv-LV"/>
              </w:rPr>
            </w:pPr>
            <w:r w:rsidRPr="00BE0DBF">
              <w:rPr>
                <w:rFonts w:eastAsia="Times New Roman" w:cs="Times New Roman"/>
                <w:b/>
                <w:sz w:val="21"/>
                <w:szCs w:val="21"/>
                <w:lang w:val="lv-LV"/>
              </w:rPr>
              <w:t>Veids</w:t>
            </w:r>
          </w:p>
        </w:tc>
        <w:tc>
          <w:tcPr>
            <w:tcW w:w="3971" w:type="dxa"/>
            <w:shd w:val="clear" w:color="auto" w:fill="002060"/>
            <w:vAlign w:val="center"/>
          </w:tcPr>
          <w:p w14:paraId="3EF17941" w14:textId="77777777" w:rsidR="00766B83" w:rsidRPr="00BE0DBF" w:rsidRDefault="00766B83" w:rsidP="00510C90">
            <w:pPr>
              <w:spacing w:after="0" w:line="276" w:lineRule="auto"/>
              <w:ind w:firstLine="0"/>
              <w:jc w:val="center"/>
              <w:rPr>
                <w:rFonts w:eastAsia="Times New Roman" w:cs="Times New Roman"/>
                <w:b/>
                <w:sz w:val="21"/>
                <w:szCs w:val="21"/>
                <w:lang w:val="lv-LV"/>
              </w:rPr>
            </w:pPr>
            <w:r w:rsidRPr="00BE0DBF">
              <w:rPr>
                <w:rFonts w:eastAsia="Times New Roman" w:cs="Times New Roman"/>
                <w:b/>
                <w:sz w:val="21"/>
                <w:szCs w:val="21"/>
                <w:lang w:val="lv-LV"/>
              </w:rPr>
              <w:t>Iesaistītās institūcijas</w:t>
            </w:r>
          </w:p>
        </w:tc>
      </w:tr>
      <w:tr w:rsidR="00766B83" w:rsidRPr="00387441" w14:paraId="1619A925" w14:textId="77777777" w:rsidTr="26F39E02">
        <w:trPr>
          <w:trHeight w:val="241"/>
        </w:trPr>
        <w:tc>
          <w:tcPr>
            <w:tcW w:w="1583" w:type="dxa"/>
            <w:vAlign w:val="center"/>
          </w:tcPr>
          <w:p w14:paraId="44BE5A6B" w14:textId="3DF22514" w:rsidR="00766B83" w:rsidRPr="00BE0DBF" w:rsidRDefault="00766B83" w:rsidP="00510C90">
            <w:pPr>
              <w:spacing w:after="60" w:line="276" w:lineRule="auto"/>
              <w:ind w:firstLine="0"/>
              <w:jc w:val="center"/>
              <w:rPr>
                <w:rFonts w:eastAsia="Calibri" w:cs="Times New Roman"/>
                <w:sz w:val="22"/>
                <w:szCs w:val="22"/>
                <w:lang w:val="lv-LV"/>
              </w:rPr>
            </w:pPr>
            <w:r w:rsidRPr="00BE0DBF">
              <w:rPr>
                <w:rFonts w:eastAsia="Calibri" w:cs="Times New Roman"/>
                <w:sz w:val="22"/>
                <w:szCs w:val="22"/>
                <w:lang w:val="lv-LV"/>
              </w:rPr>
              <w:t>01.01.202</w:t>
            </w:r>
            <w:r w:rsidR="006F4B8E" w:rsidRPr="00BE0DBF">
              <w:rPr>
                <w:rFonts w:eastAsia="Calibri" w:cs="Times New Roman"/>
                <w:sz w:val="22"/>
                <w:szCs w:val="22"/>
                <w:lang w:val="lv-LV"/>
              </w:rPr>
              <w:t>4</w:t>
            </w:r>
            <w:r w:rsidRPr="00BE0DBF">
              <w:rPr>
                <w:rFonts w:eastAsia="Calibri" w:cs="Times New Roman"/>
                <w:sz w:val="22"/>
                <w:szCs w:val="22"/>
                <w:lang w:val="lv-LV"/>
              </w:rPr>
              <w:t>.-31.12.202</w:t>
            </w:r>
            <w:r w:rsidR="006F4B8E" w:rsidRPr="00BE0DBF">
              <w:rPr>
                <w:rFonts w:eastAsia="Calibri" w:cs="Times New Roman"/>
                <w:sz w:val="22"/>
                <w:szCs w:val="22"/>
                <w:lang w:val="lv-LV"/>
              </w:rPr>
              <w:t>4</w:t>
            </w:r>
            <w:r w:rsidRPr="00BE0DBF">
              <w:rPr>
                <w:rFonts w:eastAsia="Calibri" w:cs="Times New Roman"/>
                <w:sz w:val="22"/>
                <w:szCs w:val="22"/>
                <w:lang w:val="lv-LV"/>
              </w:rPr>
              <w:t>.</w:t>
            </w:r>
          </w:p>
        </w:tc>
        <w:tc>
          <w:tcPr>
            <w:tcW w:w="5241" w:type="dxa"/>
            <w:vAlign w:val="center"/>
          </w:tcPr>
          <w:p w14:paraId="559F8CEB" w14:textId="3E0B7AFB" w:rsidR="00766B83" w:rsidRPr="00BE0DBF" w:rsidRDefault="00C26BC8" w:rsidP="00510C90">
            <w:pPr>
              <w:spacing w:after="60" w:line="276" w:lineRule="auto"/>
              <w:ind w:firstLine="0"/>
              <w:jc w:val="center"/>
              <w:rPr>
                <w:rFonts w:eastAsia="Times New Roman" w:cs="Times New Roman"/>
                <w:sz w:val="22"/>
                <w:szCs w:val="22"/>
                <w:lang w:val="lv-LV"/>
              </w:rPr>
            </w:pPr>
            <w:r w:rsidRPr="00BE0DBF">
              <w:rPr>
                <w:rFonts w:eastAsia="Times New Roman" w:cs="Times New Roman"/>
                <w:sz w:val="22"/>
                <w:szCs w:val="22"/>
                <w:lang w:val="lv-LV"/>
              </w:rPr>
              <w:t>S</w:t>
            </w:r>
            <w:r w:rsidR="00766B83" w:rsidRPr="00BE0DBF">
              <w:rPr>
                <w:rFonts w:eastAsia="Times New Roman" w:cs="Times New Roman"/>
                <w:sz w:val="22"/>
                <w:szCs w:val="22"/>
                <w:lang w:val="lv-LV"/>
              </w:rPr>
              <w:t xml:space="preserve">niegts atbalsts </w:t>
            </w:r>
            <w:r w:rsidR="009064C6" w:rsidRPr="00BE0DBF">
              <w:rPr>
                <w:rFonts w:eastAsia="Times New Roman" w:cs="Times New Roman"/>
                <w:sz w:val="22"/>
                <w:szCs w:val="22"/>
                <w:lang w:val="lv-LV"/>
              </w:rPr>
              <w:t xml:space="preserve">vai organizēta informācijas koordinēšana </w:t>
            </w:r>
            <w:r w:rsidR="00766B83" w:rsidRPr="00BE0DBF">
              <w:rPr>
                <w:rFonts w:eastAsia="Times New Roman" w:cs="Times New Roman"/>
                <w:sz w:val="22"/>
                <w:szCs w:val="22"/>
                <w:lang w:val="lv-LV"/>
              </w:rPr>
              <w:t xml:space="preserve">8 </w:t>
            </w:r>
            <w:r w:rsidRPr="00BE0DBF">
              <w:rPr>
                <w:rFonts w:eastAsia="Times New Roman" w:cs="Times New Roman"/>
                <w:sz w:val="22"/>
                <w:szCs w:val="22"/>
                <w:lang w:val="lv-LV"/>
              </w:rPr>
              <w:t xml:space="preserve">OLAF pieprasījumos </w:t>
            </w:r>
            <w:r w:rsidR="00766B83" w:rsidRPr="00BE0DBF">
              <w:rPr>
                <w:rFonts w:eastAsia="Times New Roman" w:cs="Times New Roman"/>
                <w:sz w:val="22"/>
                <w:szCs w:val="22"/>
                <w:lang w:val="lv-LV"/>
              </w:rPr>
              <w:t>(</w:t>
            </w:r>
            <w:r w:rsidR="00FC0EBF" w:rsidRPr="00BE0DBF">
              <w:rPr>
                <w:rFonts w:eastAsia="Times New Roman" w:cs="Times New Roman"/>
                <w:sz w:val="22"/>
                <w:szCs w:val="22"/>
                <w:lang w:val="lv-LV"/>
              </w:rPr>
              <w:t>2</w:t>
            </w:r>
            <w:r w:rsidR="00766B83" w:rsidRPr="00BE0DBF">
              <w:rPr>
                <w:rFonts w:eastAsia="Times New Roman" w:cs="Times New Roman"/>
                <w:sz w:val="22"/>
                <w:szCs w:val="22"/>
                <w:lang w:val="lv-LV"/>
              </w:rPr>
              <w:t xml:space="preserve"> gadījumos </w:t>
            </w:r>
            <w:r w:rsidR="00FC0EBF" w:rsidRPr="00BE0DBF">
              <w:rPr>
                <w:rFonts w:eastAsia="Times New Roman" w:cs="Times New Roman"/>
                <w:sz w:val="22"/>
                <w:szCs w:val="22"/>
                <w:lang w:val="lv-LV"/>
              </w:rPr>
              <w:t>izgūtas kredītiestāžu rīcībā esošās neizpaužamās ziņas</w:t>
            </w:r>
            <w:r w:rsidR="00766B83" w:rsidRPr="00BE0DBF">
              <w:rPr>
                <w:rFonts w:eastAsia="Times New Roman" w:cs="Times New Roman"/>
                <w:sz w:val="22"/>
                <w:szCs w:val="22"/>
                <w:lang w:val="lv-LV"/>
              </w:rPr>
              <w:t>)</w:t>
            </w:r>
            <w:r w:rsidR="009B321B" w:rsidRPr="00BE0DBF">
              <w:rPr>
                <w:rFonts w:eastAsia="Times New Roman" w:cs="Times New Roman"/>
                <w:sz w:val="22"/>
                <w:szCs w:val="22"/>
                <w:lang w:val="lv-LV"/>
              </w:rPr>
              <w:t>,</w:t>
            </w:r>
            <w:r w:rsidR="000B18D1" w:rsidRPr="00BE0DBF">
              <w:rPr>
                <w:rFonts w:eastAsia="Times New Roman" w:cs="Times New Roman"/>
                <w:sz w:val="22"/>
                <w:szCs w:val="22"/>
                <w:lang w:val="lv-LV"/>
              </w:rPr>
              <w:t xml:space="preserve"> </w:t>
            </w:r>
            <w:r w:rsidR="009B321B" w:rsidRPr="00BE0DBF">
              <w:rPr>
                <w:rFonts w:eastAsia="Times New Roman" w:cs="Times New Roman"/>
                <w:sz w:val="22"/>
                <w:szCs w:val="22"/>
                <w:lang w:val="lv-LV"/>
              </w:rPr>
              <w:t xml:space="preserve">kā arī </w:t>
            </w:r>
            <w:r w:rsidR="00C7145B" w:rsidRPr="00BE0DBF">
              <w:rPr>
                <w:rFonts w:eastAsia="Times New Roman" w:cs="Times New Roman"/>
                <w:sz w:val="22"/>
                <w:szCs w:val="22"/>
                <w:lang w:val="lv-LV"/>
              </w:rPr>
              <w:t xml:space="preserve"> 3 </w:t>
            </w:r>
            <w:r w:rsidR="009B321B" w:rsidRPr="00BE0DBF">
              <w:rPr>
                <w:rFonts w:eastAsia="Times New Roman" w:cs="Times New Roman"/>
                <w:sz w:val="22"/>
                <w:szCs w:val="22"/>
                <w:lang w:val="lv-LV"/>
              </w:rPr>
              <w:t xml:space="preserve">gadījumos AFCOS piedalījies </w:t>
            </w:r>
            <w:r w:rsidR="00C7145B" w:rsidRPr="00BE0DBF">
              <w:rPr>
                <w:rFonts w:eastAsia="Times New Roman" w:cs="Times New Roman"/>
                <w:sz w:val="22"/>
                <w:szCs w:val="22"/>
                <w:lang w:val="lv-LV"/>
              </w:rPr>
              <w:t xml:space="preserve">DG REGIO </w:t>
            </w:r>
            <w:r w:rsidR="009B321B" w:rsidRPr="00BE0DBF">
              <w:rPr>
                <w:rFonts w:eastAsia="Times New Roman" w:cs="Times New Roman"/>
                <w:sz w:val="22"/>
                <w:szCs w:val="22"/>
                <w:lang w:val="lv-LV"/>
              </w:rPr>
              <w:t xml:space="preserve">informācijas pieprasījumu </w:t>
            </w:r>
            <w:r w:rsidRPr="00BE0DBF">
              <w:rPr>
                <w:rFonts w:eastAsia="Times New Roman" w:cs="Times New Roman"/>
                <w:sz w:val="22"/>
                <w:szCs w:val="22"/>
                <w:lang w:val="lv-LV"/>
              </w:rPr>
              <w:t>apstrādē</w:t>
            </w:r>
          </w:p>
        </w:tc>
        <w:tc>
          <w:tcPr>
            <w:tcW w:w="3971" w:type="dxa"/>
            <w:vAlign w:val="center"/>
          </w:tcPr>
          <w:p w14:paraId="64EDE93D" w14:textId="125A6D54" w:rsidR="00766B83" w:rsidRPr="00387441" w:rsidRDefault="00766B83" w:rsidP="26F39E02">
            <w:pPr>
              <w:spacing w:after="60" w:line="276" w:lineRule="auto"/>
              <w:ind w:firstLine="0"/>
              <w:jc w:val="center"/>
              <w:rPr>
                <w:rFonts w:eastAsia="Times New Roman" w:cs="Times New Roman"/>
                <w:sz w:val="22"/>
                <w:szCs w:val="22"/>
                <w:lang w:val="lv-LV"/>
              </w:rPr>
            </w:pPr>
            <w:r w:rsidRPr="00387441">
              <w:rPr>
                <w:rFonts w:eastAsia="Times New Roman" w:cs="Times New Roman"/>
                <w:sz w:val="22"/>
                <w:szCs w:val="22"/>
                <w:lang w:val="lv-LV"/>
              </w:rPr>
              <w:t xml:space="preserve">FM, AFCOS, OLAF, </w:t>
            </w:r>
            <w:r w:rsidR="00C26BC8" w:rsidRPr="00387441">
              <w:rPr>
                <w:rFonts w:eastAsia="Times New Roman" w:cs="Times New Roman"/>
                <w:sz w:val="22"/>
                <w:szCs w:val="22"/>
                <w:lang w:val="lv-LV"/>
              </w:rPr>
              <w:t xml:space="preserve">DG REGIO, </w:t>
            </w:r>
            <w:r w:rsidRPr="00387441">
              <w:rPr>
                <w:rFonts w:eastAsia="Times New Roman" w:cs="Times New Roman"/>
                <w:sz w:val="22"/>
                <w:szCs w:val="22"/>
                <w:lang w:val="lv-LV"/>
              </w:rPr>
              <w:t>Latvijas tiesībsargājošās un ES fondu administrējošās iestādes</w:t>
            </w:r>
          </w:p>
        </w:tc>
      </w:tr>
      <w:tr w:rsidR="00213D58" w:rsidRPr="00387441" w14:paraId="7B5F3DD3" w14:textId="77777777" w:rsidTr="26F39E02">
        <w:trPr>
          <w:trHeight w:val="241"/>
        </w:trPr>
        <w:tc>
          <w:tcPr>
            <w:tcW w:w="1583" w:type="dxa"/>
            <w:vAlign w:val="center"/>
          </w:tcPr>
          <w:p w14:paraId="717ABE10" w14:textId="449B0899" w:rsidR="00213D58" w:rsidRPr="00BE0DBF" w:rsidRDefault="00213D58" w:rsidP="00213D58">
            <w:pPr>
              <w:spacing w:after="60" w:line="276" w:lineRule="auto"/>
              <w:ind w:firstLine="0"/>
              <w:jc w:val="center"/>
              <w:rPr>
                <w:rFonts w:eastAsia="Calibri" w:cs="Times New Roman"/>
                <w:sz w:val="22"/>
                <w:szCs w:val="22"/>
                <w:lang w:val="lv-LV"/>
              </w:rPr>
            </w:pPr>
            <w:r w:rsidRPr="00BE0DBF">
              <w:rPr>
                <w:rFonts w:eastAsia="Calibri" w:cs="Times New Roman"/>
                <w:sz w:val="22"/>
                <w:szCs w:val="22"/>
                <w:lang w:val="lv-LV"/>
              </w:rPr>
              <w:t>01.01.2024.-31.12.2024.</w:t>
            </w:r>
          </w:p>
        </w:tc>
        <w:tc>
          <w:tcPr>
            <w:tcW w:w="5241" w:type="dxa"/>
            <w:vAlign w:val="center"/>
          </w:tcPr>
          <w:p w14:paraId="0CDA72E9" w14:textId="3864EACA" w:rsidR="00213D58" w:rsidRPr="00BE0DBF" w:rsidRDefault="00213D58" w:rsidP="00213D58">
            <w:pPr>
              <w:spacing w:after="60" w:line="276" w:lineRule="auto"/>
              <w:ind w:firstLine="0"/>
              <w:jc w:val="center"/>
              <w:rPr>
                <w:rFonts w:eastAsia="Times New Roman" w:cs="Times New Roman"/>
                <w:sz w:val="22"/>
                <w:szCs w:val="22"/>
                <w:lang w:val="lv-LV"/>
              </w:rPr>
            </w:pPr>
            <w:r w:rsidRPr="00BE0DBF">
              <w:rPr>
                <w:rFonts w:eastAsia="Times New Roman" w:cs="Times New Roman"/>
                <w:sz w:val="22"/>
                <w:szCs w:val="21"/>
                <w:lang w:val="lv-LV"/>
              </w:rPr>
              <w:t xml:space="preserve">Sadarbība ar EPPO </w:t>
            </w:r>
            <w:r w:rsidR="006736CB" w:rsidRPr="00BE0DBF">
              <w:rPr>
                <w:rFonts w:eastAsia="Times New Roman" w:cs="Times New Roman"/>
                <w:sz w:val="22"/>
                <w:szCs w:val="21"/>
                <w:lang w:val="lv-LV"/>
              </w:rPr>
              <w:t>3</w:t>
            </w:r>
            <w:r w:rsidRPr="00BE0DBF">
              <w:rPr>
                <w:rFonts w:eastAsia="Times New Roman" w:cs="Times New Roman"/>
                <w:sz w:val="22"/>
                <w:szCs w:val="21"/>
                <w:lang w:val="lv-LV"/>
              </w:rPr>
              <w:t xml:space="preserve"> gadījumos  par aizdomām par krāpšanu ES fondu projektos</w:t>
            </w:r>
          </w:p>
        </w:tc>
        <w:tc>
          <w:tcPr>
            <w:tcW w:w="3971" w:type="dxa"/>
            <w:vAlign w:val="center"/>
          </w:tcPr>
          <w:p w14:paraId="33771B4E" w14:textId="42775B77" w:rsidR="00213D58" w:rsidRPr="00BE0DBF" w:rsidRDefault="0079304C" w:rsidP="00213D58">
            <w:pPr>
              <w:spacing w:after="60" w:line="276" w:lineRule="auto"/>
              <w:ind w:firstLine="0"/>
              <w:jc w:val="center"/>
              <w:rPr>
                <w:rFonts w:eastAsia="Times New Roman" w:cs="Times New Roman"/>
                <w:sz w:val="22"/>
                <w:szCs w:val="21"/>
                <w:lang w:val="lv-LV"/>
              </w:rPr>
            </w:pPr>
            <w:r w:rsidRPr="00BE0DBF">
              <w:rPr>
                <w:rFonts w:eastAsia="Times New Roman" w:cs="Times New Roman"/>
                <w:sz w:val="22"/>
                <w:szCs w:val="21"/>
                <w:lang w:val="lv-LV"/>
              </w:rPr>
              <w:t>AFCOS,</w:t>
            </w:r>
            <w:r w:rsidR="000B3285" w:rsidRPr="00BE0DBF">
              <w:rPr>
                <w:rFonts w:eastAsia="Times New Roman" w:cs="Times New Roman"/>
                <w:sz w:val="22"/>
                <w:szCs w:val="21"/>
                <w:lang w:val="lv-LV"/>
              </w:rPr>
              <w:t xml:space="preserve"> FM revīzijas iestāde,</w:t>
            </w:r>
            <w:r w:rsidRPr="00BE0DBF">
              <w:rPr>
                <w:rFonts w:eastAsia="Times New Roman" w:cs="Times New Roman"/>
                <w:sz w:val="22"/>
                <w:szCs w:val="21"/>
                <w:lang w:val="lv-LV"/>
              </w:rPr>
              <w:t xml:space="preserve"> </w:t>
            </w:r>
            <w:r w:rsidR="00213D58" w:rsidRPr="00BE0DBF">
              <w:rPr>
                <w:rFonts w:eastAsia="Times New Roman" w:cs="Times New Roman"/>
                <w:sz w:val="22"/>
                <w:szCs w:val="21"/>
                <w:lang w:val="lv-LV"/>
              </w:rPr>
              <w:t>EPPO, ES fondu administrēšanas iestāde</w:t>
            </w:r>
          </w:p>
        </w:tc>
      </w:tr>
      <w:tr w:rsidR="00213D58" w:rsidRPr="00387441" w14:paraId="25208FA5" w14:textId="77777777" w:rsidTr="26F39E02">
        <w:trPr>
          <w:trHeight w:val="241"/>
        </w:trPr>
        <w:tc>
          <w:tcPr>
            <w:tcW w:w="1583" w:type="dxa"/>
            <w:vAlign w:val="center"/>
          </w:tcPr>
          <w:p w14:paraId="0FD3B43A" w14:textId="50A66B8C" w:rsidR="00213D58" w:rsidRPr="00BE0DBF" w:rsidRDefault="00213D58" w:rsidP="00213D58">
            <w:pPr>
              <w:spacing w:after="60" w:line="276" w:lineRule="auto"/>
              <w:ind w:firstLine="0"/>
              <w:jc w:val="center"/>
              <w:rPr>
                <w:rFonts w:eastAsia="Calibri" w:cs="Times New Roman"/>
                <w:sz w:val="22"/>
                <w:szCs w:val="22"/>
                <w:lang w:val="lv-LV"/>
              </w:rPr>
            </w:pPr>
            <w:r w:rsidRPr="00BE0DBF">
              <w:rPr>
                <w:rFonts w:eastAsia="Calibri" w:cs="Times New Roman"/>
                <w:sz w:val="22"/>
                <w:szCs w:val="22"/>
                <w:lang w:val="lv-LV"/>
              </w:rPr>
              <w:t>01.01.2024.-31.12.2024.</w:t>
            </w:r>
          </w:p>
        </w:tc>
        <w:tc>
          <w:tcPr>
            <w:tcW w:w="5241" w:type="dxa"/>
            <w:vAlign w:val="center"/>
          </w:tcPr>
          <w:p w14:paraId="47B5D030" w14:textId="56600204" w:rsidR="00213D58" w:rsidRPr="00BE0DBF" w:rsidRDefault="00213D58" w:rsidP="00213D58">
            <w:pPr>
              <w:spacing w:after="60" w:line="276" w:lineRule="auto"/>
              <w:ind w:firstLine="0"/>
              <w:jc w:val="center"/>
              <w:rPr>
                <w:rFonts w:eastAsia="Times New Roman" w:cs="Times New Roman"/>
                <w:sz w:val="22"/>
                <w:szCs w:val="21"/>
                <w:lang w:val="lv-LV"/>
              </w:rPr>
            </w:pPr>
            <w:r w:rsidRPr="00BE0DBF">
              <w:rPr>
                <w:rFonts w:eastAsia="Times New Roman" w:cs="Times New Roman"/>
                <w:sz w:val="22"/>
                <w:szCs w:val="21"/>
                <w:lang w:val="lv-LV"/>
              </w:rPr>
              <w:t xml:space="preserve">AFCOS saņemto signālu skaits - </w:t>
            </w:r>
            <w:r w:rsidR="00C0326E" w:rsidRPr="00BE0DBF">
              <w:rPr>
                <w:rFonts w:eastAsia="Times New Roman" w:cs="Times New Roman"/>
                <w:sz w:val="22"/>
                <w:szCs w:val="21"/>
                <w:lang w:val="lv-LV"/>
              </w:rPr>
              <w:t>13</w:t>
            </w:r>
          </w:p>
        </w:tc>
        <w:tc>
          <w:tcPr>
            <w:tcW w:w="3971" w:type="dxa"/>
            <w:vAlign w:val="center"/>
          </w:tcPr>
          <w:p w14:paraId="2500A758" w14:textId="4955E927" w:rsidR="00213D58" w:rsidRPr="00387441" w:rsidRDefault="00213D58" w:rsidP="26F39E02">
            <w:pPr>
              <w:spacing w:after="60" w:line="276" w:lineRule="auto"/>
              <w:ind w:firstLine="0"/>
              <w:jc w:val="center"/>
              <w:rPr>
                <w:rFonts w:eastAsia="Times New Roman" w:cs="Times New Roman"/>
                <w:sz w:val="22"/>
                <w:szCs w:val="22"/>
                <w:lang w:val="lv-LV"/>
              </w:rPr>
            </w:pPr>
            <w:r w:rsidRPr="00387441">
              <w:rPr>
                <w:rFonts w:eastAsia="Times New Roman" w:cs="Times New Roman"/>
                <w:sz w:val="22"/>
                <w:szCs w:val="22"/>
                <w:lang w:val="lv-LV"/>
              </w:rPr>
              <w:t>AFCOS, Latvijas tiesībsargājošās un ES fondu administrējošās iestādes</w:t>
            </w:r>
          </w:p>
        </w:tc>
      </w:tr>
    </w:tbl>
    <w:p w14:paraId="51FD5025" w14:textId="77777777" w:rsidR="00766B83" w:rsidRPr="00BE0DBF" w:rsidRDefault="00766B83" w:rsidP="0046401F">
      <w:pPr>
        <w:ind w:firstLine="0"/>
        <w:rPr>
          <w:lang w:val="lv-LV"/>
        </w:rPr>
      </w:pPr>
    </w:p>
    <w:p w14:paraId="1DD710E2" w14:textId="1A8F6349" w:rsidR="005E0531" w:rsidRPr="00BE0DBF" w:rsidRDefault="00766B83" w:rsidP="002E2BF0">
      <w:pPr>
        <w:rPr>
          <w:lang w:val="lv-LV"/>
        </w:rPr>
      </w:pPr>
      <w:bookmarkStart w:id="100" w:name="_Hlk98232672"/>
      <w:r w:rsidRPr="00BE0DBF">
        <w:rPr>
          <w:lang w:val="lv-LV"/>
        </w:rPr>
        <w:t>Finanšu ministrs</w:t>
      </w:r>
      <w:r w:rsidRPr="00BE0DBF">
        <w:rPr>
          <w:lang w:val="lv-LV"/>
        </w:rPr>
        <w:tab/>
      </w:r>
      <w:r w:rsidRPr="00BE0DBF">
        <w:rPr>
          <w:lang w:val="lv-LV"/>
        </w:rPr>
        <w:tab/>
      </w:r>
      <w:r w:rsidRPr="00BE0DBF">
        <w:rPr>
          <w:lang w:val="lv-LV"/>
        </w:rPr>
        <w:tab/>
      </w:r>
      <w:r w:rsidRPr="00BE0DBF">
        <w:rPr>
          <w:lang w:val="lv-LV"/>
        </w:rPr>
        <w:tab/>
      </w:r>
      <w:r w:rsidRPr="00BE0DBF">
        <w:rPr>
          <w:lang w:val="lv-LV"/>
        </w:rPr>
        <w:tab/>
      </w:r>
      <w:r w:rsidRPr="00BE0DBF">
        <w:rPr>
          <w:lang w:val="lv-LV"/>
        </w:rPr>
        <w:tab/>
      </w:r>
      <w:r w:rsidRPr="00BE0DBF">
        <w:rPr>
          <w:lang w:val="lv-LV"/>
        </w:rPr>
        <w:tab/>
      </w:r>
      <w:r w:rsidRPr="00BE0DBF">
        <w:rPr>
          <w:lang w:val="lv-LV"/>
        </w:rPr>
        <w:tab/>
      </w:r>
      <w:r w:rsidRPr="00BE0DBF">
        <w:rPr>
          <w:lang w:val="lv-LV"/>
        </w:rPr>
        <w:tab/>
      </w:r>
      <w:bookmarkEnd w:id="100"/>
      <w:r w:rsidRPr="00BE0DBF">
        <w:rPr>
          <w:lang w:val="lv-LV"/>
        </w:rPr>
        <w:t>A. Ašeradens</w:t>
      </w:r>
    </w:p>
    <w:p w14:paraId="78918EAC" w14:textId="77777777" w:rsidR="0046401F" w:rsidRPr="00BE0DBF" w:rsidRDefault="0046401F" w:rsidP="005E0531">
      <w:pPr>
        <w:spacing w:after="0"/>
        <w:rPr>
          <w:sz w:val="18"/>
          <w:szCs w:val="18"/>
          <w:lang w:val="lv-LV"/>
        </w:rPr>
      </w:pPr>
    </w:p>
    <w:p w14:paraId="1ED85BE9" w14:textId="031B5772" w:rsidR="00766B83" w:rsidRPr="00BE0DBF" w:rsidRDefault="005E0531" w:rsidP="005E0531">
      <w:pPr>
        <w:spacing w:after="0"/>
        <w:rPr>
          <w:sz w:val="18"/>
          <w:szCs w:val="18"/>
          <w:lang w:val="lv-LV"/>
        </w:rPr>
      </w:pPr>
      <w:r w:rsidRPr="00BE0DBF">
        <w:rPr>
          <w:sz w:val="18"/>
          <w:szCs w:val="18"/>
          <w:lang w:val="lv-LV"/>
        </w:rPr>
        <w:t>I</w:t>
      </w:r>
      <w:r w:rsidR="00364BCF" w:rsidRPr="00BE0DBF">
        <w:rPr>
          <w:sz w:val="18"/>
          <w:szCs w:val="18"/>
          <w:lang w:val="lv-LV"/>
        </w:rPr>
        <w:t>.</w:t>
      </w:r>
      <w:r w:rsidRPr="00BE0DBF">
        <w:rPr>
          <w:sz w:val="18"/>
          <w:szCs w:val="18"/>
          <w:lang w:val="lv-LV"/>
        </w:rPr>
        <w:t xml:space="preserve"> Dolgais, tel. Nr.: </w:t>
      </w:r>
      <w:r w:rsidR="006E74C8" w:rsidRPr="00BE0DBF">
        <w:rPr>
          <w:sz w:val="18"/>
          <w:szCs w:val="18"/>
          <w:lang w:val="lv-LV"/>
        </w:rPr>
        <w:t>25623329</w:t>
      </w:r>
    </w:p>
    <w:p w14:paraId="1F84FA8A" w14:textId="69628C0B" w:rsidR="00527512" w:rsidRPr="00BE0DBF" w:rsidRDefault="005E0531" w:rsidP="00364BCF">
      <w:pPr>
        <w:rPr>
          <w:sz w:val="18"/>
          <w:szCs w:val="18"/>
          <w:lang w:val="lv-LV"/>
        </w:rPr>
      </w:pPr>
      <w:r w:rsidRPr="00BE0DBF">
        <w:rPr>
          <w:sz w:val="18"/>
          <w:szCs w:val="18"/>
          <w:lang w:val="lv-LV"/>
        </w:rPr>
        <w:t>Inese.dolgais@fm.gov.lv</w:t>
      </w:r>
    </w:p>
    <w:sectPr w:rsidR="00527512" w:rsidRPr="00BE0DBF" w:rsidSect="00766B83">
      <w:pgSz w:w="12240" w:h="15840" w:code="1"/>
      <w:pgMar w:top="720" w:right="720" w:bottom="1080" w:left="720" w:header="709"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BD41" w14:textId="77777777" w:rsidR="00895971" w:rsidRDefault="00895971" w:rsidP="00766B83">
      <w:pPr>
        <w:spacing w:after="0" w:line="240" w:lineRule="auto"/>
      </w:pPr>
      <w:r>
        <w:separator/>
      </w:r>
    </w:p>
  </w:endnote>
  <w:endnote w:type="continuationSeparator" w:id="0">
    <w:p w14:paraId="5BFC8583" w14:textId="77777777" w:rsidR="00895971" w:rsidRDefault="00895971" w:rsidP="00766B83">
      <w:pPr>
        <w:spacing w:after="0" w:line="240" w:lineRule="auto"/>
      </w:pPr>
      <w:r>
        <w:continuationSeparator/>
      </w:r>
    </w:p>
  </w:endnote>
  <w:endnote w:type="continuationNotice" w:id="1">
    <w:p w14:paraId="2DAF4675" w14:textId="77777777" w:rsidR="00895971" w:rsidRDefault="00895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0D85" w14:textId="77777777" w:rsidR="00766B83" w:rsidRDefault="00766B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Pr="006066F5">
      <w:rPr>
        <w:rStyle w:val="PageNumber"/>
        <w:rPrChange w:id="0" w:author="Inese Dolgais" w:date="2025-02-12T08:11:00Z" w16du:dateUtc="2025-02-12T06:11:00Z">
          <w:rPr>
            <w:rStyle w:val="PageNumber"/>
            <w:noProof/>
          </w:rPr>
        </w:rPrChange>
      </w:rPr>
      <w:t>2</w:t>
    </w:r>
    <w:r>
      <w:rPr>
        <w:rStyle w:val="PageNumber"/>
      </w:rPr>
      <w:fldChar w:fldCharType="end"/>
    </w:r>
  </w:p>
  <w:p w14:paraId="3F9D7D69" w14:textId="77777777" w:rsidR="00766B83" w:rsidRDefault="00766B83" w:rsidP="00510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1358343"/>
      <w:docPartObj>
        <w:docPartGallery w:val="Page Numbers (Bottom of Page)"/>
        <w:docPartUnique/>
      </w:docPartObj>
    </w:sdtPr>
    <w:sdtEndPr>
      <w:rPr>
        <w:rStyle w:val="PageNumber"/>
      </w:rPr>
    </w:sdtEndPr>
    <w:sdtContent>
      <w:p w14:paraId="2BF0CEC0" w14:textId="77777777" w:rsidR="00766B83" w:rsidRDefault="00766B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Pr="006066F5">
          <w:rPr>
            <w:rStyle w:val="PageNumber"/>
            <w:rPrChange w:id="1" w:author="Inese Dolgais" w:date="2025-02-12T08:11:00Z" w16du:dateUtc="2025-02-12T06:11:00Z">
              <w:rPr>
                <w:rStyle w:val="PageNumber"/>
                <w:noProof/>
              </w:rPr>
            </w:rPrChange>
          </w:rPr>
          <w:t>4</w:t>
        </w:r>
        <w:r>
          <w:rPr>
            <w:rStyle w:val="PageNumber"/>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766B83" w14:paraId="3A3CD5B7" w14:textId="77777777" w:rsidTr="00510C90">
      <w:tc>
        <w:tcPr>
          <w:tcW w:w="5395" w:type="dxa"/>
        </w:tcPr>
        <w:p w14:paraId="5038573E" w14:textId="6B067440" w:rsidR="00766B83" w:rsidRPr="006D363C" w:rsidRDefault="00766B83" w:rsidP="00510C90">
          <w:pPr>
            <w:pStyle w:val="Footer"/>
            <w:spacing w:before="120"/>
          </w:pPr>
          <w:r w:rsidRPr="006D363C">
            <w:rPr>
              <w:color w:val="7F7F7F" w:themeColor="text1" w:themeTint="80"/>
            </w:rPr>
            <w:t>FMZin_</w:t>
          </w:r>
          <w:r w:rsidR="003C2560">
            <w:rPr>
              <w:color w:val="7F7F7F" w:themeColor="text1" w:themeTint="80"/>
            </w:rPr>
            <w:t>202</w:t>
          </w:r>
          <w:r w:rsidR="00CB2D24">
            <w:rPr>
              <w:color w:val="7F7F7F" w:themeColor="text1" w:themeTint="80"/>
            </w:rPr>
            <w:t>5</w:t>
          </w:r>
          <w:r w:rsidRPr="006D363C">
            <w:rPr>
              <w:color w:val="7F7F7F" w:themeColor="text1" w:themeTint="80"/>
            </w:rPr>
            <w:t>_AFCOS.docx</w:t>
          </w:r>
        </w:p>
      </w:tc>
      <w:tc>
        <w:tcPr>
          <w:tcW w:w="5395" w:type="dxa"/>
        </w:tcPr>
        <w:p w14:paraId="1C77C7E8" w14:textId="77777777" w:rsidR="00766B83" w:rsidRPr="001205A1" w:rsidRDefault="00766B83" w:rsidP="00510C90">
          <w:pPr>
            <w:pStyle w:val="Footer"/>
          </w:pPr>
          <w:r w:rsidRPr="001205A1">
            <w:t xml:space="preserve">   </w:t>
          </w:r>
        </w:p>
      </w:tc>
    </w:tr>
  </w:tbl>
  <w:p w14:paraId="4ADF9D6E" w14:textId="77777777" w:rsidR="00766B83" w:rsidRDefault="0076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2FF9" w14:textId="77777777" w:rsidR="00895971" w:rsidRDefault="00895971" w:rsidP="00766B83">
      <w:pPr>
        <w:spacing w:after="0" w:line="240" w:lineRule="auto"/>
      </w:pPr>
      <w:r>
        <w:separator/>
      </w:r>
    </w:p>
  </w:footnote>
  <w:footnote w:type="continuationSeparator" w:id="0">
    <w:p w14:paraId="19DE1BCA" w14:textId="77777777" w:rsidR="00895971" w:rsidRDefault="00895971" w:rsidP="00766B83">
      <w:pPr>
        <w:spacing w:after="0" w:line="240" w:lineRule="auto"/>
      </w:pPr>
      <w:r>
        <w:continuationSeparator/>
      </w:r>
    </w:p>
  </w:footnote>
  <w:footnote w:type="continuationNotice" w:id="1">
    <w:p w14:paraId="4A61C3C8" w14:textId="77777777" w:rsidR="00895971" w:rsidRDefault="00895971">
      <w:pPr>
        <w:spacing w:after="0" w:line="240" w:lineRule="auto"/>
      </w:pPr>
    </w:p>
  </w:footnote>
  <w:footnote w:id="2">
    <w:p w14:paraId="42AF2856" w14:textId="4333CE41" w:rsidR="00766B83" w:rsidRPr="00AF22A0" w:rsidRDefault="00766B83" w:rsidP="00F632D2">
      <w:pPr>
        <w:pStyle w:val="FootnoteText"/>
        <w:spacing w:after="0"/>
        <w:jc w:val="both"/>
        <w:rPr>
          <w:sz w:val="18"/>
          <w:szCs w:val="18"/>
          <w:lang w:val="lv-LV"/>
        </w:rPr>
      </w:pPr>
      <w:r w:rsidRPr="006066F5">
        <w:rPr>
          <w:rStyle w:val="FootnoteReference"/>
          <w:sz w:val="18"/>
          <w:szCs w:val="18"/>
        </w:rPr>
        <w:footnoteRef/>
      </w:r>
      <w:r w:rsidRPr="006066F5">
        <w:rPr>
          <w:sz w:val="18"/>
          <w:szCs w:val="18"/>
        </w:rPr>
        <w:t xml:space="preserve"> </w:t>
      </w:r>
      <w:r w:rsidR="00B3462E" w:rsidRPr="00AF22A0">
        <w:rPr>
          <w:sz w:val="18"/>
          <w:szCs w:val="18"/>
          <w:lang w:val="lv-LV"/>
        </w:rPr>
        <w:t>MK 24.05.2024. rīkojums Nr.374 “</w:t>
      </w:r>
      <w:r w:rsidR="00B3462E" w:rsidRPr="00AF22A0">
        <w:rPr>
          <w:rFonts w:cstheme="majorHAnsi"/>
          <w:i/>
          <w:sz w:val="18"/>
          <w:szCs w:val="18"/>
          <w:lang w:val="lv-LV"/>
        </w:rPr>
        <w:t>Par Eiropas Savienības finanšu interešu aizsardzības koordinācijas dienesta (AFCOS) darbības stratēģiju un pasākumu plānu 2024.–2026. gadam</w:t>
      </w:r>
      <w:r w:rsidR="00B3462E" w:rsidRPr="00AF22A0">
        <w:rPr>
          <w:rFonts w:cstheme="majorHAnsi"/>
          <w:sz w:val="18"/>
          <w:szCs w:val="18"/>
          <w:lang w:val="lv-LV"/>
        </w:rPr>
        <w:t>”.</w:t>
      </w:r>
    </w:p>
  </w:footnote>
  <w:footnote w:id="3">
    <w:p w14:paraId="060B4858" w14:textId="4D2E22A3" w:rsidR="0018456E" w:rsidRPr="006066F5" w:rsidRDefault="0018456E" w:rsidP="00F632D2">
      <w:pPr>
        <w:pStyle w:val="FootnoteText"/>
        <w:spacing w:after="0"/>
        <w:jc w:val="both"/>
        <w:rPr>
          <w:sz w:val="18"/>
          <w:szCs w:val="18"/>
        </w:rPr>
      </w:pPr>
      <w:r w:rsidRPr="00AF22A0">
        <w:rPr>
          <w:rStyle w:val="FootnoteReference"/>
          <w:sz w:val="18"/>
          <w:szCs w:val="18"/>
          <w:lang w:val="lv-LV"/>
        </w:rPr>
        <w:footnoteRef/>
      </w:r>
      <w:r w:rsidRPr="00AF22A0">
        <w:rPr>
          <w:sz w:val="18"/>
          <w:szCs w:val="18"/>
          <w:lang w:val="lv-LV"/>
        </w:rPr>
        <w:t xml:space="preserve"> Šāda rekomendācija iekļauta arī </w:t>
      </w:r>
      <w:r w:rsidR="00040694" w:rsidRPr="00AF22A0">
        <w:rPr>
          <w:sz w:val="18"/>
          <w:szCs w:val="18"/>
          <w:lang w:val="lv-LV"/>
        </w:rPr>
        <w:t>35. ikgadējā PIF ziņojumā, pieejams šeit</w:t>
      </w:r>
      <w:r w:rsidR="00040694" w:rsidRPr="006066F5">
        <w:rPr>
          <w:sz w:val="18"/>
          <w:szCs w:val="18"/>
        </w:rPr>
        <w:t xml:space="preserve">:  </w:t>
      </w:r>
      <w:hyperlink r:id="rId1" w:history="1">
        <w:r w:rsidR="00040694" w:rsidRPr="000640CD">
          <w:rPr>
            <w:rStyle w:val="Hyperlink"/>
            <w:sz w:val="18"/>
            <w:szCs w:val="18"/>
          </w:rPr>
          <w:t>35th Annual Report on the Protection of the European Union’s financial interests and the Fight against fraud</w:t>
        </w:r>
      </w:hyperlink>
    </w:p>
  </w:footnote>
  <w:footnote w:id="4">
    <w:p w14:paraId="5EE8DC50" w14:textId="08C45A25" w:rsidR="009B7F25" w:rsidRPr="001E4A5A" w:rsidRDefault="009B7F25" w:rsidP="00B60DDB">
      <w:pPr>
        <w:pStyle w:val="FootnoteText"/>
        <w:spacing w:after="120"/>
        <w:contextualSpacing/>
        <w:jc w:val="both"/>
        <w:rPr>
          <w:sz w:val="18"/>
          <w:szCs w:val="18"/>
          <w:lang w:val="lv-LV"/>
        </w:rPr>
      </w:pPr>
      <w:r>
        <w:rPr>
          <w:rStyle w:val="FootnoteReference"/>
        </w:rPr>
        <w:footnoteRef/>
      </w:r>
      <w:r>
        <w:t xml:space="preserve"> </w:t>
      </w:r>
      <w:r w:rsidRPr="001E4A5A">
        <w:rPr>
          <w:sz w:val="18"/>
          <w:szCs w:val="18"/>
          <w:lang w:val="lv-LV"/>
        </w:rPr>
        <w:t>Pasākuma dalībnieki pēc ēnošanas aktivitātes apmeklējuma tika lūgti aizpildīt novērtējuma anketu. Minētie dati iegūti izanalizējot visas iesniegtās dalībnieku novērtējuma anketas.</w:t>
      </w:r>
    </w:p>
  </w:footnote>
  <w:footnote w:id="5">
    <w:p w14:paraId="44F14BB8" w14:textId="3F83A751" w:rsidR="009B7F25" w:rsidRPr="001E4A5A" w:rsidRDefault="009B7F25" w:rsidP="00B60DDB">
      <w:pPr>
        <w:pStyle w:val="FootnoteText"/>
        <w:spacing w:after="120"/>
        <w:contextualSpacing/>
        <w:jc w:val="both"/>
        <w:rPr>
          <w:sz w:val="18"/>
          <w:szCs w:val="18"/>
          <w:lang w:val="lv-LV"/>
        </w:rPr>
      </w:pPr>
      <w:r w:rsidRPr="001E4A5A">
        <w:rPr>
          <w:rStyle w:val="FootnoteReference"/>
          <w:sz w:val="18"/>
          <w:szCs w:val="18"/>
          <w:lang w:val="lv-LV"/>
        </w:rPr>
        <w:footnoteRef/>
      </w:r>
      <w:r w:rsidRPr="001E4A5A">
        <w:rPr>
          <w:sz w:val="18"/>
          <w:szCs w:val="18"/>
          <w:lang w:val="lv-LV"/>
        </w:rPr>
        <w:t xml:space="preserve"> </w:t>
      </w:r>
      <w:r w:rsidR="00AE2C40" w:rsidRPr="001E4A5A">
        <w:rPr>
          <w:sz w:val="18"/>
          <w:szCs w:val="18"/>
          <w:lang w:val="lv-LV"/>
        </w:rPr>
        <w:t xml:space="preserve">AFCOS Padomes 28.11.2024. sēdes protokola Nr.2/2024 </w:t>
      </w:r>
      <w:r w:rsidR="00AD5AB1" w:rsidRPr="001E4A5A">
        <w:rPr>
          <w:sz w:val="18"/>
          <w:szCs w:val="18"/>
          <w:lang w:val="lv-LV"/>
        </w:rPr>
        <w:t xml:space="preserve">C.1. punkts. Protokols pieejams </w:t>
      </w:r>
      <w:hyperlink r:id="rId2" w:history="1">
        <w:r w:rsidR="00C442B3" w:rsidRPr="001E4A5A">
          <w:rPr>
            <w:rStyle w:val="Hyperlink"/>
            <w:sz w:val="18"/>
            <w:szCs w:val="18"/>
            <w:lang w:val="lv-LV"/>
          </w:rPr>
          <w:t>šeit</w:t>
        </w:r>
      </w:hyperlink>
      <w:r w:rsidR="00C442B3" w:rsidRPr="001E4A5A">
        <w:rPr>
          <w:sz w:val="18"/>
          <w:szCs w:val="18"/>
          <w:lang w:val="lv-LV"/>
        </w:rPr>
        <w:t xml:space="preserve">. </w:t>
      </w:r>
    </w:p>
  </w:footnote>
  <w:footnote w:id="6">
    <w:p w14:paraId="2B69FF66" w14:textId="4F0C7FD4" w:rsidR="00DB1DD7" w:rsidRPr="001E4A5A" w:rsidRDefault="00DB1DD7" w:rsidP="0036089A">
      <w:pPr>
        <w:pStyle w:val="FootnoteText"/>
        <w:contextualSpacing/>
        <w:rPr>
          <w:sz w:val="18"/>
          <w:szCs w:val="18"/>
          <w:lang w:val="lv-LV"/>
        </w:rPr>
      </w:pPr>
      <w:r w:rsidRPr="001E4A5A">
        <w:rPr>
          <w:rStyle w:val="FootnoteReference"/>
          <w:sz w:val="18"/>
          <w:szCs w:val="18"/>
          <w:lang w:val="lv-LV"/>
        </w:rPr>
        <w:footnoteRef/>
      </w:r>
      <w:r w:rsidRPr="001E4A5A">
        <w:rPr>
          <w:sz w:val="18"/>
          <w:szCs w:val="18"/>
          <w:lang w:val="lv-LV"/>
        </w:rPr>
        <w:t xml:space="preserve"> </w:t>
      </w:r>
      <w:r w:rsidR="00C51D19" w:rsidRPr="001E4A5A">
        <w:rPr>
          <w:sz w:val="18"/>
          <w:szCs w:val="18"/>
          <w:lang w:val="lv-LV"/>
        </w:rPr>
        <w:t xml:space="preserve">Krimināllikuma </w:t>
      </w:r>
      <w:r w:rsidRPr="001E4A5A">
        <w:rPr>
          <w:sz w:val="18"/>
          <w:szCs w:val="18"/>
          <w:lang w:val="lv-LV"/>
        </w:rPr>
        <w:t>177. pants “Krāpšana” un 210. pants “Kredīta un citu aizdevumu negodprātīga saņemšana un izmantošana”</w:t>
      </w:r>
      <w:r w:rsidR="00C51D19" w:rsidRPr="001E4A5A">
        <w:rPr>
          <w:sz w:val="18"/>
          <w:szCs w:val="18"/>
          <w:lang w:val="lv-LV"/>
        </w:rPr>
        <w:t>.</w:t>
      </w:r>
    </w:p>
  </w:footnote>
  <w:footnote w:id="7">
    <w:p w14:paraId="0E0C45A1" w14:textId="40628C38" w:rsidR="00C51D19" w:rsidRPr="001E4A5A" w:rsidRDefault="00C51D19" w:rsidP="0036089A">
      <w:pPr>
        <w:pStyle w:val="FootnoteText"/>
        <w:contextualSpacing/>
        <w:rPr>
          <w:sz w:val="18"/>
          <w:szCs w:val="18"/>
          <w:lang w:val="lv-LV"/>
        </w:rPr>
      </w:pPr>
      <w:r w:rsidRPr="001E4A5A">
        <w:rPr>
          <w:rStyle w:val="FootnoteReference"/>
          <w:sz w:val="18"/>
          <w:szCs w:val="18"/>
          <w:lang w:val="lv-LV"/>
        </w:rPr>
        <w:footnoteRef/>
      </w:r>
      <w:r w:rsidRPr="001E4A5A">
        <w:rPr>
          <w:sz w:val="18"/>
          <w:szCs w:val="18"/>
          <w:lang w:val="lv-LV"/>
        </w:rPr>
        <w:t xml:space="preserve"> PIF direktīvas  3. panta 2. punkta a) apakšpunkta iii) apakšpunkts.</w:t>
      </w:r>
    </w:p>
  </w:footnote>
  <w:footnote w:id="8">
    <w:p w14:paraId="02B13BEF" w14:textId="45853843" w:rsidR="0036089A" w:rsidRPr="001E4A5A" w:rsidRDefault="0036089A" w:rsidP="0036089A">
      <w:pPr>
        <w:pStyle w:val="FootnoteText"/>
        <w:contextualSpacing/>
        <w:rPr>
          <w:sz w:val="18"/>
          <w:szCs w:val="18"/>
          <w:lang w:val="lv-LV"/>
        </w:rPr>
      </w:pPr>
      <w:r w:rsidRPr="001E4A5A">
        <w:rPr>
          <w:rStyle w:val="FootnoteReference"/>
          <w:sz w:val="18"/>
          <w:szCs w:val="18"/>
          <w:lang w:val="lv-LV"/>
        </w:rPr>
        <w:footnoteRef/>
      </w:r>
      <w:r w:rsidRPr="001E4A5A">
        <w:rPr>
          <w:sz w:val="18"/>
          <w:szCs w:val="18"/>
          <w:lang w:val="lv-LV"/>
        </w:rPr>
        <w:t xml:space="preserve"> PIF direktīvas 7. panta 3. punkts.</w:t>
      </w:r>
    </w:p>
  </w:footnote>
  <w:footnote w:id="9">
    <w:p w14:paraId="1AA96E06" w14:textId="24399237" w:rsidR="00D77B5F" w:rsidRPr="001E4A5A" w:rsidRDefault="00D77B5F" w:rsidP="00B60DDB">
      <w:pPr>
        <w:pStyle w:val="FootnoteText"/>
        <w:spacing w:after="120"/>
        <w:contextualSpacing/>
        <w:jc w:val="both"/>
        <w:rPr>
          <w:sz w:val="18"/>
          <w:szCs w:val="18"/>
          <w:lang w:val="lv-LV"/>
        </w:rPr>
      </w:pPr>
      <w:r w:rsidRPr="001E4A5A">
        <w:rPr>
          <w:rStyle w:val="FootnoteReference"/>
          <w:sz w:val="18"/>
          <w:szCs w:val="18"/>
          <w:lang w:val="lv-LV"/>
        </w:rPr>
        <w:footnoteRef/>
      </w:r>
      <w:r w:rsidRPr="001E4A5A">
        <w:rPr>
          <w:sz w:val="18"/>
          <w:szCs w:val="18"/>
          <w:lang w:val="lv-LV"/>
        </w:rPr>
        <w:t xml:space="preserve"> AFCOS Padomes 28.11.2024. sēdes protokola Nr.2/2024 </w:t>
      </w:r>
      <w:r w:rsidR="003668FA" w:rsidRPr="001E4A5A">
        <w:rPr>
          <w:sz w:val="18"/>
          <w:szCs w:val="18"/>
          <w:lang w:val="lv-LV"/>
        </w:rPr>
        <w:t>B</w:t>
      </w:r>
      <w:r w:rsidRPr="001E4A5A">
        <w:rPr>
          <w:sz w:val="18"/>
          <w:szCs w:val="18"/>
          <w:lang w:val="lv-LV"/>
        </w:rPr>
        <w:t>.1. punkts.</w:t>
      </w:r>
      <w:r w:rsidR="003668FA" w:rsidRPr="001E4A5A">
        <w:rPr>
          <w:sz w:val="18"/>
          <w:szCs w:val="18"/>
          <w:lang w:val="lv-LV"/>
        </w:rPr>
        <w:t xml:space="preserve"> Protokols pieejams </w:t>
      </w:r>
      <w:hyperlink r:id="rId3" w:history="1">
        <w:r w:rsidR="003668FA" w:rsidRPr="001E4A5A">
          <w:rPr>
            <w:rStyle w:val="Hyperlink"/>
            <w:sz w:val="18"/>
            <w:szCs w:val="18"/>
            <w:lang w:val="lv-LV"/>
          </w:rPr>
          <w:t>šeit</w:t>
        </w:r>
      </w:hyperlink>
      <w:r w:rsidR="003668FA" w:rsidRPr="001E4A5A">
        <w:rPr>
          <w:sz w:val="18"/>
          <w:szCs w:val="18"/>
          <w:lang w:val="lv-LV"/>
        </w:rPr>
        <w:t>.</w:t>
      </w:r>
    </w:p>
  </w:footnote>
  <w:footnote w:id="10">
    <w:p w14:paraId="4BD11B2C" w14:textId="3CCBB2C2" w:rsidR="005614FD" w:rsidRPr="00AF22A0" w:rsidRDefault="005614FD" w:rsidP="005366F9">
      <w:pPr>
        <w:pStyle w:val="FootnoteText"/>
        <w:spacing w:after="0"/>
        <w:rPr>
          <w:sz w:val="18"/>
          <w:szCs w:val="18"/>
          <w:lang w:val="lv-LV"/>
        </w:rPr>
      </w:pPr>
      <w:r w:rsidRPr="00AF22A0">
        <w:rPr>
          <w:rStyle w:val="FootnoteReference"/>
          <w:lang w:val="lv-LV"/>
        </w:rPr>
        <w:footnoteRef/>
      </w:r>
      <w:r w:rsidRPr="00AF22A0">
        <w:rPr>
          <w:lang w:val="lv-LV"/>
        </w:rPr>
        <w:t xml:space="preserve"> </w:t>
      </w:r>
      <w:r w:rsidR="00CA001F" w:rsidRPr="00AF22A0">
        <w:rPr>
          <w:sz w:val="18"/>
          <w:szCs w:val="18"/>
          <w:lang w:val="lv-LV"/>
        </w:rPr>
        <w:t>Vairāk informācijas ”</w:t>
      </w:r>
      <w:hyperlink r:id="rId4" w:history="1">
        <w:r w:rsidR="000058C5" w:rsidRPr="00AF22A0">
          <w:rPr>
            <w:rStyle w:val="Hyperlink"/>
            <w:sz w:val="18"/>
            <w:szCs w:val="18"/>
            <w:lang w:val="lv-LV"/>
          </w:rPr>
          <w:t>Konkurences padome soda 10 būvniecības uzņēmumus par dalību kartelī | Konkurences padome</w:t>
        </w:r>
      </w:hyperlink>
    </w:p>
  </w:footnote>
  <w:footnote w:id="11">
    <w:p w14:paraId="536318F0" w14:textId="15835362" w:rsidR="00060A08" w:rsidRPr="00AF22A0" w:rsidRDefault="00060A08" w:rsidP="005366F9">
      <w:pPr>
        <w:pStyle w:val="FootnoteText"/>
        <w:spacing w:after="0"/>
        <w:jc w:val="both"/>
        <w:rPr>
          <w:sz w:val="18"/>
          <w:szCs w:val="18"/>
          <w:lang w:val="lv-LV"/>
        </w:rPr>
      </w:pPr>
      <w:r w:rsidRPr="00AF22A0">
        <w:rPr>
          <w:rStyle w:val="FootnoteReference"/>
          <w:sz w:val="18"/>
          <w:szCs w:val="18"/>
          <w:lang w:val="lv-LV"/>
        </w:rPr>
        <w:footnoteRef/>
      </w:r>
      <w:r w:rsidRPr="00AF22A0">
        <w:rPr>
          <w:sz w:val="18"/>
          <w:szCs w:val="18"/>
          <w:lang w:val="lv-LV"/>
        </w:rPr>
        <w:t xml:space="preserve"> Profesionālās izglītības kompetences centra “Ventspils Mūzikas vidusskola” projekta Nr.8.1.3.0/16/I/014 “Valsts Ventspils Mūzikas vidusskolas infrastruktūras attīstība” līdz izmeklēšanas pabeigšanai 2019. gada 11. jūlijā CFLA lēma par 100 % finanšu korekcijas diviem līgumiem 8 989 829,05 EUR apmērā.  Kurzemes rajona tiesa 2021.</w:t>
      </w:r>
      <w:r w:rsidR="00EE2697" w:rsidRPr="00AF22A0">
        <w:rPr>
          <w:sz w:val="18"/>
          <w:szCs w:val="18"/>
          <w:lang w:val="lv-LV"/>
        </w:rPr>
        <w:t xml:space="preserve"> </w:t>
      </w:r>
      <w:r w:rsidRPr="00AF22A0">
        <w:rPr>
          <w:sz w:val="18"/>
          <w:szCs w:val="18"/>
          <w:lang w:val="lv-LV"/>
        </w:rPr>
        <w:t xml:space="preserve">gada 11.janvārī četras amatpersonas atzina par vienīgiem kukuļa pieņemšanā, divas privātpersonas atzītas par vainīgām kukuļdošanā, sīkāk </w:t>
      </w:r>
      <w:hyperlink r:id="rId5" w:history="1">
        <w:r w:rsidRPr="00AF22A0">
          <w:rPr>
            <w:rStyle w:val="Hyperlink"/>
            <w:sz w:val="18"/>
            <w:szCs w:val="18"/>
            <w:lang w:val="lv-LV"/>
          </w:rPr>
          <w:t>skatīt šeit</w:t>
        </w:r>
      </w:hyperlink>
      <w:r w:rsidRPr="00AF22A0">
        <w:rPr>
          <w:sz w:val="18"/>
          <w:szCs w:val="18"/>
          <w:lang w:val="lv-LV"/>
        </w:rPr>
        <w:t>. CFLA 2022.</w:t>
      </w:r>
      <w:r w:rsidR="00C647AC" w:rsidRPr="00AF22A0">
        <w:rPr>
          <w:sz w:val="18"/>
          <w:szCs w:val="18"/>
          <w:lang w:val="lv-LV"/>
        </w:rPr>
        <w:t xml:space="preserve"> </w:t>
      </w:r>
      <w:r w:rsidRPr="00AF22A0">
        <w:rPr>
          <w:sz w:val="18"/>
          <w:szCs w:val="18"/>
          <w:lang w:val="lv-LV"/>
        </w:rPr>
        <w:t xml:space="preserve">gada 29.novembrī par neatbilstoši veiktiem izdevumiem atzina ne visas būvniecības un būvprojekta izstrādes līgumu izmaksas, bet tikai </w:t>
      </w:r>
      <w:r w:rsidR="00746F37" w:rsidRPr="00AF22A0">
        <w:rPr>
          <w:sz w:val="18"/>
          <w:szCs w:val="18"/>
          <w:lang w:val="lv-LV"/>
        </w:rPr>
        <w:t>tās, kas attiec</w:t>
      </w:r>
      <w:r w:rsidR="00054747" w:rsidRPr="00AF22A0">
        <w:rPr>
          <w:sz w:val="18"/>
          <w:szCs w:val="18"/>
          <w:lang w:val="lv-LV"/>
        </w:rPr>
        <w:t xml:space="preserve">ās </w:t>
      </w:r>
      <w:r w:rsidRPr="00AF22A0">
        <w:rPr>
          <w:sz w:val="18"/>
          <w:szCs w:val="18"/>
          <w:lang w:val="lv-LV"/>
        </w:rPr>
        <w:t xml:space="preserve">izpildē iesaistītajiem apakšuzņēmējiem un ar ugunsdrošību saistītajiem darbiem, t. i., 370 826,87 </w:t>
      </w:r>
      <w:r w:rsidR="003245EE" w:rsidRPr="00AF22A0">
        <w:rPr>
          <w:sz w:val="18"/>
          <w:szCs w:val="18"/>
          <w:lang w:val="lv-LV"/>
        </w:rPr>
        <w:t>eiro</w:t>
      </w:r>
      <w:r w:rsidRPr="00AF22A0">
        <w:rPr>
          <w:sz w:val="18"/>
          <w:szCs w:val="18"/>
          <w:lang w:val="lv-LV"/>
        </w:rPr>
        <w:t xml:space="preserve"> (t. sk. ERAF 315 202,84 EUR; valsts budžets 55 624,03 EUR). </w:t>
      </w:r>
    </w:p>
    <w:p w14:paraId="1BC09D69" w14:textId="3824E4B4" w:rsidR="00060A08" w:rsidRPr="006066F5" w:rsidRDefault="00060A08" w:rsidP="005366F9">
      <w:pPr>
        <w:pStyle w:val="FootnoteText"/>
        <w:spacing w:after="0"/>
        <w:jc w:val="both"/>
        <w:rPr>
          <w:sz w:val="18"/>
          <w:szCs w:val="18"/>
        </w:rPr>
      </w:pPr>
      <w:r w:rsidRPr="00AF22A0">
        <w:rPr>
          <w:sz w:val="18"/>
          <w:szCs w:val="18"/>
          <w:lang w:val="lv-LV"/>
        </w:rPr>
        <w:t>Otra - SIA "Ķekavas nami" projektā Nr.5.3.1.0/16/I/008 „Ūdenssaimniecības pakalpojumu attīstība Ķekavā, 4.kārta" neatbilstība 1</w:t>
      </w:r>
      <w:r w:rsidR="00F206A7" w:rsidRPr="00AF22A0">
        <w:rPr>
          <w:sz w:val="18"/>
          <w:szCs w:val="18"/>
          <w:lang w:val="lv-LV"/>
        </w:rPr>
        <w:t xml:space="preserve"> </w:t>
      </w:r>
      <w:r w:rsidRPr="00AF22A0">
        <w:rPr>
          <w:sz w:val="18"/>
          <w:szCs w:val="18"/>
          <w:lang w:val="lv-LV"/>
        </w:rPr>
        <w:t>644 268,83 EUR apmērā</w:t>
      </w:r>
      <w:r w:rsidRPr="00B246B4">
        <w:rPr>
          <w:sz w:val="18"/>
          <w:szCs w:val="18"/>
          <w:lang w:val="lv-LV"/>
        </w:rPr>
        <w:t>.</w:t>
      </w:r>
      <w:r w:rsidR="000F0680" w:rsidRPr="00B246B4">
        <w:rPr>
          <w:sz w:val="18"/>
          <w:szCs w:val="18"/>
          <w:lang w:val="lv-LV"/>
        </w:rPr>
        <w:t xml:space="preserve"> </w:t>
      </w:r>
      <w:r w:rsidR="0078264F" w:rsidRPr="00B246B4">
        <w:rPr>
          <w:sz w:val="18"/>
          <w:szCs w:val="18"/>
          <w:lang w:val="lv-LV"/>
        </w:rPr>
        <w:t>Minētajā lietā vēl norisinās tiesvedība, nav zināms gala lēmums.</w:t>
      </w:r>
    </w:p>
  </w:footnote>
  <w:footnote w:id="12">
    <w:p w14:paraId="1C2898B6" w14:textId="77777777" w:rsidR="00D86A47" w:rsidRPr="00D86A47" w:rsidRDefault="00D86A47" w:rsidP="00D86A47">
      <w:pPr>
        <w:pStyle w:val="FootnoteText"/>
        <w:spacing w:after="0" w:line="240" w:lineRule="auto"/>
        <w:jc w:val="both"/>
        <w:rPr>
          <w:sz w:val="18"/>
          <w:szCs w:val="18"/>
          <w:lang w:val="lv-LV"/>
        </w:rPr>
      </w:pPr>
      <w:r w:rsidRPr="003431AC">
        <w:rPr>
          <w:rStyle w:val="FootnoteReference"/>
          <w:lang w:val="lv-LV"/>
        </w:rPr>
        <w:footnoteRef/>
      </w:r>
      <w:r w:rsidRPr="003431AC">
        <w:rPr>
          <w:lang w:val="lv-LV"/>
        </w:rPr>
        <w:t xml:space="preserve"> </w:t>
      </w:r>
      <w:r w:rsidRPr="00D86A47">
        <w:rPr>
          <w:sz w:val="18"/>
          <w:szCs w:val="18"/>
          <w:lang w:val="lv-LV"/>
        </w:rPr>
        <w:t>Sākotnēji CFLA pieņēma lēmumu par 100% finanšu korekciju pret visu projektā noslēgtā līguma summu, tomēr, pārvērtējot lietas apstākļus, lai CFLA rīcība būtu samērīga un piemērota konkrētā mērķa sasniegšanai, kā arī tiktu ievērots līdzsvars starp finansējuma saņēmēja tiesisko interešu ierobežojumiem, līdz kompetentās institūcijas gala lēmumam, potenciāli neatbilstoši veikto izdevumu summa samazināta.</w:t>
      </w:r>
    </w:p>
    <w:p w14:paraId="5C7744B3" w14:textId="77777777" w:rsidR="00D86A47" w:rsidRPr="003431AC" w:rsidRDefault="00D86A47" w:rsidP="00D86A47">
      <w:pPr>
        <w:pStyle w:val="FootnoteText"/>
        <w:rPr>
          <w:sz w:val="18"/>
          <w:szCs w:val="18"/>
          <w:highlight w:val="lightGray"/>
          <w:lang w:val="lv-LV"/>
        </w:rPr>
      </w:pPr>
    </w:p>
  </w:footnote>
  <w:footnote w:id="13">
    <w:p w14:paraId="05DDB338" w14:textId="77777777" w:rsidR="009C5E79" w:rsidRPr="009C5E79" w:rsidRDefault="00841982" w:rsidP="009C5E79">
      <w:pPr>
        <w:pStyle w:val="FootnoteText"/>
        <w:jc w:val="both"/>
        <w:rPr>
          <w:rFonts w:ascii="Times New Roman" w:hAnsi="Times New Roman" w:cs="Times New Roman"/>
          <w:sz w:val="18"/>
          <w:szCs w:val="18"/>
          <w:lang w:val="lv-LV" w:eastAsia="lv-LV"/>
        </w:rPr>
      </w:pPr>
      <w:r>
        <w:rPr>
          <w:rStyle w:val="FootnoteReference"/>
        </w:rPr>
        <w:footnoteRef/>
      </w:r>
      <w:r>
        <w:t xml:space="preserve"> </w:t>
      </w:r>
      <w:r w:rsidR="009C5E79" w:rsidRPr="009C5E79">
        <w:rPr>
          <w:sz w:val="18"/>
          <w:szCs w:val="18"/>
          <w:lang w:val="lv-LV"/>
        </w:rPr>
        <w:t>EIROPAS PARLAMENTA UN PADOMES REGULA (ES) 2024/795 ar ko izveido Eiropas stratēģisko tehnoloģiju platformu (“ STEP ”) un groza Direktīvu 2003/87/EK un Regulas (ES) 2021/1058, (ES) 2021/1056, (ES) 2021/1057, (ES) Nr. 1303/2013, (ES) Nr. 223/2014, (ES) 2021/1060, (ES) 2021/523, (ES) 2021/695, (ES) 2021/697 un (ES) 2021/241</w:t>
      </w:r>
    </w:p>
    <w:p w14:paraId="5FD61D55" w14:textId="25311934" w:rsidR="00841982" w:rsidRPr="00841982" w:rsidRDefault="00841982">
      <w:pPr>
        <w:pStyle w:val="FootnoteText"/>
        <w:rPr>
          <w:lang w:val="lv-LV"/>
        </w:rPr>
      </w:pPr>
    </w:p>
  </w:footnote>
  <w:footnote w:id="14">
    <w:p w14:paraId="483F4859" w14:textId="31E740F7" w:rsidR="0024525C" w:rsidRPr="003431AC" w:rsidRDefault="0024525C" w:rsidP="00CC74E0">
      <w:pPr>
        <w:pStyle w:val="FootnoteText"/>
        <w:spacing w:after="0"/>
        <w:jc w:val="both"/>
        <w:rPr>
          <w:sz w:val="18"/>
          <w:szCs w:val="18"/>
          <w:lang w:val="lv-LV"/>
        </w:rPr>
      </w:pPr>
      <w:r w:rsidRPr="003431AC">
        <w:rPr>
          <w:rStyle w:val="FootnoteReference"/>
          <w:lang w:val="lv-LV"/>
        </w:rPr>
        <w:footnoteRef/>
      </w:r>
      <w:r w:rsidRPr="003431AC">
        <w:rPr>
          <w:lang w:val="lv-LV"/>
        </w:rPr>
        <w:t xml:space="preserve"> </w:t>
      </w:r>
      <w:r w:rsidR="00EE6B60" w:rsidRPr="003431AC">
        <w:rPr>
          <w:sz w:val="18"/>
          <w:szCs w:val="18"/>
          <w:lang w:val="lv-LV"/>
        </w:rPr>
        <w:t>Atbilstoši MK 10.03.2015. noteikumu Nr.124 “</w:t>
      </w:r>
      <w:r w:rsidR="00EE6B60" w:rsidRPr="003431AC">
        <w:rPr>
          <w:i/>
          <w:sz w:val="18"/>
          <w:szCs w:val="18"/>
          <w:lang w:val="lv-LV"/>
        </w:rPr>
        <w:t>Eiropas Strukturālo un investīciju fondu mērķa “Eiropas teritoriālā sadarbība” programmu finansēto projektu finanšu kontroles veikšanas kārtība</w:t>
      </w:r>
      <w:r w:rsidR="00EE6B60" w:rsidRPr="003431AC">
        <w:rPr>
          <w:sz w:val="18"/>
          <w:szCs w:val="18"/>
          <w:lang w:val="lv-LV"/>
        </w:rPr>
        <w:t xml:space="preserve">” regulējumam VARAM (finanšu kontroles institūcija) nodrošina, izdevumu pārbaudi, kuri radušies Latvijas finansējuma saņēmēju (partneru) projektu ietvaros vairākās ETS programmās. Finanšu kontroles ietvaros tiek veikta izdevumu pārbaudes, kuras laikā finanšu kontroles institūcija pārskatos var </w:t>
      </w:r>
      <w:r w:rsidR="00EE6B60" w:rsidRPr="003431AC">
        <w:rPr>
          <w:b/>
          <w:sz w:val="18"/>
          <w:szCs w:val="18"/>
          <w:lang w:val="lv-LV"/>
        </w:rPr>
        <w:t>konstatēt neattiecināmās izmaksas, samazinot pārskatā ietverto izmaksu apjomu un izsniedzot atzinumu</w:t>
      </w:r>
      <w:r w:rsidR="007E1BED" w:rsidRPr="003431AC">
        <w:rPr>
          <w:sz w:val="18"/>
          <w:szCs w:val="18"/>
          <w:lang w:val="lv-LV"/>
        </w:rPr>
        <w:t>.</w:t>
      </w:r>
      <w:r w:rsidR="007E1BED" w:rsidRPr="003431AC">
        <w:rPr>
          <w:rFonts w:ascii="Calibri" w:hAnsi="Calibri" w:cs="Calibri"/>
          <w:color w:val="000000"/>
          <w:sz w:val="18"/>
          <w:szCs w:val="18"/>
          <w:lang w:val="lv-LV" w:eastAsia="lv-LV"/>
        </w:rPr>
        <w:t xml:space="preserve"> </w:t>
      </w:r>
      <w:r w:rsidR="007E1BED" w:rsidRPr="003431AC">
        <w:rPr>
          <w:sz w:val="18"/>
          <w:szCs w:val="18"/>
          <w:lang w:val="lv-LV"/>
        </w:rPr>
        <w:t xml:space="preserve">Atbilstoši finanšu kontroles institūcijas sniegtajam atzinumam projekta vadošais partneris sagatavo partnera un projekta progresa konsolidēto pārskatu, kurā ir </w:t>
      </w:r>
      <w:r w:rsidR="007E1BED" w:rsidRPr="003431AC">
        <w:rPr>
          <w:b/>
          <w:sz w:val="18"/>
          <w:szCs w:val="18"/>
          <w:lang w:val="lv-LV"/>
        </w:rPr>
        <w:t>ietverts jau samazināts izmaksu apjoms, ievērojot ar finanšu kontroles institūcijas atzinumu (konstatējumu) konstatētās neattiecināmās izmaksas,</w:t>
      </w:r>
      <w:r w:rsidR="007E1BED" w:rsidRPr="003431AC">
        <w:rPr>
          <w:sz w:val="18"/>
          <w:szCs w:val="18"/>
          <w:lang w:val="lv-LV"/>
        </w:rPr>
        <w:t xml:space="preserve"> un kurš tiek iesniegts Vadošajai iestādei izmaksu apstiprināšanai. </w:t>
      </w:r>
    </w:p>
  </w:footnote>
  <w:footnote w:id="15">
    <w:p w14:paraId="5E141AAD" w14:textId="3DC9BE2D" w:rsidR="00354F3F" w:rsidRPr="003431AC" w:rsidRDefault="0024525C" w:rsidP="00CC74E0">
      <w:pPr>
        <w:pStyle w:val="FootnoteText"/>
        <w:spacing w:after="0"/>
        <w:jc w:val="both"/>
        <w:rPr>
          <w:sz w:val="18"/>
          <w:szCs w:val="18"/>
          <w:lang w:val="lv-LV"/>
        </w:rPr>
      </w:pPr>
      <w:r w:rsidRPr="003431AC">
        <w:rPr>
          <w:rStyle w:val="FootnoteReference"/>
          <w:sz w:val="18"/>
          <w:szCs w:val="18"/>
          <w:lang w:val="lv-LV"/>
        </w:rPr>
        <w:footnoteRef/>
      </w:r>
      <w:r w:rsidRPr="003431AC">
        <w:rPr>
          <w:sz w:val="18"/>
          <w:szCs w:val="18"/>
          <w:lang w:val="lv-LV"/>
        </w:rPr>
        <w:t xml:space="preserve"> </w:t>
      </w:r>
      <w:r w:rsidR="006169D9" w:rsidRPr="003431AC">
        <w:rPr>
          <w:sz w:val="18"/>
          <w:szCs w:val="18"/>
          <w:lang w:val="lv-LV"/>
        </w:rPr>
        <w:t>Atbilstoši MK 09.08.2022. noteikumu Nr.493 9.punktam, ja finanšu kontroles institūcija konstatē, ka pilnībā vai daļēji nav ievērotas tieši piemērojam</w:t>
      </w:r>
      <w:r w:rsidR="00DD08EB" w:rsidRPr="003431AC">
        <w:rPr>
          <w:sz w:val="18"/>
          <w:szCs w:val="18"/>
          <w:lang w:val="lv-LV"/>
        </w:rPr>
        <w:t xml:space="preserve">ās </w:t>
      </w:r>
      <w:r w:rsidR="006169D9" w:rsidRPr="003431AC">
        <w:rPr>
          <w:sz w:val="18"/>
          <w:szCs w:val="18"/>
          <w:lang w:val="lv-LV"/>
        </w:rPr>
        <w:t xml:space="preserve">prasības, tā, ņemot vērā pārkāpuma apmēru un raksturu, </w:t>
      </w:r>
      <w:r w:rsidR="006169D9" w:rsidRPr="003431AC">
        <w:rPr>
          <w:b/>
          <w:sz w:val="18"/>
          <w:szCs w:val="18"/>
          <w:lang w:val="lv-LV"/>
        </w:rPr>
        <w:t>samazina pārskatā iekļautās attiecināmās izmaksas par summu, kas atbilst neatbilstoši veikto izmaksu apjomam</w:t>
      </w:r>
      <w:r w:rsidR="006169D9" w:rsidRPr="003431AC">
        <w:rPr>
          <w:sz w:val="18"/>
          <w:szCs w:val="18"/>
          <w:lang w:val="lv-LV"/>
        </w:rPr>
        <w:t xml:space="preserve">, vai </w:t>
      </w:r>
      <w:r w:rsidR="006169D9" w:rsidRPr="003431AC">
        <w:rPr>
          <w:b/>
          <w:sz w:val="18"/>
          <w:szCs w:val="18"/>
          <w:lang w:val="lv-LV"/>
        </w:rPr>
        <w:t xml:space="preserve">proporcionāli </w:t>
      </w:r>
      <w:r w:rsidR="006169D9" w:rsidRPr="003431AC">
        <w:rPr>
          <w:sz w:val="18"/>
          <w:szCs w:val="18"/>
          <w:lang w:val="lv-LV"/>
        </w:rPr>
        <w:t xml:space="preserve">saskaņā ar programmas rokasgrāmatu, vai, ja nav ievēroti publiskā iepirkuma noteikumi, saskaņā ar </w:t>
      </w:r>
      <w:r w:rsidR="00753AA9" w:rsidRPr="003431AC">
        <w:rPr>
          <w:sz w:val="18"/>
          <w:szCs w:val="18"/>
          <w:lang w:val="lv-LV"/>
        </w:rPr>
        <w:t>EK</w:t>
      </w:r>
      <w:r w:rsidR="006169D9" w:rsidRPr="003431AC">
        <w:rPr>
          <w:sz w:val="18"/>
          <w:szCs w:val="18"/>
          <w:lang w:val="lv-LV"/>
        </w:rPr>
        <w:t xml:space="preserve"> apstiprinātām pamatnostādnēm</w:t>
      </w:r>
      <w:r w:rsidR="00DD08EB" w:rsidRPr="003431AC">
        <w:rPr>
          <w:sz w:val="18"/>
          <w:szCs w:val="18"/>
          <w:lang w:val="lv-LV"/>
        </w:rPr>
        <w:t>.</w:t>
      </w:r>
      <w:r w:rsidR="0047458C" w:rsidRPr="003431AC">
        <w:rPr>
          <w:rFonts w:ascii="Calibri" w:eastAsia="Times New Roman" w:hAnsi="Calibri" w:cs="Calibri"/>
          <w:sz w:val="18"/>
          <w:szCs w:val="18"/>
          <w:lang w:val="lv-LV" w:eastAsia="lv-LV"/>
        </w:rPr>
        <w:t xml:space="preserve"> </w:t>
      </w:r>
      <w:r w:rsidR="00354F3F" w:rsidRPr="003431AC">
        <w:rPr>
          <w:sz w:val="18"/>
          <w:szCs w:val="18"/>
          <w:lang w:val="lv-LV"/>
        </w:rPr>
        <w:t>Atbilstoši finanšu kontroles institūcijas sniegtajam atzinumam</w:t>
      </w:r>
      <w:r w:rsidR="00354F3F" w:rsidRPr="003431AC">
        <w:rPr>
          <w:lang w:val="lv-LV"/>
        </w:rPr>
        <w:t xml:space="preserve"> </w:t>
      </w:r>
      <w:r w:rsidR="00354F3F" w:rsidRPr="003431AC">
        <w:rPr>
          <w:sz w:val="18"/>
          <w:szCs w:val="18"/>
          <w:lang w:val="lv-LV"/>
        </w:rPr>
        <w:t xml:space="preserve">projekta vadošais partneris sagatavo partnera un projekta progresa konsolidēto pārskatu, kurā ir </w:t>
      </w:r>
      <w:r w:rsidR="00354F3F" w:rsidRPr="003431AC">
        <w:rPr>
          <w:b/>
          <w:sz w:val="18"/>
          <w:szCs w:val="18"/>
          <w:lang w:val="lv-LV"/>
        </w:rPr>
        <w:t>ietverts jau samazināts izmaksu apjoms, ievērojot</w:t>
      </w:r>
      <w:r w:rsidR="00354F3F" w:rsidRPr="003431AC">
        <w:rPr>
          <w:sz w:val="18"/>
          <w:szCs w:val="18"/>
          <w:lang w:val="lv-LV"/>
        </w:rPr>
        <w:t xml:space="preserve"> ar finanšu kontroles institūcijas atzinumu (konstatējumu) </w:t>
      </w:r>
      <w:r w:rsidR="00354F3F" w:rsidRPr="003431AC">
        <w:rPr>
          <w:b/>
          <w:sz w:val="18"/>
          <w:szCs w:val="18"/>
          <w:lang w:val="lv-LV"/>
        </w:rPr>
        <w:t>konstatētās neattiecināmās izmaksas</w:t>
      </w:r>
      <w:r w:rsidR="00354F3F" w:rsidRPr="003431AC">
        <w:rPr>
          <w:sz w:val="18"/>
          <w:szCs w:val="18"/>
          <w:lang w:val="lv-LV"/>
        </w:rPr>
        <w:t xml:space="preserve">, un kurš tiek iesniegts Vadošajai iestādei izmaksu apstiprināšanai. </w:t>
      </w:r>
    </w:p>
    <w:p w14:paraId="447217D5" w14:textId="44504D11" w:rsidR="006169D9" w:rsidRPr="003431AC" w:rsidRDefault="006169D9" w:rsidP="00DD08EB">
      <w:pPr>
        <w:pStyle w:val="FootnoteText"/>
        <w:jc w:val="both"/>
        <w:rPr>
          <w:sz w:val="18"/>
          <w:szCs w:val="18"/>
          <w:lang w:val="lv-LV"/>
        </w:rPr>
      </w:pPr>
    </w:p>
    <w:p w14:paraId="05EC0443" w14:textId="68091068" w:rsidR="0024525C" w:rsidRPr="006066F5" w:rsidRDefault="0024525C">
      <w:pPr>
        <w:pStyle w:val="FootnoteText"/>
      </w:pPr>
    </w:p>
  </w:footnote>
  <w:footnote w:id="16">
    <w:p w14:paraId="7044C438" w14:textId="184F11DD" w:rsidR="00DE4A8C" w:rsidRPr="0039789D" w:rsidRDefault="00DE4A8C" w:rsidP="007E5255">
      <w:pPr>
        <w:pStyle w:val="FootnoteText"/>
        <w:spacing w:after="0"/>
        <w:jc w:val="both"/>
        <w:rPr>
          <w:sz w:val="18"/>
          <w:szCs w:val="18"/>
          <w:lang w:val="lv-LV"/>
        </w:rPr>
      </w:pPr>
      <w:r w:rsidRPr="0039789D">
        <w:rPr>
          <w:rStyle w:val="FootnoteReference"/>
          <w:sz w:val="18"/>
          <w:szCs w:val="18"/>
          <w:lang w:val="lv-LV"/>
        </w:rPr>
        <w:footnoteRef/>
      </w:r>
      <w:r w:rsidRPr="0039789D">
        <w:rPr>
          <w:sz w:val="18"/>
          <w:szCs w:val="18"/>
          <w:lang w:val="lv-LV"/>
        </w:rPr>
        <w:t xml:space="preserve">  </w:t>
      </w:r>
      <w:r w:rsidR="00C959BD" w:rsidRPr="0039789D">
        <w:rPr>
          <w:sz w:val="18"/>
          <w:szCs w:val="18"/>
          <w:lang w:val="lv-LV"/>
        </w:rPr>
        <w:t xml:space="preserve">Finanšu ministrijas </w:t>
      </w:r>
      <w:r w:rsidR="00A47D83" w:rsidRPr="0039789D">
        <w:rPr>
          <w:sz w:val="18"/>
          <w:szCs w:val="18"/>
          <w:lang w:val="lv-LV"/>
        </w:rPr>
        <w:t xml:space="preserve">15.12.2023. </w:t>
      </w:r>
      <w:r w:rsidR="00050599" w:rsidRPr="0039789D">
        <w:rPr>
          <w:sz w:val="18"/>
          <w:szCs w:val="18"/>
          <w:lang w:val="lv-LV"/>
        </w:rPr>
        <w:t>kārtība</w:t>
      </w:r>
      <w:r w:rsidR="00A47D83" w:rsidRPr="0039789D">
        <w:rPr>
          <w:sz w:val="18"/>
          <w:szCs w:val="18"/>
          <w:lang w:val="lv-LV"/>
        </w:rPr>
        <w:t xml:space="preserve"> Nr.8 “</w:t>
      </w:r>
      <w:r w:rsidR="00C959BD" w:rsidRPr="0039789D">
        <w:rPr>
          <w:i/>
          <w:sz w:val="18"/>
          <w:szCs w:val="18"/>
          <w:lang w:val="lv-LV"/>
        </w:rPr>
        <w:t>Skaidrojumi par pārkāpumu konstatēšanu, ziņošanu un atgūšanu Atveseļošanas fonda plāna īstenošanā</w:t>
      </w:r>
      <w:r w:rsidR="00A47D83" w:rsidRPr="0039789D">
        <w:rPr>
          <w:sz w:val="18"/>
          <w:szCs w:val="18"/>
          <w:lang w:val="lv-LV"/>
        </w:rPr>
        <w:t xml:space="preserve"> ”</w:t>
      </w:r>
    </w:p>
  </w:footnote>
  <w:footnote w:id="17">
    <w:p w14:paraId="24AA3C9D" w14:textId="2C4DBE02" w:rsidR="00E41C98" w:rsidRPr="0039789D" w:rsidRDefault="00E41C98" w:rsidP="00292B2F">
      <w:pPr>
        <w:pStyle w:val="FootnoteText"/>
        <w:spacing w:after="0"/>
        <w:jc w:val="both"/>
        <w:rPr>
          <w:sz w:val="18"/>
          <w:szCs w:val="18"/>
          <w:lang w:val="lv-LV"/>
        </w:rPr>
      </w:pPr>
      <w:r w:rsidRPr="0039789D">
        <w:rPr>
          <w:rStyle w:val="FootnoteReference"/>
          <w:sz w:val="18"/>
          <w:szCs w:val="18"/>
          <w:lang w:val="lv-LV"/>
        </w:rPr>
        <w:footnoteRef/>
      </w:r>
      <w:r w:rsidRPr="0039789D">
        <w:rPr>
          <w:sz w:val="18"/>
          <w:szCs w:val="18"/>
          <w:lang w:val="lv-LV"/>
        </w:rPr>
        <w:t xml:space="preserve"> </w:t>
      </w:r>
      <w:r w:rsidR="0015011A" w:rsidRPr="0039789D">
        <w:rPr>
          <w:sz w:val="18"/>
          <w:szCs w:val="18"/>
          <w:lang w:val="lv-LV"/>
        </w:rPr>
        <w:t>“</w:t>
      </w:r>
      <w:r w:rsidR="0015011A" w:rsidRPr="0039789D">
        <w:rPr>
          <w:b/>
          <w:sz w:val="18"/>
          <w:szCs w:val="18"/>
          <w:lang w:val="lv-LV"/>
        </w:rPr>
        <w:t>Trūkumu</w:t>
      </w:r>
      <w:r w:rsidR="0015011A" w:rsidRPr="0039789D">
        <w:rPr>
          <w:sz w:val="18"/>
          <w:szCs w:val="18"/>
          <w:lang w:val="lv-LV"/>
        </w:rPr>
        <w:t>” un “</w:t>
      </w:r>
      <w:r w:rsidR="0015011A" w:rsidRPr="0039789D">
        <w:rPr>
          <w:b/>
          <w:sz w:val="18"/>
          <w:szCs w:val="18"/>
          <w:lang w:val="lv-LV"/>
        </w:rPr>
        <w:t>pārkāpumu</w:t>
      </w:r>
      <w:r w:rsidR="0015011A" w:rsidRPr="0039789D">
        <w:rPr>
          <w:sz w:val="18"/>
          <w:szCs w:val="18"/>
          <w:lang w:val="lv-LV"/>
        </w:rPr>
        <w:t xml:space="preserve">” definīcijas AF kontekstā atrodamas </w:t>
      </w:r>
      <w:r w:rsidR="00C74A60" w:rsidRPr="0039789D">
        <w:rPr>
          <w:sz w:val="18"/>
          <w:szCs w:val="18"/>
          <w:lang w:val="lv-LV"/>
        </w:rPr>
        <w:t>Finanšu ministrijas 15.12.2023. kārtība Nr.8 “</w:t>
      </w:r>
      <w:r w:rsidR="00C74A60" w:rsidRPr="0039789D">
        <w:rPr>
          <w:i/>
          <w:sz w:val="18"/>
          <w:szCs w:val="18"/>
          <w:lang w:val="lv-LV"/>
        </w:rPr>
        <w:t>Skaidrojumi par pārkāpumu konstatēšanu, ziņošanu un atgūšanu Atveseļošanas fonda plāna īstenošanā</w:t>
      </w:r>
      <w:r w:rsidR="00C74A60" w:rsidRPr="0039789D">
        <w:rPr>
          <w:sz w:val="18"/>
          <w:szCs w:val="18"/>
          <w:lang w:val="lv-LV"/>
        </w:rPr>
        <w:t xml:space="preserve"> ”</w:t>
      </w:r>
    </w:p>
  </w:footnote>
  <w:footnote w:id="18">
    <w:p w14:paraId="6FB33C8B" w14:textId="7E6B5801" w:rsidR="003047CD" w:rsidRPr="0004282E" w:rsidRDefault="003047CD" w:rsidP="003047CD">
      <w:pPr>
        <w:pStyle w:val="FootnoteText"/>
        <w:contextualSpacing/>
        <w:rPr>
          <w:color w:val="FF0000"/>
          <w:sz w:val="18"/>
          <w:szCs w:val="18"/>
          <w:lang w:val="lv-LV"/>
        </w:rPr>
      </w:pPr>
      <w:r>
        <w:rPr>
          <w:rStyle w:val="FootnoteReference"/>
        </w:rPr>
        <w:footnoteRef/>
      </w:r>
      <w:r>
        <w:t xml:space="preserve"> </w:t>
      </w:r>
      <w:r w:rsidR="007E154A" w:rsidRPr="007E154A">
        <w:rPr>
          <w:lang w:val="lv-LV"/>
        </w:rPr>
        <w:t>EPPO ikgadējais ziņojums pieejams</w:t>
      </w:r>
      <w:r w:rsidR="007E154A">
        <w:t xml:space="preserve"> </w:t>
      </w:r>
      <w:hyperlink r:id="rId6" w:history="1">
        <w:r w:rsidR="007E154A" w:rsidRPr="007E154A">
          <w:rPr>
            <w:rStyle w:val="Hyperlink"/>
            <w:lang w:val="lv-LV"/>
          </w:rPr>
          <w:t>šeit</w:t>
        </w:r>
      </w:hyperlink>
      <w:r w:rsidR="007E154A">
        <w:rPr>
          <w:lang w:val="lv-LV"/>
        </w:rPr>
        <w:t>.</w:t>
      </w:r>
    </w:p>
  </w:footnote>
  <w:footnote w:id="19">
    <w:p w14:paraId="6328E022" w14:textId="2EC52756" w:rsidR="00FF3BCF" w:rsidRPr="0039789D" w:rsidRDefault="00FF3BCF">
      <w:pPr>
        <w:pStyle w:val="FootnoteText"/>
        <w:contextualSpacing/>
        <w:rPr>
          <w:b/>
          <w:sz w:val="18"/>
          <w:szCs w:val="18"/>
          <w:lang w:val="lv-LV"/>
        </w:rPr>
      </w:pPr>
      <w:r w:rsidRPr="0039789D">
        <w:rPr>
          <w:rStyle w:val="FootnoteReference"/>
          <w:sz w:val="18"/>
          <w:szCs w:val="18"/>
          <w:lang w:val="lv-LV"/>
        </w:rPr>
        <w:footnoteRef/>
      </w:r>
      <w:r w:rsidRPr="0039789D">
        <w:rPr>
          <w:sz w:val="18"/>
          <w:szCs w:val="18"/>
          <w:lang w:val="lv-LV"/>
        </w:rPr>
        <w:t xml:space="preserve"> No 45 aktīvajiem kriminālprocesiem</w:t>
      </w:r>
      <w:r w:rsidR="00F7717B" w:rsidRPr="0039789D">
        <w:rPr>
          <w:sz w:val="18"/>
          <w:szCs w:val="18"/>
          <w:lang w:val="lv-LV"/>
        </w:rPr>
        <w:t xml:space="preserve">: </w:t>
      </w:r>
      <w:r w:rsidR="00527A03" w:rsidRPr="0039789D">
        <w:rPr>
          <w:sz w:val="18"/>
          <w:szCs w:val="18"/>
          <w:lang w:val="lv-LV"/>
        </w:rPr>
        <w:t>14 –</w:t>
      </w:r>
      <w:r w:rsidR="00942AD6" w:rsidRPr="0039789D">
        <w:rPr>
          <w:sz w:val="18"/>
          <w:szCs w:val="18"/>
          <w:lang w:val="lv-LV"/>
        </w:rPr>
        <w:t xml:space="preserve"> uzsākti</w:t>
      </w:r>
      <w:r w:rsidR="00527A03" w:rsidRPr="0039789D">
        <w:rPr>
          <w:sz w:val="18"/>
          <w:szCs w:val="18"/>
          <w:lang w:val="lv-LV"/>
        </w:rPr>
        <w:t xml:space="preserve"> 2024. gadā; </w:t>
      </w:r>
      <w:r w:rsidR="0063287B" w:rsidRPr="0039789D">
        <w:rPr>
          <w:sz w:val="18"/>
          <w:szCs w:val="18"/>
          <w:lang w:val="lv-LV"/>
        </w:rPr>
        <w:t>11</w:t>
      </w:r>
      <w:r w:rsidR="00F7717B" w:rsidRPr="0039789D">
        <w:rPr>
          <w:sz w:val="18"/>
          <w:szCs w:val="18"/>
          <w:lang w:val="lv-LV"/>
        </w:rPr>
        <w:t xml:space="preserve"> - 2023. gadā; </w:t>
      </w:r>
      <w:r w:rsidR="0023030D" w:rsidRPr="0039789D">
        <w:rPr>
          <w:sz w:val="18"/>
          <w:szCs w:val="18"/>
          <w:lang w:val="lv-LV"/>
        </w:rPr>
        <w:t>8</w:t>
      </w:r>
      <w:r w:rsidR="00F7717B" w:rsidRPr="0039789D">
        <w:rPr>
          <w:sz w:val="18"/>
          <w:szCs w:val="18"/>
          <w:lang w:val="lv-LV"/>
        </w:rPr>
        <w:t xml:space="preserve"> -2022.gadā; </w:t>
      </w:r>
      <w:r w:rsidR="0023030D" w:rsidRPr="0039789D">
        <w:rPr>
          <w:sz w:val="18"/>
          <w:szCs w:val="18"/>
          <w:lang w:val="lv-LV"/>
        </w:rPr>
        <w:t>3</w:t>
      </w:r>
      <w:r w:rsidR="001673C6" w:rsidRPr="0039789D">
        <w:rPr>
          <w:sz w:val="18"/>
          <w:szCs w:val="18"/>
          <w:lang w:val="lv-LV"/>
        </w:rPr>
        <w:t xml:space="preserve"> – 2021.gadā;  </w:t>
      </w:r>
      <w:r w:rsidR="0023030D" w:rsidRPr="0039789D">
        <w:rPr>
          <w:sz w:val="18"/>
          <w:szCs w:val="18"/>
          <w:lang w:val="lv-LV"/>
        </w:rPr>
        <w:t>1</w:t>
      </w:r>
      <w:r w:rsidR="001673C6" w:rsidRPr="0039789D">
        <w:rPr>
          <w:sz w:val="18"/>
          <w:szCs w:val="18"/>
          <w:lang w:val="lv-LV"/>
        </w:rPr>
        <w:t xml:space="preserve"> – 2020. gadā; </w:t>
      </w:r>
      <w:r w:rsidR="0023030D" w:rsidRPr="0039789D">
        <w:rPr>
          <w:sz w:val="18"/>
          <w:szCs w:val="18"/>
          <w:lang w:val="lv-LV"/>
        </w:rPr>
        <w:t>4</w:t>
      </w:r>
      <w:r w:rsidR="001673C6" w:rsidRPr="0039789D">
        <w:rPr>
          <w:sz w:val="18"/>
          <w:szCs w:val="18"/>
          <w:lang w:val="lv-LV"/>
        </w:rPr>
        <w:t xml:space="preserve"> – 2019.gadā</w:t>
      </w:r>
      <w:r w:rsidR="00D62E66" w:rsidRPr="0039789D">
        <w:rPr>
          <w:sz w:val="18"/>
          <w:szCs w:val="18"/>
          <w:lang w:val="lv-LV"/>
        </w:rPr>
        <w:t>;</w:t>
      </w:r>
      <w:r w:rsidR="001673C6" w:rsidRPr="0039789D">
        <w:rPr>
          <w:sz w:val="18"/>
          <w:szCs w:val="18"/>
          <w:lang w:val="lv-LV"/>
        </w:rPr>
        <w:t xml:space="preserve"> </w:t>
      </w:r>
      <w:r w:rsidR="00D62E66" w:rsidRPr="0039789D">
        <w:rPr>
          <w:sz w:val="18"/>
          <w:szCs w:val="18"/>
          <w:lang w:val="lv-LV"/>
        </w:rPr>
        <w:t xml:space="preserve"> </w:t>
      </w:r>
      <w:r w:rsidR="0023030D" w:rsidRPr="0039789D">
        <w:rPr>
          <w:sz w:val="18"/>
          <w:szCs w:val="18"/>
          <w:lang w:val="lv-LV"/>
        </w:rPr>
        <w:t>2</w:t>
      </w:r>
      <w:r w:rsidR="00D62E66" w:rsidRPr="0039789D">
        <w:rPr>
          <w:sz w:val="18"/>
          <w:szCs w:val="18"/>
          <w:lang w:val="lv-LV"/>
        </w:rPr>
        <w:t xml:space="preserve"> - 2018. gadā; </w:t>
      </w:r>
      <w:r w:rsidR="00EC712E" w:rsidRPr="0039789D">
        <w:rPr>
          <w:sz w:val="18"/>
          <w:szCs w:val="18"/>
          <w:lang w:val="lv-LV"/>
        </w:rPr>
        <w:t xml:space="preserve">1 – 2017.gadā; 1 -2015. gadā. </w:t>
      </w:r>
    </w:p>
  </w:footnote>
  <w:footnote w:id="20">
    <w:p w14:paraId="577F4FEB" w14:textId="4006CEA3" w:rsidR="000142E8" w:rsidRPr="0039789D" w:rsidRDefault="000142E8">
      <w:pPr>
        <w:pStyle w:val="FootnoteText"/>
        <w:contextualSpacing/>
        <w:rPr>
          <w:sz w:val="18"/>
          <w:szCs w:val="18"/>
          <w:lang w:val="lv-LV"/>
        </w:rPr>
      </w:pPr>
      <w:r w:rsidRPr="0039789D">
        <w:rPr>
          <w:rStyle w:val="FootnoteReference"/>
          <w:sz w:val="18"/>
          <w:szCs w:val="18"/>
          <w:lang w:val="lv-LV"/>
        </w:rPr>
        <w:footnoteRef/>
      </w:r>
      <w:r w:rsidRPr="0039789D">
        <w:rPr>
          <w:sz w:val="18"/>
          <w:szCs w:val="18"/>
          <w:lang w:val="lv-LV"/>
        </w:rPr>
        <w:t xml:space="preserve"> </w:t>
      </w:r>
      <w:r w:rsidR="00442D8F" w:rsidRPr="0039789D">
        <w:rPr>
          <w:sz w:val="18"/>
          <w:szCs w:val="18"/>
          <w:lang w:val="lv-LV"/>
        </w:rPr>
        <w:t>No 7 kriminālprocesiem: 2- uzsākti 2024.</w:t>
      </w:r>
      <w:r w:rsidR="008B190A" w:rsidRPr="0039789D">
        <w:rPr>
          <w:sz w:val="18"/>
          <w:szCs w:val="18"/>
          <w:lang w:val="lv-LV"/>
        </w:rPr>
        <w:t xml:space="preserve"> </w:t>
      </w:r>
      <w:r w:rsidR="00442D8F" w:rsidRPr="0039789D">
        <w:rPr>
          <w:sz w:val="18"/>
          <w:szCs w:val="18"/>
          <w:lang w:val="lv-LV"/>
        </w:rPr>
        <w:t xml:space="preserve">gadā, </w:t>
      </w:r>
      <w:r w:rsidR="00217A10" w:rsidRPr="0039789D">
        <w:rPr>
          <w:sz w:val="18"/>
          <w:szCs w:val="18"/>
          <w:lang w:val="lv-LV"/>
        </w:rPr>
        <w:t>3 – 2023.</w:t>
      </w:r>
      <w:r w:rsidR="008B190A" w:rsidRPr="0039789D">
        <w:rPr>
          <w:sz w:val="18"/>
          <w:szCs w:val="18"/>
          <w:lang w:val="lv-LV"/>
        </w:rPr>
        <w:t xml:space="preserve"> </w:t>
      </w:r>
      <w:r w:rsidR="00217A10" w:rsidRPr="0039789D">
        <w:rPr>
          <w:sz w:val="18"/>
          <w:szCs w:val="18"/>
          <w:lang w:val="lv-LV"/>
        </w:rPr>
        <w:t>gadā, 1- 2022.</w:t>
      </w:r>
      <w:r w:rsidR="008B190A" w:rsidRPr="0039789D">
        <w:rPr>
          <w:sz w:val="18"/>
          <w:szCs w:val="18"/>
          <w:lang w:val="lv-LV"/>
        </w:rPr>
        <w:t xml:space="preserve"> </w:t>
      </w:r>
      <w:r w:rsidR="00217A10" w:rsidRPr="0039789D">
        <w:rPr>
          <w:sz w:val="18"/>
          <w:szCs w:val="18"/>
          <w:lang w:val="lv-LV"/>
        </w:rPr>
        <w:t>gadā un 1 – 2021.</w:t>
      </w:r>
      <w:r w:rsidR="008B190A" w:rsidRPr="0039789D">
        <w:rPr>
          <w:sz w:val="18"/>
          <w:szCs w:val="18"/>
          <w:lang w:val="lv-LV"/>
        </w:rPr>
        <w:t xml:space="preserve"> </w:t>
      </w:r>
      <w:r w:rsidR="00217A10" w:rsidRPr="0039789D">
        <w:rPr>
          <w:sz w:val="18"/>
          <w:szCs w:val="18"/>
          <w:lang w:val="lv-LV"/>
        </w:rPr>
        <w:t>gadā.</w:t>
      </w:r>
    </w:p>
  </w:footnote>
  <w:footnote w:id="21">
    <w:p w14:paraId="7156BCC2" w14:textId="52774625" w:rsidR="00BF0241" w:rsidRPr="0039789D" w:rsidRDefault="00BF0241" w:rsidP="00501F49">
      <w:pPr>
        <w:pStyle w:val="FootnoteText"/>
        <w:contextualSpacing/>
        <w:jc w:val="both"/>
        <w:rPr>
          <w:sz w:val="18"/>
          <w:szCs w:val="18"/>
          <w:lang w:val="lv-LV"/>
        </w:rPr>
      </w:pPr>
      <w:r w:rsidRPr="0039789D">
        <w:rPr>
          <w:rStyle w:val="FootnoteReference"/>
          <w:lang w:val="lv-LV"/>
        </w:rPr>
        <w:footnoteRef/>
      </w:r>
      <w:r w:rsidRPr="0039789D">
        <w:rPr>
          <w:lang w:val="lv-LV"/>
        </w:rPr>
        <w:t xml:space="preserve"> </w:t>
      </w:r>
      <w:r w:rsidR="000B0C18" w:rsidRPr="0039789D">
        <w:rPr>
          <w:sz w:val="18"/>
          <w:szCs w:val="18"/>
          <w:lang w:val="lv-LV"/>
        </w:rPr>
        <w:t>Metodiskais materiāls par sadarbību un informācijas apmaiņu starp Finanšu ministrijas Krāpšanas apkarošanas koordinācijas dienestu (AFCOS),  nacionālajām institūcijām un Eiropas Biroju krāpšanas apkarošanā (OLAF) Eiropas Savienības finanšu interešu aizsardzības jomā</w:t>
      </w:r>
      <w:r w:rsidR="00501F49" w:rsidRPr="0039789D">
        <w:rPr>
          <w:sz w:val="18"/>
          <w:szCs w:val="18"/>
          <w:lang w:val="lv-LV"/>
        </w:rPr>
        <w:t xml:space="preserve"> aktualizēts 25.07.2024.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42D"/>
    <w:multiLevelType w:val="hybridMultilevel"/>
    <w:tmpl w:val="D1B25AFE"/>
    <w:lvl w:ilvl="0" w:tplc="AB72B4FC">
      <w:start w:val="2"/>
      <w:numFmt w:val="bullet"/>
      <w:lvlText w:val="–"/>
      <w:lvlJc w:val="left"/>
      <w:pPr>
        <w:ind w:left="927" w:hanging="360"/>
      </w:pPr>
      <w:rPr>
        <w:rFonts w:ascii="Georgia" w:eastAsiaTheme="minorHAnsi" w:hAnsi="Georgia" w:cstheme="min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51828DE"/>
    <w:multiLevelType w:val="hybridMultilevel"/>
    <w:tmpl w:val="414C4F4A"/>
    <w:lvl w:ilvl="0" w:tplc="147E807A">
      <w:start w:val="2"/>
      <w:numFmt w:val="bullet"/>
      <w:lvlText w:val="–"/>
      <w:lvlJc w:val="left"/>
      <w:pPr>
        <w:ind w:left="927" w:hanging="360"/>
      </w:pPr>
      <w:rPr>
        <w:rFonts w:ascii="Georgia" w:eastAsiaTheme="minorHAnsi" w:hAnsi="Georgia" w:cstheme="min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06A4512"/>
    <w:multiLevelType w:val="hybridMultilevel"/>
    <w:tmpl w:val="08AE5582"/>
    <w:lvl w:ilvl="0" w:tplc="147E807A">
      <w:start w:val="2"/>
      <w:numFmt w:val="bullet"/>
      <w:lvlText w:val="–"/>
      <w:lvlJc w:val="left"/>
      <w:pPr>
        <w:ind w:left="1440" w:hanging="360"/>
      </w:pPr>
      <w:rPr>
        <w:rFonts w:ascii="Georgia" w:eastAsiaTheme="minorHAnsi" w:hAnsi="Georgia"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0896A49"/>
    <w:multiLevelType w:val="hybridMultilevel"/>
    <w:tmpl w:val="8820B11A"/>
    <w:lvl w:ilvl="0" w:tplc="147E807A">
      <w:start w:val="2"/>
      <w:numFmt w:val="bullet"/>
      <w:lvlText w:val="–"/>
      <w:lvlJc w:val="left"/>
      <w:pPr>
        <w:ind w:left="1440" w:hanging="360"/>
      </w:pPr>
      <w:rPr>
        <w:rFonts w:ascii="Georgia" w:eastAsiaTheme="minorHAnsi" w:hAnsi="Georgia"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15F602B"/>
    <w:multiLevelType w:val="multilevel"/>
    <w:tmpl w:val="212E4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867571"/>
    <w:multiLevelType w:val="hybridMultilevel"/>
    <w:tmpl w:val="21F65DB2"/>
    <w:lvl w:ilvl="0" w:tplc="147E807A">
      <w:start w:val="2"/>
      <w:numFmt w:val="bullet"/>
      <w:lvlText w:val="–"/>
      <w:lvlJc w:val="left"/>
      <w:pPr>
        <w:ind w:left="1920" w:hanging="360"/>
      </w:pPr>
      <w:rPr>
        <w:rFonts w:ascii="Georgia" w:eastAsiaTheme="minorHAnsi" w:hAnsi="Georgia" w:cstheme="minorBidi" w:hint="default"/>
        <w:b/>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6" w15:restartNumberingAfterBreak="0">
    <w:nsid w:val="2E397BC8"/>
    <w:multiLevelType w:val="hybridMultilevel"/>
    <w:tmpl w:val="F998F206"/>
    <w:lvl w:ilvl="0" w:tplc="B91ABA2A">
      <w:start w:val="2021"/>
      <w:numFmt w:val="bullet"/>
      <w:lvlText w:val="-"/>
      <w:lvlJc w:val="left"/>
      <w:pPr>
        <w:ind w:left="1440" w:hanging="360"/>
      </w:pPr>
      <w:rPr>
        <w:rFonts w:ascii="Georgia" w:eastAsiaTheme="minorHAnsi" w:hAnsi="Georgia"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E663471"/>
    <w:multiLevelType w:val="hybridMultilevel"/>
    <w:tmpl w:val="0FD4AAC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EEE1E07"/>
    <w:multiLevelType w:val="hybridMultilevel"/>
    <w:tmpl w:val="6E426A1A"/>
    <w:lvl w:ilvl="0" w:tplc="E52A2778">
      <w:numFmt w:val="bullet"/>
      <w:lvlText w:val="-"/>
      <w:lvlJc w:val="left"/>
      <w:pPr>
        <w:ind w:left="720" w:hanging="360"/>
      </w:pPr>
      <w:rPr>
        <w:rFonts w:ascii="Georgia" w:eastAsiaTheme="minorHAnsi" w:hAnsi="Georgia" w:cstheme="minorBid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F63E82"/>
    <w:multiLevelType w:val="hybridMultilevel"/>
    <w:tmpl w:val="D43ECC96"/>
    <w:lvl w:ilvl="0" w:tplc="E23EEF52">
      <w:numFmt w:val="bullet"/>
      <w:lvlText w:val="-"/>
      <w:lvlJc w:val="left"/>
      <w:pPr>
        <w:ind w:left="1130" w:hanging="360"/>
      </w:pPr>
      <w:rPr>
        <w:rFonts w:ascii="Aptos" w:eastAsiaTheme="minorHAnsi" w:hAnsi="Aptos" w:cstheme="minorBidi" w:hint="default"/>
      </w:rPr>
    </w:lvl>
    <w:lvl w:ilvl="1" w:tplc="04260003" w:tentative="1">
      <w:start w:val="1"/>
      <w:numFmt w:val="bullet"/>
      <w:lvlText w:val="o"/>
      <w:lvlJc w:val="left"/>
      <w:pPr>
        <w:ind w:left="1850" w:hanging="360"/>
      </w:pPr>
      <w:rPr>
        <w:rFonts w:ascii="Courier New" w:hAnsi="Courier New" w:cs="Courier New" w:hint="default"/>
      </w:rPr>
    </w:lvl>
    <w:lvl w:ilvl="2" w:tplc="04260005" w:tentative="1">
      <w:start w:val="1"/>
      <w:numFmt w:val="bullet"/>
      <w:lvlText w:val=""/>
      <w:lvlJc w:val="left"/>
      <w:pPr>
        <w:ind w:left="2570" w:hanging="360"/>
      </w:pPr>
      <w:rPr>
        <w:rFonts w:ascii="Wingdings" w:hAnsi="Wingdings" w:hint="default"/>
      </w:rPr>
    </w:lvl>
    <w:lvl w:ilvl="3" w:tplc="04260001" w:tentative="1">
      <w:start w:val="1"/>
      <w:numFmt w:val="bullet"/>
      <w:lvlText w:val=""/>
      <w:lvlJc w:val="left"/>
      <w:pPr>
        <w:ind w:left="3290" w:hanging="360"/>
      </w:pPr>
      <w:rPr>
        <w:rFonts w:ascii="Symbol" w:hAnsi="Symbol" w:hint="default"/>
      </w:rPr>
    </w:lvl>
    <w:lvl w:ilvl="4" w:tplc="04260003" w:tentative="1">
      <w:start w:val="1"/>
      <w:numFmt w:val="bullet"/>
      <w:lvlText w:val="o"/>
      <w:lvlJc w:val="left"/>
      <w:pPr>
        <w:ind w:left="4010" w:hanging="360"/>
      </w:pPr>
      <w:rPr>
        <w:rFonts w:ascii="Courier New" w:hAnsi="Courier New" w:cs="Courier New" w:hint="default"/>
      </w:rPr>
    </w:lvl>
    <w:lvl w:ilvl="5" w:tplc="04260005" w:tentative="1">
      <w:start w:val="1"/>
      <w:numFmt w:val="bullet"/>
      <w:lvlText w:val=""/>
      <w:lvlJc w:val="left"/>
      <w:pPr>
        <w:ind w:left="4730" w:hanging="360"/>
      </w:pPr>
      <w:rPr>
        <w:rFonts w:ascii="Wingdings" w:hAnsi="Wingdings" w:hint="default"/>
      </w:rPr>
    </w:lvl>
    <w:lvl w:ilvl="6" w:tplc="04260001" w:tentative="1">
      <w:start w:val="1"/>
      <w:numFmt w:val="bullet"/>
      <w:lvlText w:val=""/>
      <w:lvlJc w:val="left"/>
      <w:pPr>
        <w:ind w:left="5450" w:hanging="360"/>
      </w:pPr>
      <w:rPr>
        <w:rFonts w:ascii="Symbol" w:hAnsi="Symbol" w:hint="default"/>
      </w:rPr>
    </w:lvl>
    <w:lvl w:ilvl="7" w:tplc="04260003" w:tentative="1">
      <w:start w:val="1"/>
      <w:numFmt w:val="bullet"/>
      <w:lvlText w:val="o"/>
      <w:lvlJc w:val="left"/>
      <w:pPr>
        <w:ind w:left="6170" w:hanging="360"/>
      </w:pPr>
      <w:rPr>
        <w:rFonts w:ascii="Courier New" w:hAnsi="Courier New" w:cs="Courier New" w:hint="default"/>
      </w:rPr>
    </w:lvl>
    <w:lvl w:ilvl="8" w:tplc="04260005" w:tentative="1">
      <w:start w:val="1"/>
      <w:numFmt w:val="bullet"/>
      <w:lvlText w:val=""/>
      <w:lvlJc w:val="left"/>
      <w:pPr>
        <w:ind w:left="6890" w:hanging="360"/>
      </w:pPr>
      <w:rPr>
        <w:rFonts w:ascii="Wingdings" w:hAnsi="Wingdings" w:hint="default"/>
      </w:rPr>
    </w:lvl>
  </w:abstractNum>
  <w:abstractNum w:abstractNumId="10" w15:restartNumberingAfterBreak="0">
    <w:nsid w:val="304E56E2"/>
    <w:multiLevelType w:val="hybridMultilevel"/>
    <w:tmpl w:val="A6E400BA"/>
    <w:lvl w:ilvl="0" w:tplc="A910442C">
      <w:start w:val="1"/>
      <w:numFmt w:val="decimal"/>
      <w:lvlText w:val="%1."/>
      <w:lvlJc w:val="left"/>
      <w:pPr>
        <w:ind w:left="1120" w:hanging="40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19314DD"/>
    <w:multiLevelType w:val="hybridMultilevel"/>
    <w:tmpl w:val="BEAAF1B2"/>
    <w:lvl w:ilvl="0" w:tplc="768C69BC">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6B1760"/>
    <w:multiLevelType w:val="hybridMultilevel"/>
    <w:tmpl w:val="FDB0E2F0"/>
    <w:lvl w:ilvl="0" w:tplc="19EA782E">
      <w:start w:val="2021"/>
      <w:numFmt w:val="bullet"/>
      <w:lvlText w:val="-"/>
      <w:lvlJc w:val="left"/>
      <w:pPr>
        <w:ind w:left="927" w:hanging="360"/>
      </w:pPr>
      <w:rPr>
        <w:rFonts w:ascii="Georgia" w:eastAsiaTheme="minorHAnsi" w:hAnsi="Georgia" w:cstheme="minorBidi" w:hint="default"/>
        <w:b w:val="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4BD976E6"/>
    <w:multiLevelType w:val="hybridMultilevel"/>
    <w:tmpl w:val="E9B698A8"/>
    <w:lvl w:ilvl="0" w:tplc="B7D4E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E8C1B64"/>
    <w:multiLevelType w:val="hybridMultilevel"/>
    <w:tmpl w:val="1E481A7E"/>
    <w:lvl w:ilvl="0" w:tplc="976CADE8">
      <w:start w:val="1"/>
      <w:numFmt w:val="decimal"/>
      <w:lvlText w:val="%1."/>
      <w:lvlJc w:val="left"/>
      <w:pPr>
        <w:ind w:left="1020" w:hanging="360"/>
      </w:pPr>
    </w:lvl>
    <w:lvl w:ilvl="1" w:tplc="48264B80">
      <w:start w:val="1"/>
      <w:numFmt w:val="decimal"/>
      <w:lvlText w:val="%2."/>
      <w:lvlJc w:val="left"/>
      <w:pPr>
        <w:ind w:left="1020" w:hanging="360"/>
      </w:pPr>
    </w:lvl>
    <w:lvl w:ilvl="2" w:tplc="CD80493C">
      <w:start w:val="1"/>
      <w:numFmt w:val="decimal"/>
      <w:lvlText w:val="%3."/>
      <w:lvlJc w:val="left"/>
      <w:pPr>
        <w:ind w:left="1020" w:hanging="360"/>
      </w:pPr>
    </w:lvl>
    <w:lvl w:ilvl="3" w:tplc="D9C860A0">
      <w:start w:val="1"/>
      <w:numFmt w:val="decimal"/>
      <w:lvlText w:val="%4."/>
      <w:lvlJc w:val="left"/>
      <w:pPr>
        <w:ind w:left="1020" w:hanging="360"/>
      </w:pPr>
    </w:lvl>
    <w:lvl w:ilvl="4" w:tplc="74AE9938">
      <w:start w:val="1"/>
      <w:numFmt w:val="decimal"/>
      <w:lvlText w:val="%5."/>
      <w:lvlJc w:val="left"/>
      <w:pPr>
        <w:ind w:left="1020" w:hanging="360"/>
      </w:pPr>
    </w:lvl>
    <w:lvl w:ilvl="5" w:tplc="6B1451F2">
      <w:start w:val="1"/>
      <w:numFmt w:val="decimal"/>
      <w:lvlText w:val="%6."/>
      <w:lvlJc w:val="left"/>
      <w:pPr>
        <w:ind w:left="1020" w:hanging="360"/>
      </w:pPr>
    </w:lvl>
    <w:lvl w:ilvl="6" w:tplc="09F20498">
      <w:start w:val="1"/>
      <w:numFmt w:val="decimal"/>
      <w:lvlText w:val="%7."/>
      <w:lvlJc w:val="left"/>
      <w:pPr>
        <w:ind w:left="1020" w:hanging="360"/>
      </w:pPr>
    </w:lvl>
    <w:lvl w:ilvl="7" w:tplc="A114FB2E">
      <w:start w:val="1"/>
      <w:numFmt w:val="decimal"/>
      <w:lvlText w:val="%8."/>
      <w:lvlJc w:val="left"/>
      <w:pPr>
        <w:ind w:left="1020" w:hanging="360"/>
      </w:pPr>
    </w:lvl>
    <w:lvl w:ilvl="8" w:tplc="A70E568A">
      <w:start w:val="1"/>
      <w:numFmt w:val="decimal"/>
      <w:lvlText w:val="%9."/>
      <w:lvlJc w:val="left"/>
      <w:pPr>
        <w:ind w:left="1020" w:hanging="360"/>
      </w:pPr>
    </w:lvl>
  </w:abstractNum>
  <w:abstractNum w:abstractNumId="15" w15:restartNumberingAfterBreak="0">
    <w:nsid w:val="509A75C4"/>
    <w:multiLevelType w:val="hybridMultilevel"/>
    <w:tmpl w:val="58342AFC"/>
    <w:lvl w:ilvl="0" w:tplc="3F9CC30C">
      <w:start w:val="2023"/>
      <w:numFmt w:val="bullet"/>
      <w:lvlText w:val="-"/>
      <w:lvlJc w:val="left"/>
      <w:pPr>
        <w:ind w:left="1080" w:hanging="360"/>
      </w:pPr>
      <w:rPr>
        <w:rFonts w:ascii="Georgia" w:eastAsiaTheme="minorHAnsi" w:hAnsi="Georgia"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59D037D3"/>
    <w:multiLevelType w:val="hybridMultilevel"/>
    <w:tmpl w:val="3F343BD6"/>
    <w:lvl w:ilvl="0" w:tplc="1E225592">
      <w:start w:val="2"/>
      <w:numFmt w:val="bullet"/>
      <w:lvlText w:val="–"/>
      <w:lvlJc w:val="left"/>
      <w:pPr>
        <w:ind w:left="927" w:hanging="360"/>
      </w:pPr>
      <w:rPr>
        <w:rFonts w:ascii="Georgia" w:eastAsiaTheme="minorHAnsi" w:hAnsi="Georgia" w:cstheme="min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5AF36C24"/>
    <w:multiLevelType w:val="hybridMultilevel"/>
    <w:tmpl w:val="DA6AABB8"/>
    <w:lvl w:ilvl="0" w:tplc="56706396">
      <w:start w:val="1"/>
      <w:numFmt w:val="decimal"/>
      <w:lvlText w:val="%1."/>
      <w:lvlJc w:val="left"/>
      <w:pPr>
        <w:ind w:left="720" w:hanging="360"/>
      </w:pPr>
      <w:rPr>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223EC4"/>
    <w:multiLevelType w:val="hybridMultilevel"/>
    <w:tmpl w:val="78CEE48E"/>
    <w:lvl w:ilvl="0" w:tplc="B91ABA2A">
      <w:start w:val="2021"/>
      <w:numFmt w:val="bullet"/>
      <w:lvlText w:val="-"/>
      <w:lvlJc w:val="left"/>
      <w:pPr>
        <w:ind w:left="927" w:hanging="360"/>
      </w:pPr>
      <w:rPr>
        <w:rFonts w:ascii="Georgia" w:eastAsiaTheme="minorHAnsi" w:hAnsi="Georgia" w:cstheme="min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5E937E6F"/>
    <w:multiLevelType w:val="hybridMultilevel"/>
    <w:tmpl w:val="F738D6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58C0866"/>
    <w:multiLevelType w:val="hybridMultilevel"/>
    <w:tmpl w:val="E61C4A00"/>
    <w:lvl w:ilvl="0" w:tplc="0426000B">
      <w:start w:val="1"/>
      <w:numFmt w:val="bullet"/>
      <w:lvlText w:val=""/>
      <w:lvlJc w:val="left"/>
      <w:pPr>
        <w:ind w:left="1920" w:hanging="360"/>
      </w:pPr>
      <w:rPr>
        <w:rFonts w:ascii="Wingdings" w:hAnsi="Wingdings" w:hint="default"/>
        <w:b/>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21" w15:restartNumberingAfterBreak="0">
    <w:nsid w:val="6DEB2D42"/>
    <w:multiLevelType w:val="hybridMultilevel"/>
    <w:tmpl w:val="F15009E4"/>
    <w:lvl w:ilvl="0" w:tplc="E11EF394">
      <w:start w:val="1"/>
      <w:numFmt w:val="decimal"/>
      <w:lvlText w:val="%1."/>
      <w:lvlJc w:val="left"/>
      <w:pPr>
        <w:ind w:left="720" w:hanging="360"/>
      </w:pPr>
      <w:rPr>
        <w:rFonts w:hint="default"/>
        <w:b/>
        <w:bCs/>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93495C"/>
    <w:multiLevelType w:val="hybridMultilevel"/>
    <w:tmpl w:val="81A61D38"/>
    <w:lvl w:ilvl="0" w:tplc="339EA6EE">
      <w:start w:val="2"/>
      <w:numFmt w:val="bullet"/>
      <w:lvlText w:val="–"/>
      <w:lvlJc w:val="left"/>
      <w:pPr>
        <w:ind w:left="927" w:hanging="360"/>
      </w:pPr>
      <w:rPr>
        <w:rFonts w:ascii="Georgia" w:eastAsiaTheme="minorHAnsi" w:hAnsi="Georgia" w:cstheme="min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3" w15:restartNumberingAfterBreak="0">
    <w:nsid w:val="6F0E35F1"/>
    <w:multiLevelType w:val="hybridMultilevel"/>
    <w:tmpl w:val="4D6A3E86"/>
    <w:lvl w:ilvl="0" w:tplc="8B8C01A4">
      <w:start w:val="2"/>
      <w:numFmt w:val="bullet"/>
      <w:lvlText w:val="–"/>
      <w:lvlJc w:val="left"/>
      <w:pPr>
        <w:ind w:left="927" w:hanging="360"/>
      </w:pPr>
      <w:rPr>
        <w:rFonts w:ascii="Georgia" w:eastAsiaTheme="minorHAnsi" w:hAnsi="Georgia" w:cstheme="min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795A33CE"/>
    <w:multiLevelType w:val="hybridMultilevel"/>
    <w:tmpl w:val="37A8B8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2088528354">
    <w:abstractNumId w:val="23"/>
  </w:num>
  <w:num w:numId="2" w16cid:durableId="141580904">
    <w:abstractNumId w:val="1"/>
  </w:num>
  <w:num w:numId="3" w16cid:durableId="1808811933">
    <w:abstractNumId w:val="22"/>
  </w:num>
  <w:num w:numId="4" w16cid:durableId="1537616958">
    <w:abstractNumId w:val="16"/>
  </w:num>
  <w:num w:numId="5" w16cid:durableId="773553826">
    <w:abstractNumId w:val="0"/>
  </w:num>
  <w:num w:numId="6" w16cid:durableId="1223177221">
    <w:abstractNumId w:val="10"/>
  </w:num>
  <w:num w:numId="7" w16cid:durableId="1933970224">
    <w:abstractNumId w:val="13"/>
  </w:num>
  <w:num w:numId="8" w16cid:durableId="572660333">
    <w:abstractNumId w:val="12"/>
  </w:num>
  <w:num w:numId="9" w16cid:durableId="2035570295">
    <w:abstractNumId w:val="18"/>
  </w:num>
  <w:num w:numId="10" w16cid:durableId="1904368952">
    <w:abstractNumId w:val="8"/>
  </w:num>
  <w:num w:numId="11" w16cid:durableId="2124882189">
    <w:abstractNumId w:val="6"/>
  </w:num>
  <w:num w:numId="12" w16cid:durableId="336690818">
    <w:abstractNumId w:val="3"/>
  </w:num>
  <w:num w:numId="13" w16cid:durableId="99952863">
    <w:abstractNumId w:val="2"/>
  </w:num>
  <w:num w:numId="14" w16cid:durableId="146097038">
    <w:abstractNumId w:val="5"/>
  </w:num>
  <w:num w:numId="15" w16cid:durableId="1800688757">
    <w:abstractNumId w:val="17"/>
  </w:num>
  <w:num w:numId="16" w16cid:durableId="428737693">
    <w:abstractNumId w:val="11"/>
  </w:num>
  <w:num w:numId="17" w16cid:durableId="1038046253">
    <w:abstractNumId w:val="14"/>
  </w:num>
  <w:num w:numId="18" w16cid:durableId="601425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2188158">
    <w:abstractNumId w:val="24"/>
  </w:num>
  <w:num w:numId="20" w16cid:durableId="231744774">
    <w:abstractNumId w:val="15"/>
  </w:num>
  <w:num w:numId="21" w16cid:durableId="1986860173">
    <w:abstractNumId w:val="21"/>
  </w:num>
  <w:num w:numId="22" w16cid:durableId="625352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1719190">
    <w:abstractNumId w:val="20"/>
  </w:num>
  <w:num w:numId="24" w16cid:durableId="1304383752">
    <w:abstractNumId w:val="19"/>
  </w:num>
  <w:num w:numId="25" w16cid:durableId="1002973784">
    <w:abstractNumId w:val="7"/>
  </w:num>
  <w:num w:numId="26" w16cid:durableId="126630319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e Dolgais">
    <w15:presenceInfo w15:providerId="None" w15:userId="Inese Dolga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83"/>
    <w:rsid w:val="00001923"/>
    <w:rsid w:val="00001F8F"/>
    <w:rsid w:val="00002007"/>
    <w:rsid w:val="000058C5"/>
    <w:rsid w:val="000065D6"/>
    <w:rsid w:val="000142E8"/>
    <w:rsid w:val="00014BF5"/>
    <w:rsid w:val="00016F46"/>
    <w:rsid w:val="00017956"/>
    <w:rsid w:val="00020DBD"/>
    <w:rsid w:val="00022535"/>
    <w:rsid w:val="0002337E"/>
    <w:rsid w:val="00024CD3"/>
    <w:rsid w:val="00025BC0"/>
    <w:rsid w:val="00025DF8"/>
    <w:rsid w:val="000275D0"/>
    <w:rsid w:val="00027BB2"/>
    <w:rsid w:val="00027BC9"/>
    <w:rsid w:val="0003219C"/>
    <w:rsid w:val="0003319D"/>
    <w:rsid w:val="000345DE"/>
    <w:rsid w:val="00035D1F"/>
    <w:rsid w:val="00036FDA"/>
    <w:rsid w:val="00037567"/>
    <w:rsid w:val="00040694"/>
    <w:rsid w:val="00040AF3"/>
    <w:rsid w:val="000410D2"/>
    <w:rsid w:val="000415B2"/>
    <w:rsid w:val="0004282E"/>
    <w:rsid w:val="000429D5"/>
    <w:rsid w:val="00046B70"/>
    <w:rsid w:val="00050124"/>
    <w:rsid w:val="00050599"/>
    <w:rsid w:val="0005465C"/>
    <w:rsid w:val="00054747"/>
    <w:rsid w:val="00060A08"/>
    <w:rsid w:val="00060FB6"/>
    <w:rsid w:val="00063F94"/>
    <w:rsid w:val="000640BF"/>
    <w:rsid w:val="000640CD"/>
    <w:rsid w:val="00064751"/>
    <w:rsid w:val="00071D33"/>
    <w:rsid w:val="00072AFB"/>
    <w:rsid w:val="00072CC5"/>
    <w:rsid w:val="00073076"/>
    <w:rsid w:val="00082504"/>
    <w:rsid w:val="000833BC"/>
    <w:rsid w:val="00083534"/>
    <w:rsid w:val="0008664B"/>
    <w:rsid w:val="000917B6"/>
    <w:rsid w:val="00092C5A"/>
    <w:rsid w:val="00092D59"/>
    <w:rsid w:val="00093328"/>
    <w:rsid w:val="000956F0"/>
    <w:rsid w:val="000959E7"/>
    <w:rsid w:val="00096163"/>
    <w:rsid w:val="00096C48"/>
    <w:rsid w:val="0009739B"/>
    <w:rsid w:val="00097E7E"/>
    <w:rsid w:val="000A0414"/>
    <w:rsid w:val="000A0BAC"/>
    <w:rsid w:val="000A22DC"/>
    <w:rsid w:val="000A5239"/>
    <w:rsid w:val="000A5B19"/>
    <w:rsid w:val="000A6378"/>
    <w:rsid w:val="000A7B00"/>
    <w:rsid w:val="000B0C18"/>
    <w:rsid w:val="000B18D1"/>
    <w:rsid w:val="000B2665"/>
    <w:rsid w:val="000B3285"/>
    <w:rsid w:val="000B4851"/>
    <w:rsid w:val="000B4B90"/>
    <w:rsid w:val="000B5703"/>
    <w:rsid w:val="000B69D4"/>
    <w:rsid w:val="000B78DC"/>
    <w:rsid w:val="000C1989"/>
    <w:rsid w:val="000C2457"/>
    <w:rsid w:val="000C3063"/>
    <w:rsid w:val="000C3269"/>
    <w:rsid w:val="000C3FDA"/>
    <w:rsid w:val="000C40B0"/>
    <w:rsid w:val="000C44F5"/>
    <w:rsid w:val="000C6B84"/>
    <w:rsid w:val="000D0617"/>
    <w:rsid w:val="000D21BE"/>
    <w:rsid w:val="000D38CB"/>
    <w:rsid w:val="000D4005"/>
    <w:rsid w:val="000D4D50"/>
    <w:rsid w:val="000D60D9"/>
    <w:rsid w:val="000D79F4"/>
    <w:rsid w:val="000D7A8E"/>
    <w:rsid w:val="000E30BC"/>
    <w:rsid w:val="000E36E2"/>
    <w:rsid w:val="000E3F46"/>
    <w:rsid w:val="000E4D87"/>
    <w:rsid w:val="000E5581"/>
    <w:rsid w:val="000F0680"/>
    <w:rsid w:val="000F110A"/>
    <w:rsid w:val="000F16B4"/>
    <w:rsid w:val="000F192A"/>
    <w:rsid w:val="000F4A19"/>
    <w:rsid w:val="000F5C88"/>
    <w:rsid w:val="00102650"/>
    <w:rsid w:val="00104A41"/>
    <w:rsid w:val="0010503F"/>
    <w:rsid w:val="00110906"/>
    <w:rsid w:val="00111A53"/>
    <w:rsid w:val="00112F85"/>
    <w:rsid w:val="001155C5"/>
    <w:rsid w:val="00116B11"/>
    <w:rsid w:val="00117747"/>
    <w:rsid w:val="00121AD1"/>
    <w:rsid w:val="00121DCC"/>
    <w:rsid w:val="001247F1"/>
    <w:rsid w:val="0012483A"/>
    <w:rsid w:val="00124D80"/>
    <w:rsid w:val="00131BA0"/>
    <w:rsid w:val="001322E1"/>
    <w:rsid w:val="00137553"/>
    <w:rsid w:val="001406C4"/>
    <w:rsid w:val="0014094B"/>
    <w:rsid w:val="001416BB"/>
    <w:rsid w:val="001416EB"/>
    <w:rsid w:val="001417F4"/>
    <w:rsid w:val="00141CC2"/>
    <w:rsid w:val="00143685"/>
    <w:rsid w:val="0014589A"/>
    <w:rsid w:val="00146A38"/>
    <w:rsid w:val="00147F2D"/>
    <w:rsid w:val="0015011A"/>
    <w:rsid w:val="00150130"/>
    <w:rsid w:val="00152D12"/>
    <w:rsid w:val="00154563"/>
    <w:rsid w:val="00155182"/>
    <w:rsid w:val="001562EA"/>
    <w:rsid w:val="0015665C"/>
    <w:rsid w:val="001609B5"/>
    <w:rsid w:val="0016194D"/>
    <w:rsid w:val="00161B85"/>
    <w:rsid w:val="00162F48"/>
    <w:rsid w:val="0016346A"/>
    <w:rsid w:val="0016443C"/>
    <w:rsid w:val="00164BD2"/>
    <w:rsid w:val="00165D8C"/>
    <w:rsid w:val="0016631D"/>
    <w:rsid w:val="001673C6"/>
    <w:rsid w:val="00172014"/>
    <w:rsid w:val="00175B0F"/>
    <w:rsid w:val="00175C1A"/>
    <w:rsid w:val="00177CD9"/>
    <w:rsid w:val="00182092"/>
    <w:rsid w:val="001835C1"/>
    <w:rsid w:val="00183DCE"/>
    <w:rsid w:val="0018456E"/>
    <w:rsid w:val="00185486"/>
    <w:rsid w:val="00187B80"/>
    <w:rsid w:val="00190498"/>
    <w:rsid w:val="00190AEC"/>
    <w:rsid w:val="00191A71"/>
    <w:rsid w:val="00192E79"/>
    <w:rsid w:val="0019488B"/>
    <w:rsid w:val="0019576F"/>
    <w:rsid w:val="00196809"/>
    <w:rsid w:val="00197769"/>
    <w:rsid w:val="001A1DF2"/>
    <w:rsid w:val="001A43E9"/>
    <w:rsid w:val="001A5073"/>
    <w:rsid w:val="001A5531"/>
    <w:rsid w:val="001A757F"/>
    <w:rsid w:val="001B0F78"/>
    <w:rsid w:val="001B5D56"/>
    <w:rsid w:val="001B725F"/>
    <w:rsid w:val="001C12B7"/>
    <w:rsid w:val="001C1CF7"/>
    <w:rsid w:val="001C24A7"/>
    <w:rsid w:val="001D75C1"/>
    <w:rsid w:val="001D7A6D"/>
    <w:rsid w:val="001E04F4"/>
    <w:rsid w:val="001E0B61"/>
    <w:rsid w:val="001E36AD"/>
    <w:rsid w:val="001E4A5A"/>
    <w:rsid w:val="001E4FB4"/>
    <w:rsid w:val="001E5C9E"/>
    <w:rsid w:val="001E63E0"/>
    <w:rsid w:val="001E7E25"/>
    <w:rsid w:val="001E7ED8"/>
    <w:rsid w:val="001F0BD8"/>
    <w:rsid w:val="001F1356"/>
    <w:rsid w:val="001F4903"/>
    <w:rsid w:val="001F4BAF"/>
    <w:rsid w:val="001F4E14"/>
    <w:rsid w:val="001F4F0D"/>
    <w:rsid w:val="001F5677"/>
    <w:rsid w:val="001F7675"/>
    <w:rsid w:val="001F7CB0"/>
    <w:rsid w:val="001F7D30"/>
    <w:rsid w:val="0020026A"/>
    <w:rsid w:val="00200A07"/>
    <w:rsid w:val="00200E22"/>
    <w:rsid w:val="00202F59"/>
    <w:rsid w:val="00204755"/>
    <w:rsid w:val="00206994"/>
    <w:rsid w:val="00207042"/>
    <w:rsid w:val="002118FF"/>
    <w:rsid w:val="00211C80"/>
    <w:rsid w:val="00213D58"/>
    <w:rsid w:val="0021404F"/>
    <w:rsid w:val="00214333"/>
    <w:rsid w:val="00215670"/>
    <w:rsid w:val="002166A5"/>
    <w:rsid w:val="00217A10"/>
    <w:rsid w:val="0022080C"/>
    <w:rsid w:val="00222176"/>
    <w:rsid w:val="002230F8"/>
    <w:rsid w:val="002231D1"/>
    <w:rsid w:val="00223D66"/>
    <w:rsid w:val="002261B2"/>
    <w:rsid w:val="0022647C"/>
    <w:rsid w:val="00227037"/>
    <w:rsid w:val="002272ED"/>
    <w:rsid w:val="00227AE7"/>
    <w:rsid w:val="002300A3"/>
    <w:rsid w:val="0023030D"/>
    <w:rsid w:val="002340EC"/>
    <w:rsid w:val="00235444"/>
    <w:rsid w:val="002357A3"/>
    <w:rsid w:val="0023597A"/>
    <w:rsid w:val="00237125"/>
    <w:rsid w:val="00237417"/>
    <w:rsid w:val="0023743C"/>
    <w:rsid w:val="002407FB"/>
    <w:rsid w:val="002413BC"/>
    <w:rsid w:val="002416B6"/>
    <w:rsid w:val="00242087"/>
    <w:rsid w:val="0024466B"/>
    <w:rsid w:val="0024525C"/>
    <w:rsid w:val="00246CE8"/>
    <w:rsid w:val="00250EBC"/>
    <w:rsid w:val="00252666"/>
    <w:rsid w:val="0025305C"/>
    <w:rsid w:val="00253D63"/>
    <w:rsid w:val="00254CD8"/>
    <w:rsid w:val="0025505C"/>
    <w:rsid w:val="00255B02"/>
    <w:rsid w:val="002564AD"/>
    <w:rsid w:val="0025683F"/>
    <w:rsid w:val="00256AC3"/>
    <w:rsid w:val="00256DCF"/>
    <w:rsid w:val="002576F7"/>
    <w:rsid w:val="00257C5B"/>
    <w:rsid w:val="00261C44"/>
    <w:rsid w:val="00267344"/>
    <w:rsid w:val="002677EC"/>
    <w:rsid w:val="00270143"/>
    <w:rsid w:val="00271B12"/>
    <w:rsid w:val="00272492"/>
    <w:rsid w:val="00273E16"/>
    <w:rsid w:val="00274F7D"/>
    <w:rsid w:val="00275C32"/>
    <w:rsid w:val="002762E6"/>
    <w:rsid w:val="002773A0"/>
    <w:rsid w:val="00282398"/>
    <w:rsid w:val="002825A7"/>
    <w:rsid w:val="0028447D"/>
    <w:rsid w:val="002848E0"/>
    <w:rsid w:val="00284C79"/>
    <w:rsid w:val="00284D15"/>
    <w:rsid w:val="00285552"/>
    <w:rsid w:val="00285E81"/>
    <w:rsid w:val="00286807"/>
    <w:rsid w:val="00286EC5"/>
    <w:rsid w:val="00287350"/>
    <w:rsid w:val="00291FA8"/>
    <w:rsid w:val="00292B2F"/>
    <w:rsid w:val="002934D7"/>
    <w:rsid w:val="00293FF9"/>
    <w:rsid w:val="002940D5"/>
    <w:rsid w:val="002A01FB"/>
    <w:rsid w:val="002A0FF6"/>
    <w:rsid w:val="002A10F8"/>
    <w:rsid w:val="002A1BD6"/>
    <w:rsid w:val="002A3BD1"/>
    <w:rsid w:val="002A6AFE"/>
    <w:rsid w:val="002A6F70"/>
    <w:rsid w:val="002B1CB2"/>
    <w:rsid w:val="002B3B0A"/>
    <w:rsid w:val="002B7F30"/>
    <w:rsid w:val="002C0E9F"/>
    <w:rsid w:val="002C1EFF"/>
    <w:rsid w:val="002C2F7B"/>
    <w:rsid w:val="002C3460"/>
    <w:rsid w:val="002C52CF"/>
    <w:rsid w:val="002C727D"/>
    <w:rsid w:val="002D2932"/>
    <w:rsid w:val="002D348B"/>
    <w:rsid w:val="002D5A96"/>
    <w:rsid w:val="002D5F50"/>
    <w:rsid w:val="002D636F"/>
    <w:rsid w:val="002D6CC0"/>
    <w:rsid w:val="002E1600"/>
    <w:rsid w:val="002E2BF0"/>
    <w:rsid w:val="002E373E"/>
    <w:rsid w:val="002E6D32"/>
    <w:rsid w:val="002E6D4C"/>
    <w:rsid w:val="002E72CA"/>
    <w:rsid w:val="002F024C"/>
    <w:rsid w:val="002F0331"/>
    <w:rsid w:val="002F212E"/>
    <w:rsid w:val="002F37CE"/>
    <w:rsid w:val="002F47B1"/>
    <w:rsid w:val="002F4E94"/>
    <w:rsid w:val="002F6D37"/>
    <w:rsid w:val="002F71B9"/>
    <w:rsid w:val="002F7D17"/>
    <w:rsid w:val="00301103"/>
    <w:rsid w:val="003047CD"/>
    <w:rsid w:val="00304C08"/>
    <w:rsid w:val="0030661E"/>
    <w:rsid w:val="0030677D"/>
    <w:rsid w:val="00312621"/>
    <w:rsid w:val="0031388B"/>
    <w:rsid w:val="00314F65"/>
    <w:rsid w:val="00316517"/>
    <w:rsid w:val="003205EA"/>
    <w:rsid w:val="003206F2"/>
    <w:rsid w:val="003207B8"/>
    <w:rsid w:val="003208C4"/>
    <w:rsid w:val="003215E1"/>
    <w:rsid w:val="00322C3B"/>
    <w:rsid w:val="003241CC"/>
    <w:rsid w:val="0032445E"/>
    <w:rsid w:val="00324514"/>
    <w:rsid w:val="003245E1"/>
    <w:rsid w:val="003245EE"/>
    <w:rsid w:val="00326C5D"/>
    <w:rsid w:val="00326F8E"/>
    <w:rsid w:val="003277B3"/>
    <w:rsid w:val="003301DD"/>
    <w:rsid w:val="00330C25"/>
    <w:rsid w:val="003327DE"/>
    <w:rsid w:val="003329F4"/>
    <w:rsid w:val="00333CF6"/>
    <w:rsid w:val="00335122"/>
    <w:rsid w:val="00337676"/>
    <w:rsid w:val="003404AE"/>
    <w:rsid w:val="00341D21"/>
    <w:rsid w:val="003420A7"/>
    <w:rsid w:val="00342695"/>
    <w:rsid w:val="003431AC"/>
    <w:rsid w:val="003442A9"/>
    <w:rsid w:val="00346205"/>
    <w:rsid w:val="0035049F"/>
    <w:rsid w:val="0035077B"/>
    <w:rsid w:val="00351CB1"/>
    <w:rsid w:val="003533AE"/>
    <w:rsid w:val="003533C8"/>
    <w:rsid w:val="003538E7"/>
    <w:rsid w:val="00354B79"/>
    <w:rsid w:val="00354F3F"/>
    <w:rsid w:val="00355EE1"/>
    <w:rsid w:val="0036089A"/>
    <w:rsid w:val="00360DCB"/>
    <w:rsid w:val="00360FA3"/>
    <w:rsid w:val="00364932"/>
    <w:rsid w:val="00364A32"/>
    <w:rsid w:val="00364BCF"/>
    <w:rsid w:val="00365460"/>
    <w:rsid w:val="003658C2"/>
    <w:rsid w:val="003668FA"/>
    <w:rsid w:val="00370DA5"/>
    <w:rsid w:val="00373553"/>
    <w:rsid w:val="0037374E"/>
    <w:rsid w:val="003739BB"/>
    <w:rsid w:val="00373DB6"/>
    <w:rsid w:val="00374B2E"/>
    <w:rsid w:val="00375265"/>
    <w:rsid w:val="00375EF2"/>
    <w:rsid w:val="0037631C"/>
    <w:rsid w:val="0037748C"/>
    <w:rsid w:val="003800FA"/>
    <w:rsid w:val="00380B6B"/>
    <w:rsid w:val="0038128D"/>
    <w:rsid w:val="00383423"/>
    <w:rsid w:val="0038427B"/>
    <w:rsid w:val="003842CE"/>
    <w:rsid w:val="00384363"/>
    <w:rsid w:val="0038469E"/>
    <w:rsid w:val="003848D2"/>
    <w:rsid w:val="00387441"/>
    <w:rsid w:val="00390256"/>
    <w:rsid w:val="0039054D"/>
    <w:rsid w:val="0039137C"/>
    <w:rsid w:val="0039143A"/>
    <w:rsid w:val="003919B8"/>
    <w:rsid w:val="00392D2C"/>
    <w:rsid w:val="00393FF2"/>
    <w:rsid w:val="0039789D"/>
    <w:rsid w:val="003978CA"/>
    <w:rsid w:val="003A04F4"/>
    <w:rsid w:val="003A21F9"/>
    <w:rsid w:val="003A305C"/>
    <w:rsid w:val="003A5EB3"/>
    <w:rsid w:val="003A6DE8"/>
    <w:rsid w:val="003A6FFF"/>
    <w:rsid w:val="003A7497"/>
    <w:rsid w:val="003B0BD8"/>
    <w:rsid w:val="003B0C62"/>
    <w:rsid w:val="003B12B6"/>
    <w:rsid w:val="003B35E4"/>
    <w:rsid w:val="003B3BEC"/>
    <w:rsid w:val="003B4362"/>
    <w:rsid w:val="003B444B"/>
    <w:rsid w:val="003B4B8F"/>
    <w:rsid w:val="003B4D0C"/>
    <w:rsid w:val="003B4FB0"/>
    <w:rsid w:val="003B5127"/>
    <w:rsid w:val="003B7233"/>
    <w:rsid w:val="003B7E6F"/>
    <w:rsid w:val="003B7EFC"/>
    <w:rsid w:val="003C0D8A"/>
    <w:rsid w:val="003C1D2E"/>
    <w:rsid w:val="003C2560"/>
    <w:rsid w:val="003C29FA"/>
    <w:rsid w:val="003C2BA7"/>
    <w:rsid w:val="003C2C62"/>
    <w:rsid w:val="003C2FFF"/>
    <w:rsid w:val="003C7E06"/>
    <w:rsid w:val="003D06F8"/>
    <w:rsid w:val="003D1353"/>
    <w:rsid w:val="003D1928"/>
    <w:rsid w:val="003D1C18"/>
    <w:rsid w:val="003D26B8"/>
    <w:rsid w:val="003D4D8B"/>
    <w:rsid w:val="003D4EC7"/>
    <w:rsid w:val="003D5259"/>
    <w:rsid w:val="003D5FA6"/>
    <w:rsid w:val="003D722D"/>
    <w:rsid w:val="003E1E65"/>
    <w:rsid w:val="003E2A09"/>
    <w:rsid w:val="003E2A65"/>
    <w:rsid w:val="003E35F0"/>
    <w:rsid w:val="003F1045"/>
    <w:rsid w:val="003F22B4"/>
    <w:rsid w:val="003F5A4D"/>
    <w:rsid w:val="003F769F"/>
    <w:rsid w:val="003F7DD7"/>
    <w:rsid w:val="00400215"/>
    <w:rsid w:val="00400A3D"/>
    <w:rsid w:val="00400FB9"/>
    <w:rsid w:val="00402BE2"/>
    <w:rsid w:val="004031A0"/>
    <w:rsid w:val="004052B8"/>
    <w:rsid w:val="00406745"/>
    <w:rsid w:val="0041420F"/>
    <w:rsid w:val="0042114E"/>
    <w:rsid w:val="00423849"/>
    <w:rsid w:val="0042568C"/>
    <w:rsid w:val="0042632C"/>
    <w:rsid w:val="00430704"/>
    <w:rsid w:val="004310C0"/>
    <w:rsid w:val="00435465"/>
    <w:rsid w:val="004375C0"/>
    <w:rsid w:val="00440326"/>
    <w:rsid w:val="00440B00"/>
    <w:rsid w:val="004413A8"/>
    <w:rsid w:val="00441673"/>
    <w:rsid w:val="00442D8F"/>
    <w:rsid w:val="00447C86"/>
    <w:rsid w:val="00447CAA"/>
    <w:rsid w:val="004505EC"/>
    <w:rsid w:val="00451D0C"/>
    <w:rsid w:val="00454E8B"/>
    <w:rsid w:val="00457978"/>
    <w:rsid w:val="004607CC"/>
    <w:rsid w:val="00462EA5"/>
    <w:rsid w:val="004631BC"/>
    <w:rsid w:val="004634F6"/>
    <w:rsid w:val="0046401F"/>
    <w:rsid w:val="0046473F"/>
    <w:rsid w:val="00464FDD"/>
    <w:rsid w:val="00470174"/>
    <w:rsid w:val="004742E4"/>
    <w:rsid w:val="0047458C"/>
    <w:rsid w:val="00475C95"/>
    <w:rsid w:val="00475FA9"/>
    <w:rsid w:val="0048023B"/>
    <w:rsid w:val="00480FFE"/>
    <w:rsid w:val="004813F8"/>
    <w:rsid w:val="00482222"/>
    <w:rsid w:val="004823C4"/>
    <w:rsid w:val="00482B7B"/>
    <w:rsid w:val="004841E9"/>
    <w:rsid w:val="004861E8"/>
    <w:rsid w:val="004878C1"/>
    <w:rsid w:val="00490F86"/>
    <w:rsid w:val="0049108B"/>
    <w:rsid w:val="004924BC"/>
    <w:rsid w:val="0049356A"/>
    <w:rsid w:val="00494008"/>
    <w:rsid w:val="004944C9"/>
    <w:rsid w:val="004957C1"/>
    <w:rsid w:val="00495E20"/>
    <w:rsid w:val="004967D3"/>
    <w:rsid w:val="00496F48"/>
    <w:rsid w:val="00497288"/>
    <w:rsid w:val="004A08FE"/>
    <w:rsid w:val="004A2A77"/>
    <w:rsid w:val="004A381C"/>
    <w:rsid w:val="004A485A"/>
    <w:rsid w:val="004A5A23"/>
    <w:rsid w:val="004B0D85"/>
    <w:rsid w:val="004B31DC"/>
    <w:rsid w:val="004B3C56"/>
    <w:rsid w:val="004B4C65"/>
    <w:rsid w:val="004B7DFD"/>
    <w:rsid w:val="004C0B93"/>
    <w:rsid w:val="004C1EBB"/>
    <w:rsid w:val="004C209E"/>
    <w:rsid w:val="004C54DC"/>
    <w:rsid w:val="004D0C90"/>
    <w:rsid w:val="004D1505"/>
    <w:rsid w:val="004D16D2"/>
    <w:rsid w:val="004D16FF"/>
    <w:rsid w:val="004D253C"/>
    <w:rsid w:val="004D3AC1"/>
    <w:rsid w:val="004D56EA"/>
    <w:rsid w:val="004E0D76"/>
    <w:rsid w:val="004E190B"/>
    <w:rsid w:val="004E192D"/>
    <w:rsid w:val="004E43E8"/>
    <w:rsid w:val="004E520C"/>
    <w:rsid w:val="004E58F8"/>
    <w:rsid w:val="004E5C07"/>
    <w:rsid w:val="004E5D9C"/>
    <w:rsid w:val="004F3767"/>
    <w:rsid w:val="004F434B"/>
    <w:rsid w:val="004F454E"/>
    <w:rsid w:val="004F4E4D"/>
    <w:rsid w:val="004F6032"/>
    <w:rsid w:val="004F696A"/>
    <w:rsid w:val="004F7773"/>
    <w:rsid w:val="004F788B"/>
    <w:rsid w:val="005000AA"/>
    <w:rsid w:val="00501F49"/>
    <w:rsid w:val="00502746"/>
    <w:rsid w:val="005048DE"/>
    <w:rsid w:val="005052EB"/>
    <w:rsid w:val="00505376"/>
    <w:rsid w:val="00505673"/>
    <w:rsid w:val="005070DE"/>
    <w:rsid w:val="005073D8"/>
    <w:rsid w:val="00507C19"/>
    <w:rsid w:val="00510231"/>
    <w:rsid w:val="00510378"/>
    <w:rsid w:val="00510676"/>
    <w:rsid w:val="00510C90"/>
    <w:rsid w:val="00514AF8"/>
    <w:rsid w:val="00515D3B"/>
    <w:rsid w:val="00521337"/>
    <w:rsid w:val="005215B2"/>
    <w:rsid w:val="005215D7"/>
    <w:rsid w:val="00522933"/>
    <w:rsid w:val="00522C2A"/>
    <w:rsid w:val="00523F0B"/>
    <w:rsid w:val="0052563B"/>
    <w:rsid w:val="00526FFA"/>
    <w:rsid w:val="00527512"/>
    <w:rsid w:val="00527A03"/>
    <w:rsid w:val="00527E22"/>
    <w:rsid w:val="00527E5D"/>
    <w:rsid w:val="00527EA6"/>
    <w:rsid w:val="005333B4"/>
    <w:rsid w:val="00533987"/>
    <w:rsid w:val="00534AC7"/>
    <w:rsid w:val="00536195"/>
    <w:rsid w:val="005366F9"/>
    <w:rsid w:val="00536AE4"/>
    <w:rsid w:val="005371FC"/>
    <w:rsid w:val="005375B3"/>
    <w:rsid w:val="00537DEA"/>
    <w:rsid w:val="00542D96"/>
    <w:rsid w:val="00543F0E"/>
    <w:rsid w:val="00545005"/>
    <w:rsid w:val="00545766"/>
    <w:rsid w:val="00545C3B"/>
    <w:rsid w:val="00546B8F"/>
    <w:rsid w:val="00547924"/>
    <w:rsid w:val="005551B2"/>
    <w:rsid w:val="005568C5"/>
    <w:rsid w:val="0055695E"/>
    <w:rsid w:val="005574A9"/>
    <w:rsid w:val="005614FD"/>
    <w:rsid w:val="00566300"/>
    <w:rsid w:val="00573273"/>
    <w:rsid w:val="00574466"/>
    <w:rsid w:val="00575149"/>
    <w:rsid w:val="00575572"/>
    <w:rsid w:val="005765E8"/>
    <w:rsid w:val="00577FBF"/>
    <w:rsid w:val="00582FCC"/>
    <w:rsid w:val="0058495F"/>
    <w:rsid w:val="005861BB"/>
    <w:rsid w:val="00586F73"/>
    <w:rsid w:val="00586FBC"/>
    <w:rsid w:val="0059228D"/>
    <w:rsid w:val="005922AF"/>
    <w:rsid w:val="00593665"/>
    <w:rsid w:val="00595DDD"/>
    <w:rsid w:val="005A00DE"/>
    <w:rsid w:val="005A1EA3"/>
    <w:rsid w:val="005A1FE2"/>
    <w:rsid w:val="005A3DE9"/>
    <w:rsid w:val="005A4253"/>
    <w:rsid w:val="005A5928"/>
    <w:rsid w:val="005A6335"/>
    <w:rsid w:val="005B424B"/>
    <w:rsid w:val="005B7220"/>
    <w:rsid w:val="005B7998"/>
    <w:rsid w:val="005C098E"/>
    <w:rsid w:val="005C1D2E"/>
    <w:rsid w:val="005C2C58"/>
    <w:rsid w:val="005C497A"/>
    <w:rsid w:val="005C5315"/>
    <w:rsid w:val="005C6C33"/>
    <w:rsid w:val="005D1EBC"/>
    <w:rsid w:val="005D4559"/>
    <w:rsid w:val="005D59DD"/>
    <w:rsid w:val="005D5BCC"/>
    <w:rsid w:val="005D5FD1"/>
    <w:rsid w:val="005D6200"/>
    <w:rsid w:val="005D78BE"/>
    <w:rsid w:val="005D7B6A"/>
    <w:rsid w:val="005E0226"/>
    <w:rsid w:val="005E0531"/>
    <w:rsid w:val="005F0F4A"/>
    <w:rsid w:val="005F10E9"/>
    <w:rsid w:val="005F2248"/>
    <w:rsid w:val="005F232D"/>
    <w:rsid w:val="005F2A8F"/>
    <w:rsid w:val="005F73FF"/>
    <w:rsid w:val="00600095"/>
    <w:rsid w:val="00600B5F"/>
    <w:rsid w:val="00603049"/>
    <w:rsid w:val="00604084"/>
    <w:rsid w:val="006066F5"/>
    <w:rsid w:val="00606E79"/>
    <w:rsid w:val="00612196"/>
    <w:rsid w:val="00612B96"/>
    <w:rsid w:val="00614E2B"/>
    <w:rsid w:val="006163A5"/>
    <w:rsid w:val="006169D9"/>
    <w:rsid w:val="006170D0"/>
    <w:rsid w:val="006174B8"/>
    <w:rsid w:val="0061788C"/>
    <w:rsid w:val="006179B9"/>
    <w:rsid w:val="0062119D"/>
    <w:rsid w:val="00623763"/>
    <w:rsid w:val="006262A9"/>
    <w:rsid w:val="00626BFD"/>
    <w:rsid w:val="00627502"/>
    <w:rsid w:val="00627A84"/>
    <w:rsid w:val="006324BC"/>
    <w:rsid w:val="0063287B"/>
    <w:rsid w:val="0063376A"/>
    <w:rsid w:val="00634AE0"/>
    <w:rsid w:val="0063676B"/>
    <w:rsid w:val="0063691D"/>
    <w:rsid w:val="00636D9A"/>
    <w:rsid w:val="00640704"/>
    <w:rsid w:val="00640980"/>
    <w:rsid w:val="006411FC"/>
    <w:rsid w:val="006412A1"/>
    <w:rsid w:val="00642DB5"/>
    <w:rsid w:val="00643A52"/>
    <w:rsid w:val="00643C23"/>
    <w:rsid w:val="00645827"/>
    <w:rsid w:val="00647620"/>
    <w:rsid w:val="00647B29"/>
    <w:rsid w:val="0065156C"/>
    <w:rsid w:val="006524DA"/>
    <w:rsid w:val="0065288C"/>
    <w:rsid w:val="00653138"/>
    <w:rsid w:val="00656E34"/>
    <w:rsid w:val="0065706B"/>
    <w:rsid w:val="00657F8E"/>
    <w:rsid w:val="00660AF4"/>
    <w:rsid w:val="006615C9"/>
    <w:rsid w:val="00662CD1"/>
    <w:rsid w:val="00662D26"/>
    <w:rsid w:val="0066300E"/>
    <w:rsid w:val="006644EC"/>
    <w:rsid w:val="006679E5"/>
    <w:rsid w:val="00667C50"/>
    <w:rsid w:val="00667C55"/>
    <w:rsid w:val="00670454"/>
    <w:rsid w:val="00671E7D"/>
    <w:rsid w:val="006727CF"/>
    <w:rsid w:val="00672B37"/>
    <w:rsid w:val="006736CB"/>
    <w:rsid w:val="00674EE7"/>
    <w:rsid w:val="0067524C"/>
    <w:rsid w:val="00675C58"/>
    <w:rsid w:val="00675CF2"/>
    <w:rsid w:val="00675E55"/>
    <w:rsid w:val="0067668F"/>
    <w:rsid w:val="00676CE1"/>
    <w:rsid w:val="006773DE"/>
    <w:rsid w:val="00680806"/>
    <w:rsid w:val="006809F1"/>
    <w:rsid w:val="00680F47"/>
    <w:rsid w:val="0068310D"/>
    <w:rsid w:val="006832F3"/>
    <w:rsid w:val="0068414B"/>
    <w:rsid w:val="006853DA"/>
    <w:rsid w:val="006904D2"/>
    <w:rsid w:val="00693804"/>
    <w:rsid w:val="00697484"/>
    <w:rsid w:val="00697A4C"/>
    <w:rsid w:val="00697D8B"/>
    <w:rsid w:val="006A00FF"/>
    <w:rsid w:val="006A07AB"/>
    <w:rsid w:val="006A0D94"/>
    <w:rsid w:val="006A23E0"/>
    <w:rsid w:val="006A2CC3"/>
    <w:rsid w:val="006A3941"/>
    <w:rsid w:val="006A465C"/>
    <w:rsid w:val="006A529B"/>
    <w:rsid w:val="006A5647"/>
    <w:rsid w:val="006A5654"/>
    <w:rsid w:val="006A5FA2"/>
    <w:rsid w:val="006B1BB1"/>
    <w:rsid w:val="006B2A0B"/>
    <w:rsid w:val="006B49F7"/>
    <w:rsid w:val="006B7144"/>
    <w:rsid w:val="006C0DFD"/>
    <w:rsid w:val="006C263E"/>
    <w:rsid w:val="006C3BE6"/>
    <w:rsid w:val="006C41AC"/>
    <w:rsid w:val="006C5848"/>
    <w:rsid w:val="006C69BC"/>
    <w:rsid w:val="006D1C45"/>
    <w:rsid w:val="006D25B7"/>
    <w:rsid w:val="006D28C3"/>
    <w:rsid w:val="006D5EF2"/>
    <w:rsid w:val="006D7762"/>
    <w:rsid w:val="006D7DCF"/>
    <w:rsid w:val="006E0266"/>
    <w:rsid w:val="006E0C08"/>
    <w:rsid w:val="006E0D27"/>
    <w:rsid w:val="006E0D57"/>
    <w:rsid w:val="006E1236"/>
    <w:rsid w:val="006E3C9D"/>
    <w:rsid w:val="006E6062"/>
    <w:rsid w:val="006E6F6B"/>
    <w:rsid w:val="006E74C8"/>
    <w:rsid w:val="006F0B5E"/>
    <w:rsid w:val="006F13B5"/>
    <w:rsid w:val="006F1E7F"/>
    <w:rsid w:val="006F204A"/>
    <w:rsid w:val="006F24C4"/>
    <w:rsid w:val="006F3C56"/>
    <w:rsid w:val="006F460D"/>
    <w:rsid w:val="006F49BC"/>
    <w:rsid w:val="006F4B8E"/>
    <w:rsid w:val="006F664D"/>
    <w:rsid w:val="006F6F71"/>
    <w:rsid w:val="006F7834"/>
    <w:rsid w:val="006F7AF6"/>
    <w:rsid w:val="00703951"/>
    <w:rsid w:val="0070563A"/>
    <w:rsid w:val="00706544"/>
    <w:rsid w:val="00707448"/>
    <w:rsid w:val="007076E1"/>
    <w:rsid w:val="00710ABB"/>
    <w:rsid w:val="00713669"/>
    <w:rsid w:val="00713FD1"/>
    <w:rsid w:val="0071486D"/>
    <w:rsid w:val="007204D8"/>
    <w:rsid w:val="00720A20"/>
    <w:rsid w:val="00722D19"/>
    <w:rsid w:val="00725005"/>
    <w:rsid w:val="007263F7"/>
    <w:rsid w:val="00727325"/>
    <w:rsid w:val="00727CE3"/>
    <w:rsid w:val="007301AB"/>
    <w:rsid w:val="0073089F"/>
    <w:rsid w:val="007316F6"/>
    <w:rsid w:val="00731750"/>
    <w:rsid w:val="00736836"/>
    <w:rsid w:val="0074070C"/>
    <w:rsid w:val="007413B6"/>
    <w:rsid w:val="00741459"/>
    <w:rsid w:val="007414D9"/>
    <w:rsid w:val="00745412"/>
    <w:rsid w:val="007462D3"/>
    <w:rsid w:val="00746B89"/>
    <w:rsid w:val="00746F37"/>
    <w:rsid w:val="00750B41"/>
    <w:rsid w:val="0075151D"/>
    <w:rsid w:val="00751C20"/>
    <w:rsid w:val="00752371"/>
    <w:rsid w:val="007534DB"/>
    <w:rsid w:val="00753AA9"/>
    <w:rsid w:val="00753CD6"/>
    <w:rsid w:val="00754B50"/>
    <w:rsid w:val="0075697F"/>
    <w:rsid w:val="00757AE1"/>
    <w:rsid w:val="007622CB"/>
    <w:rsid w:val="007630D6"/>
    <w:rsid w:val="00765700"/>
    <w:rsid w:val="00766700"/>
    <w:rsid w:val="00766A17"/>
    <w:rsid w:val="00766B83"/>
    <w:rsid w:val="00767507"/>
    <w:rsid w:val="00770222"/>
    <w:rsid w:val="00773469"/>
    <w:rsid w:val="0077427D"/>
    <w:rsid w:val="007763E0"/>
    <w:rsid w:val="00777D34"/>
    <w:rsid w:val="00780536"/>
    <w:rsid w:val="00780E48"/>
    <w:rsid w:val="0078264F"/>
    <w:rsid w:val="007829CD"/>
    <w:rsid w:val="0078358D"/>
    <w:rsid w:val="00784032"/>
    <w:rsid w:val="007877FA"/>
    <w:rsid w:val="00790230"/>
    <w:rsid w:val="007914F3"/>
    <w:rsid w:val="00792645"/>
    <w:rsid w:val="0079304C"/>
    <w:rsid w:val="00793673"/>
    <w:rsid w:val="00793E93"/>
    <w:rsid w:val="00794610"/>
    <w:rsid w:val="007950DF"/>
    <w:rsid w:val="00796346"/>
    <w:rsid w:val="007A08D1"/>
    <w:rsid w:val="007A0AB9"/>
    <w:rsid w:val="007A1920"/>
    <w:rsid w:val="007A1DCF"/>
    <w:rsid w:val="007A2499"/>
    <w:rsid w:val="007A3095"/>
    <w:rsid w:val="007A34E2"/>
    <w:rsid w:val="007A3DB2"/>
    <w:rsid w:val="007A4744"/>
    <w:rsid w:val="007A53D1"/>
    <w:rsid w:val="007A625E"/>
    <w:rsid w:val="007B1370"/>
    <w:rsid w:val="007B25A0"/>
    <w:rsid w:val="007B4F0F"/>
    <w:rsid w:val="007B58F0"/>
    <w:rsid w:val="007B7E29"/>
    <w:rsid w:val="007C4243"/>
    <w:rsid w:val="007C48F7"/>
    <w:rsid w:val="007C6E94"/>
    <w:rsid w:val="007C73EF"/>
    <w:rsid w:val="007D0431"/>
    <w:rsid w:val="007D3B59"/>
    <w:rsid w:val="007D6B13"/>
    <w:rsid w:val="007E0B52"/>
    <w:rsid w:val="007E14F0"/>
    <w:rsid w:val="007E154A"/>
    <w:rsid w:val="007E1BED"/>
    <w:rsid w:val="007E2D6B"/>
    <w:rsid w:val="007E3C19"/>
    <w:rsid w:val="007E4514"/>
    <w:rsid w:val="007E46C8"/>
    <w:rsid w:val="007E5255"/>
    <w:rsid w:val="007E5DFB"/>
    <w:rsid w:val="007F1128"/>
    <w:rsid w:val="007F18BD"/>
    <w:rsid w:val="007F2F85"/>
    <w:rsid w:val="007F3A63"/>
    <w:rsid w:val="007F49C6"/>
    <w:rsid w:val="007F7C23"/>
    <w:rsid w:val="00800283"/>
    <w:rsid w:val="00801593"/>
    <w:rsid w:val="00802247"/>
    <w:rsid w:val="008025DE"/>
    <w:rsid w:val="00806190"/>
    <w:rsid w:val="00806E13"/>
    <w:rsid w:val="00806E99"/>
    <w:rsid w:val="00807C13"/>
    <w:rsid w:val="008102EA"/>
    <w:rsid w:val="0081037F"/>
    <w:rsid w:val="00810A66"/>
    <w:rsid w:val="008123A8"/>
    <w:rsid w:val="00814281"/>
    <w:rsid w:val="00815180"/>
    <w:rsid w:val="0081523F"/>
    <w:rsid w:val="00816DE1"/>
    <w:rsid w:val="00817209"/>
    <w:rsid w:val="00821B4F"/>
    <w:rsid w:val="0082214C"/>
    <w:rsid w:val="008222F1"/>
    <w:rsid w:val="00823C9A"/>
    <w:rsid w:val="00823EC6"/>
    <w:rsid w:val="00825844"/>
    <w:rsid w:val="00827D5A"/>
    <w:rsid w:val="008316C6"/>
    <w:rsid w:val="00834340"/>
    <w:rsid w:val="00835891"/>
    <w:rsid w:val="00836541"/>
    <w:rsid w:val="00836F3C"/>
    <w:rsid w:val="00840242"/>
    <w:rsid w:val="00841982"/>
    <w:rsid w:val="008423D4"/>
    <w:rsid w:val="00842B69"/>
    <w:rsid w:val="0084358E"/>
    <w:rsid w:val="008438E0"/>
    <w:rsid w:val="00843A44"/>
    <w:rsid w:val="00846686"/>
    <w:rsid w:val="008467E1"/>
    <w:rsid w:val="00846DF9"/>
    <w:rsid w:val="00847CA8"/>
    <w:rsid w:val="00847F45"/>
    <w:rsid w:val="00850002"/>
    <w:rsid w:val="008509E0"/>
    <w:rsid w:val="00856B81"/>
    <w:rsid w:val="008574F9"/>
    <w:rsid w:val="00857E6F"/>
    <w:rsid w:val="008609B1"/>
    <w:rsid w:val="00861DBE"/>
    <w:rsid w:val="00862090"/>
    <w:rsid w:val="00865398"/>
    <w:rsid w:val="008656F8"/>
    <w:rsid w:val="0086728C"/>
    <w:rsid w:val="00867D74"/>
    <w:rsid w:val="0087075F"/>
    <w:rsid w:val="00870AE3"/>
    <w:rsid w:val="00870BCF"/>
    <w:rsid w:val="0087133C"/>
    <w:rsid w:val="00873A7C"/>
    <w:rsid w:val="0087578E"/>
    <w:rsid w:val="00875E14"/>
    <w:rsid w:val="00876AC5"/>
    <w:rsid w:val="00876DDB"/>
    <w:rsid w:val="00877131"/>
    <w:rsid w:val="0087716E"/>
    <w:rsid w:val="008808E2"/>
    <w:rsid w:val="0088104D"/>
    <w:rsid w:val="0088140F"/>
    <w:rsid w:val="00882808"/>
    <w:rsid w:val="008830A5"/>
    <w:rsid w:val="0088387D"/>
    <w:rsid w:val="0088422F"/>
    <w:rsid w:val="00885394"/>
    <w:rsid w:val="0088668D"/>
    <w:rsid w:val="00892AAA"/>
    <w:rsid w:val="008931B1"/>
    <w:rsid w:val="008951B4"/>
    <w:rsid w:val="00895971"/>
    <w:rsid w:val="00895AF3"/>
    <w:rsid w:val="00895BE9"/>
    <w:rsid w:val="008A0680"/>
    <w:rsid w:val="008A268B"/>
    <w:rsid w:val="008A2D3D"/>
    <w:rsid w:val="008A5E73"/>
    <w:rsid w:val="008A5F8A"/>
    <w:rsid w:val="008B0884"/>
    <w:rsid w:val="008B190A"/>
    <w:rsid w:val="008B1B80"/>
    <w:rsid w:val="008B297E"/>
    <w:rsid w:val="008B32BB"/>
    <w:rsid w:val="008B3573"/>
    <w:rsid w:val="008B5D58"/>
    <w:rsid w:val="008B5DBF"/>
    <w:rsid w:val="008B672C"/>
    <w:rsid w:val="008B6DF3"/>
    <w:rsid w:val="008B729B"/>
    <w:rsid w:val="008C35C9"/>
    <w:rsid w:val="008C4E11"/>
    <w:rsid w:val="008C5FA2"/>
    <w:rsid w:val="008C7278"/>
    <w:rsid w:val="008C7E8C"/>
    <w:rsid w:val="008D0109"/>
    <w:rsid w:val="008D3506"/>
    <w:rsid w:val="008D3D50"/>
    <w:rsid w:val="008D6738"/>
    <w:rsid w:val="008D70C7"/>
    <w:rsid w:val="008D7EBA"/>
    <w:rsid w:val="008E2068"/>
    <w:rsid w:val="008E5127"/>
    <w:rsid w:val="008E5DB6"/>
    <w:rsid w:val="008E7F4B"/>
    <w:rsid w:val="008F04D3"/>
    <w:rsid w:val="008F230B"/>
    <w:rsid w:val="008F612E"/>
    <w:rsid w:val="00900584"/>
    <w:rsid w:val="009007D1"/>
    <w:rsid w:val="00903292"/>
    <w:rsid w:val="0090363A"/>
    <w:rsid w:val="00904DD0"/>
    <w:rsid w:val="009064C6"/>
    <w:rsid w:val="009100B9"/>
    <w:rsid w:val="0091067A"/>
    <w:rsid w:val="009110B7"/>
    <w:rsid w:val="00913093"/>
    <w:rsid w:val="00913220"/>
    <w:rsid w:val="0091550A"/>
    <w:rsid w:val="00916857"/>
    <w:rsid w:val="00917149"/>
    <w:rsid w:val="00917768"/>
    <w:rsid w:val="0092006B"/>
    <w:rsid w:val="00920667"/>
    <w:rsid w:val="00922AA2"/>
    <w:rsid w:val="00922CFE"/>
    <w:rsid w:val="00924BCA"/>
    <w:rsid w:val="00925668"/>
    <w:rsid w:val="00926AB6"/>
    <w:rsid w:val="00927B0F"/>
    <w:rsid w:val="0093147B"/>
    <w:rsid w:val="00931B1B"/>
    <w:rsid w:val="00931C3B"/>
    <w:rsid w:val="00931F9F"/>
    <w:rsid w:val="009330C5"/>
    <w:rsid w:val="00933A63"/>
    <w:rsid w:val="0093412B"/>
    <w:rsid w:val="00940E88"/>
    <w:rsid w:val="00942AD6"/>
    <w:rsid w:val="009438CD"/>
    <w:rsid w:val="009440AA"/>
    <w:rsid w:val="0094773A"/>
    <w:rsid w:val="009500FB"/>
    <w:rsid w:val="009548F7"/>
    <w:rsid w:val="00955BF2"/>
    <w:rsid w:val="009568C9"/>
    <w:rsid w:val="00957BDE"/>
    <w:rsid w:val="00960A92"/>
    <w:rsid w:val="0096201C"/>
    <w:rsid w:val="009624E1"/>
    <w:rsid w:val="00962AAE"/>
    <w:rsid w:val="00962B1A"/>
    <w:rsid w:val="00964529"/>
    <w:rsid w:val="00964795"/>
    <w:rsid w:val="009647B5"/>
    <w:rsid w:val="009654E8"/>
    <w:rsid w:val="00965ABB"/>
    <w:rsid w:val="00967BFC"/>
    <w:rsid w:val="00970342"/>
    <w:rsid w:val="0097100A"/>
    <w:rsid w:val="00972B6B"/>
    <w:rsid w:val="009742EF"/>
    <w:rsid w:val="0097459D"/>
    <w:rsid w:val="00974886"/>
    <w:rsid w:val="009749D3"/>
    <w:rsid w:val="0097688F"/>
    <w:rsid w:val="00977479"/>
    <w:rsid w:val="00977FF3"/>
    <w:rsid w:val="00980F33"/>
    <w:rsid w:val="00980F5B"/>
    <w:rsid w:val="0098315A"/>
    <w:rsid w:val="009837E6"/>
    <w:rsid w:val="00984739"/>
    <w:rsid w:val="00985B24"/>
    <w:rsid w:val="009862AC"/>
    <w:rsid w:val="0098631B"/>
    <w:rsid w:val="0098658D"/>
    <w:rsid w:val="00987A62"/>
    <w:rsid w:val="00991268"/>
    <w:rsid w:val="009917BA"/>
    <w:rsid w:val="009970ED"/>
    <w:rsid w:val="00997206"/>
    <w:rsid w:val="00997AF0"/>
    <w:rsid w:val="00997F68"/>
    <w:rsid w:val="009A164A"/>
    <w:rsid w:val="009A18BA"/>
    <w:rsid w:val="009A27DB"/>
    <w:rsid w:val="009A2EC9"/>
    <w:rsid w:val="009A3824"/>
    <w:rsid w:val="009A5E96"/>
    <w:rsid w:val="009A65D5"/>
    <w:rsid w:val="009A665C"/>
    <w:rsid w:val="009A72CA"/>
    <w:rsid w:val="009A765B"/>
    <w:rsid w:val="009A7867"/>
    <w:rsid w:val="009A78B8"/>
    <w:rsid w:val="009B0F58"/>
    <w:rsid w:val="009B21B0"/>
    <w:rsid w:val="009B2770"/>
    <w:rsid w:val="009B321B"/>
    <w:rsid w:val="009B34BE"/>
    <w:rsid w:val="009B5A88"/>
    <w:rsid w:val="009B69B1"/>
    <w:rsid w:val="009B6DEE"/>
    <w:rsid w:val="009B725C"/>
    <w:rsid w:val="009B7B20"/>
    <w:rsid w:val="009B7F25"/>
    <w:rsid w:val="009C0DF8"/>
    <w:rsid w:val="009C1B16"/>
    <w:rsid w:val="009C36F1"/>
    <w:rsid w:val="009C4ABC"/>
    <w:rsid w:val="009C4F86"/>
    <w:rsid w:val="009C5E79"/>
    <w:rsid w:val="009C660E"/>
    <w:rsid w:val="009D0BF9"/>
    <w:rsid w:val="009D3ECD"/>
    <w:rsid w:val="009D3EDB"/>
    <w:rsid w:val="009D412D"/>
    <w:rsid w:val="009D4BAE"/>
    <w:rsid w:val="009D5983"/>
    <w:rsid w:val="009D5F8B"/>
    <w:rsid w:val="009E032F"/>
    <w:rsid w:val="009E1801"/>
    <w:rsid w:val="009E73ED"/>
    <w:rsid w:val="009F02FD"/>
    <w:rsid w:val="009F04E6"/>
    <w:rsid w:val="009F06F6"/>
    <w:rsid w:val="009F1481"/>
    <w:rsid w:val="009F2746"/>
    <w:rsid w:val="009F2946"/>
    <w:rsid w:val="009F2EA2"/>
    <w:rsid w:val="009F3620"/>
    <w:rsid w:val="009F371C"/>
    <w:rsid w:val="009F427F"/>
    <w:rsid w:val="009F44DE"/>
    <w:rsid w:val="009F4EF8"/>
    <w:rsid w:val="009F6028"/>
    <w:rsid w:val="009F6D6C"/>
    <w:rsid w:val="009F714B"/>
    <w:rsid w:val="009F75A3"/>
    <w:rsid w:val="00A00964"/>
    <w:rsid w:val="00A00B27"/>
    <w:rsid w:val="00A019FD"/>
    <w:rsid w:val="00A02142"/>
    <w:rsid w:val="00A032D8"/>
    <w:rsid w:val="00A054F5"/>
    <w:rsid w:val="00A06495"/>
    <w:rsid w:val="00A069C9"/>
    <w:rsid w:val="00A0793E"/>
    <w:rsid w:val="00A10314"/>
    <w:rsid w:val="00A11AFE"/>
    <w:rsid w:val="00A135A6"/>
    <w:rsid w:val="00A1398A"/>
    <w:rsid w:val="00A20332"/>
    <w:rsid w:val="00A2063B"/>
    <w:rsid w:val="00A20687"/>
    <w:rsid w:val="00A2074B"/>
    <w:rsid w:val="00A23400"/>
    <w:rsid w:val="00A308F0"/>
    <w:rsid w:val="00A30C05"/>
    <w:rsid w:val="00A3272F"/>
    <w:rsid w:val="00A32839"/>
    <w:rsid w:val="00A33B90"/>
    <w:rsid w:val="00A4055E"/>
    <w:rsid w:val="00A40BE0"/>
    <w:rsid w:val="00A415E8"/>
    <w:rsid w:val="00A41E30"/>
    <w:rsid w:val="00A4229D"/>
    <w:rsid w:val="00A42516"/>
    <w:rsid w:val="00A437D9"/>
    <w:rsid w:val="00A437E7"/>
    <w:rsid w:val="00A43E73"/>
    <w:rsid w:val="00A4463F"/>
    <w:rsid w:val="00A452C2"/>
    <w:rsid w:val="00A46786"/>
    <w:rsid w:val="00A469CD"/>
    <w:rsid w:val="00A47D83"/>
    <w:rsid w:val="00A51355"/>
    <w:rsid w:val="00A54FB7"/>
    <w:rsid w:val="00A55B1A"/>
    <w:rsid w:val="00A57D76"/>
    <w:rsid w:val="00A6108B"/>
    <w:rsid w:val="00A6122B"/>
    <w:rsid w:val="00A61728"/>
    <w:rsid w:val="00A61E32"/>
    <w:rsid w:val="00A62B5D"/>
    <w:rsid w:val="00A63F16"/>
    <w:rsid w:val="00A651D3"/>
    <w:rsid w:val="00A6630D"/>
    <w:rsid w:val="00A67CC0"/>
    <w:rsid w:val="00A73A85"/>
    <w:rsid w:val="00A76977"/>
    <w:rsid w:val="00A76CEE"/>
    <w:rsid w:val="00A770A4"/>
    <w:rsid w:val="00A77783"/>
    <w:rsid w:val="00A83E56"/>
    <w:rsid w:val="00A84D00"/>
    <w:rsid w:val="00A8512D"/>
    <w:rsid w:val="00A85840"/>
    <w:rsid w:val="00A873F6"/>
    <w:rsid w:val="00A87940"/>
    <w:rsid w:val="00A9000E"/>
    <w:rsid w:val="00A90C1A"/>
    <w:rsid w:val="00A91666"/>
    <w:rsid w:val="00A9193D"/>
    <w:rsid w:val="00A94765"/>
    <w:rsid w:val="00A94C8D"/>
    <w:rsid w:val="00A963C5"/>
    <w:rsid w:val="00AA0D18"/>
    <w:rsid w:val="00AA1F9B"/>
    <w:rsid w:val="00AA3192"/>
    <w:rsid w:val="00AA35A0"/>
    <w:rsid w:val="00AA35F7"/>
    <w:rsid w:val="00AA6633"/>
    <w:rsid w:val="00AA694E"/>
    <w:rsid w:val="00AA695F"/>
    <w:rsid w:val="00AB08A0"/>
    <w:rsid w:val="00AB22C6"/>
    <w:rsid w:val="00AB36F1"/>
    <w:rsid w:val="00AB3C7E"/>
    <w:rsid w:val="00AB45FA"/>
    <w:rsid w:val="00AB4BC3"/>
    <w:rsid w:val="00AB6376"/>
    <w:rsid w:val="00AB6DAA"/>
    <w:rsid w:val="00AC058C"/>
    <w:rsid w:val="00AC0C60"/>
    <w:rsid w:val="00AC17D7"/>
    <w:rsid w:val="00AC351A"/>
    <w:rsid w:val="00AC3C1F"/>
    <w:rsid w:val="00AC40D9"/>
    <w:rsid w:val="00AC610F"/>
    <w:rsid w:val="00AC6E58"/>
    <w:rsid w:val="00AC7673"/>
    <w:rsid w:val="00AD12C8"/>
    <w:rsid w:val="00AD16E7"/>
    <w:rsid w:val="00AD19F6"/>
    <w:rsid w:val="00AD1A34"/>
    <w:rsid w:val="00AD1B4C"/>
    <w:rsid w:val="00AD1F14"/>
    <w:rsid w:val="00AD2B1D"/>
    <w:rsid w:val="00AD317F"/>
    <w:rsid w:val="00AD5AB1"/>
    <w:rsid w:val="00AD5CAC"/>
    <w:rsid w:val="00AD6812"/>
    <w:rsid w:val="00AD75A1"/>
    <w:rsid w:val="00AE03D1"/>
    <w:rsid w:val="00AE10CF"/>
    <w:rsid w:val="00AE2C40"/>
    <w:rsid w:val="00AE776C"/>
    <w:rsid w:val="00AF1FE7"/>
    <w:rsid w:val="00AF22A0"/>
    <w:rsid w:val="00AF31B6"/>
    <w:rsid w:val="00AF4467"/>
    <w:rsid w:val="00AF46ED"/>
    <w:rsid w:val="00AF4BA0"/>
    <w:rsid w:val="00AF7D91"/>
    <w:rsid w:val="00B00163"/>
    <w:rsid w:val="00B010E5"/>
    <w:rsid w:val="00B034E9"/>
    <w:rsid w:val="00B06189"/>
    <w:rsid w:val="00B105F5"/>
    <w:rsid w:val="00B1201A"/>
    <w:rsid w:val="00B12F49"/>
    <w:rsid w:val="00B13CDB"/>
    <w:rsid w:val="00B13F8B"/>
    <w:rsid w:val="00B14722"/>
    <w:rsid w:val="00B1726D"/>
    <w:rsid w:val="00B17456"/>
    <w:rsid w:val="00B17858"/>
    <w:rsid w:val="00B20804"/>
    <w:rsid w:val="00B217B2"/>
    <w:rsid w:val="00B22370"/>
    <w:rsid w:val="00B22B9A"/>
    <w:rsid w:val="00B23B0F"/>
    <w:rsid w:val="00B246B4"/>
    <w:rsid w:val="00B259C9"/>
    <w:rsid w:val="00B30CE3"/>
    <w:rsid w:val="00B33D19"/>
    <w:rsid w:val="00B3462E"/>
    <w:rsid w:val="00B35512"/>
    <w:rsid w:val="00B36ADC"/>
    <w:rsid w:val="00B37449"/>
    <w:rsid w:val="00B37A56"/>
    <w:rsid w:val="00B41A47"/>
    <w:rsid w:val="00B42AD4"/>
    <w:rsid w:val="00B440DD"/>
    <w:rsid w:val="00B456AB"/>
    <w:rsid w:val="00B470B8"/>
    <w:rsid w:val="00B4776C"/>
    <w:rsid w:val="00B5295E"/>
    <w:rsid w:val="00B52EF2"/>
    <w:rsid w:val="00B539C9"/>
    <w:rsid w:val="00B5678E"/>
    <w:rsid w:val="00B571DD"/>
    <w:rsid w:val="00B57362"/>
    <w:rsid w:val="00B57C2F"/>
    <w:rsid w:val="00B57DE4"/>
    <w:rsid w:val="00B609C6"/>
    <w:rsid w:val="00B60DDB"/>
    <w:rsid w:val="00B62D54"/>
    <w:rsid w:val="00B62E8F"/>
    <w:rsid w:val="00B636E7"/>
    <w:rsid w:val="00B642CB"/>
    <w:rsid w:val="00B64967"/>
    <w:rsid w:val="00B65623"/>
    <w:rsid w:val="00B65C29"/>
    <w:rsid w:val="00B65C73"/>
    <w:rsid w:val="00B67320"/>
    <w:rsid w:val="00B67887"/>
    <w:rsid w:val="00B732A8"/>
    <w:rsid w:val="00B73B85"/>
    <w:rsid w:val="00B759CA"/>
    <w:rsid w:val="00B76248"/>
    <w:rsid w:val="00B764F2"/>
    <w:rsid w:val="00B77564"/>
    <w:rsid w:val="00B80647"/>
    <w:rsid w:val="00B83B5A"/>
    <w:rsid w:val="00B83C8D"/>
    <w:rsid w:val="00B84DCE"/>
    <w:rsid w:val="00B84F44"/>
    <w:rsid w:val="00B856EF"/>
    <w:rsid w:val="00B860DF"/>
    <w:rsid w:val="00B90623"/>
    <w:rsid w:val="00B9088C"/>
    <w:rsid w:val="00B90AAE"/>
    <w:rsid w:val="00B9256D"/>
    <w:rsid w:val="00B92FAE"/>
    <w:rsid w:val="00B93E7F"/>
    <w:rsid w:val="00B97658"/>
    <w:rsid w:val="00B97B55"/>
    <w:rsid w:val="00BA0972"/>
    <w:rsid w:val="00BA0AC9"/>
    <w:rsid w:val="00BA0BBA"/>
    <w:rsid w:val="00BA290C"/>
    <w:rsid w:val="00BA4361"/>
    <w:rsid w:val="00BA4E67"/>
    <w:rsid w:val="00BA6A9D"/>
    <w:rsid w:val="00BA7300"/>
    <w:rsid w:val="00BA78F6"/>
    <w:rsid w:val="00BA7ACC"/>
    <w:rsid w:val="00BB2BE8"/>
    <w:rsid w:val="00BB2C8E"/>
    <w:rsid w:val="00BB3F59"/>
    <w:rsid w:val="00BB3FD5"/>
    <w:rsid w:val="00BB40DC"/>
    <w:rsid w:val="00BB522C"/>
    <w:rsid w:val="00BB5495"/>
    <w:rsid w:val="00BB6313"/>
    <w:rsid w:val="00BC0FCF"/>
    <w:rsid w:val="00BC1140"/>
    <w:rsid w:val="00BC118F"/>
    <w:rsid w:val="00BC259B"/>
    <w:rsid w:val="00BC338B"/>
    <w:rsid w:val="00BC3608"/>
    <w:rsid w:val="00BC3CC0"/>
    <w:rsid w:val="00BC4811"/>
    <w:rsid w:val="00BC4D08"/>
    <w:rsid w:val="00BC5488"/>
    <w:rsid w:val="00BC5A8A"/>
    <w:rsid w:val="00BD0936"/>
    <w:rsid w:val="00BD0ABC"/>
    <w:rsid w:val="00BD32CA"/>
    <w:rsid w:val="00BD4FD6"/>
    <w:rsid w:val="00BD6D5B"/>
    <w:rsid w:val="00BD6E7F"/>
    <w:rsid w:val="00BD7439"/>
    <w:rsid w:val="00BD7828"/>
    <w:rsid w:val="00BE01CB"/>
    <w:rsid w:val="00BE05FC"/>
    <w:rsid w:val="00BE0DBF"/>
    <w:rsid w:val="00BE153A"/>
    <w:rsid w:val="00BE1A0E"/>
    <w:rsid w:val="00BE1A89"/>
    <w:rsid w:val="00BE2391"/>
    <w:rsid w:val="00BE33A8"/>
    <w:rsid w:val="00BE4167"/>
    <w:rsid w:val="00BE651D"/>
    <w:rsid w:val="00BE6E77"/>
    <w:rsid w:val="00BE7B7B"/>
    <w:rsid w:val="00BF0241"/>
    <w:rsid w:val="00BF0C6C"/>
    <w:rsid w:val="00BF0F51"/>
    <w:rsid w:val="00BF1692"/>
    <w:rsid w:val="00BF2DD7"/>
    <w:rsid w:val="00BF38BC"/>
    <w:rsid w:val="00BF57F4"/>
    <w:rsid w:val="00BF661F"/>
    <w:rsid w:val="00BF77F3"/>
    <w:rsid w:val="00C00C32"/>
    <w:rsid w:val="00C00C61"/>
    <w:rsid w:val="00C0326E"/>
    <w:rsid w:val="00C03E23"/>
    <w:rsid w:val="00C03F79"/>
    <w:rsid w:val="00C041C4"/>
    <w:rsid w:val="00C04CE8"/>
    <w:rsid w:val="00C104BF"/>
    <w:rsid w:val="00C11525"/>
    <w:rsid w:val="00C1503E"/>
    <w:rsid w:val="00C17E87"/>
    <w:rsid w:val="00C22183"/>
    <w:rsid w:val="00C2266B"/>
    <w:rsid w:val="00C22C67"/>
    <w:rsid w:val="00C22EFB"/>
    <w:rsid w:val="00C24577"/>
    <w:rsid w:val="00C25B87"/>
    <w:rsid w:val="00C26BC8"/>
    <w:rsid w:val="00C273F9"/>
    <w:rsid w:val="00C27DC7"/>
    <w:rsid w:val="00C27DC9"/>
    <w:rsid w:val="00C3491D"/>
    <w:rsid w:val="00C35FB6"/>
    <w:rsid w:val="00C36322"/>
    <w:rsid w:val="00C370E1"/>
    <w:rsid w:val="00C372AB"/>
    <w:rsid w:val="00C3743B"/>
    <w:rsid w:val="00C376F1"/>
    <w:rsid w:val="00C3781A"/>
    <w:rsid w:val="00C409C3"/>
    <w:rsid w:val="00C428EF"/>
    <w:rsid w:val="00C432CB"/>
    <w:rsid w:val="00C442B3"/>
    <w:rsid w:val="00C4460A"/>
    <w:rsid w:val="00C44B5A"/>
    <w:rsid w:val="00C45468"/>
    <w:rsid w:val="00C46744"/>
    <w:rsid w:val="00C4766F"/>
    <w:rsid w:val="00C476BC"/>
    <w:rsid w:val="00C476F8"/>
    <w:rsid w:val="00C51D19"/>
    <w:rsid w:val="00C53CC5"/>
    <w:rsid w:val="00C547E7"/>
    <w:rsid w:val="00C54822"/>
    <w:rsid w:val="00C55BEB"/>
    <w:rsid w:val="00C5612C"/>
    <w:rsid w:val="00C56F79"/>
    <w:rsid w:val="00C5789F"/>
    <w:rsid w:val="00C57D86"/>
    <w:rsid w:val="00C612B7"/>
    <w:rsid w:val="00C620F7"/>
    <w:rsid w:val="00C62B49"/>
    <w:rsid w:val="00C630B2"/>
    <w:rsid w:val="00C63337"/>
    <w:rsid w:val="00C63823"/>
    <w:rsid w:val="00C6461C"/>
    <w:rsid w:val="00C647AC"/>
    <w:rsid w:val="00C65DA9"/>
    <w:rsid w:val="00C671F5"/>
    <w:rsid w:val="00C701C5"/>
    <w:rsid w:val="00C70320"/>
    <w:rsid w:val="00C7145B"/>
    <w:rsid w:val="00C71EED"/>
    <w:rsid w:val="00C721B3"/>
    <w:rsid w:val="00C72E01"/>
    <w:rsid w:val="00C7473F"/>
    <w:rsid w:val="00C74A60"/>
    <w:rsid w:val="00C74CFA"/>
    <w:rsid w:val="00C74E8C"/>
    <w:rsid w:val="00C767CF"/>
    <w:rsid w:val="00C77286"/>
    <w:rsid w:val="00C778B3"/>
    <w:rsid w:val="00C80307"/>
    <w:rsid w:val="00C818A6"/>
    <w:rsid w:val="00C82D4F"/>
    <w:rsid w:val="00C83299"/>
    <w:rsid w:val="00C83960"/>
    <w:rsid w:val="00C83BA0"/>
    <w:rsid w:val="00C85C59"/>
    <w:rsid w:val="00C8667C"/>
    <w:rsid w:val="00C87289"/>
    <w:rsid w:val="00C90637"/>
    <w:rsid w:val="00C91C9A"/>
    <w:rsid w:val="00C922B9"/>
    <w:rsid w:val="00C94BC5"/>
    <w:rsid w:val="00C957AF"/>
    <w:rsid w:val="00C959BD"/>
    <w:rsid w:val="00C96313"/>
    <w:rsid w:val="00C9655D"/>
    <w:rsid w:val="00C966D7"/>
    <w:rsid w:val="00C97175"/>
    <w:rsid w:val="00C973D8"/>
    <w:rsid w:val="00CA001F"/>
    <w:rsid w:val="00CA0A4C"/>
    <w:rsid w:val="00CA116B"/>
    <w:rsid w:val="00CA15B3"/>
    <w:rsid w:val="00CA2705"/>
    <w:rsid w:val="00CA2E22"/>
    <w:rsid w:val="00CA3BD5"/>
    <w:rsid w:val="00CA403E"/>
    <w:rsid w:val="00CA4084"/>
    <w:rsid w:val="00CA48A1"/>
    <w:rsid w:val="00CA48F4"/>
    <w:rsid w:val="00CA4FE8"/>
    <w:rsid w:val="00CA58DF"/>
    <w:rsid w:val="00CA6DFE"/>
    <w:rsid w:val="00CB1496"/>
    <w:rsid w:val="00CB2D24"/>
    <w:rsid w:val="00CB3DDF"/>
    <w:rsid w:val="00CB6C91"/>
    <w:rsid w:val="00CC0119"/>
    <w:rsid w:val="00CC3DC3"/>
    <w:rsid w:val="00CC48F1"/>
    <w:rsid w:val="00CC53D4"/>
    <w:rsid w:val="00CC5D24"/>
    <w:rsid w:val="00CC6DDF"/>
    <w:rsid w:val="00CC74E0"/>
    <w:rsid w:val="00CD1F10"/>
    <w:rsid w:val="00CD2A51"/>
    <w:rsid w:val="00CD3553"/>
    <w:rsid w:val="00CD35CE"/>
    <w:rsid w:val="00CD4683"/>
    <w:rsid w:val="00CD5DD7"/>
    <w:rsid w:val="00CD71C0"/>
    <w:rsid w:val="00CD7E17"/>
    <w:rsid w:val="00CE04B8"/>
    <w:rsid w:val="00CE221C"/>
    <w:rsid w:val="00CE2AEA"/>
    <w:rsid w:val="00CE5063"/>
    <w:rsid w:val="00CE591A"/>
    <w:rsid w:val="00CE6441"/>
    <w:rsid w:val="00CE6C8C"/>
    <w:rsid w:val="00CE6E70"/>
    <w:rsid w:val="00CE70E1"/>
    <w:rsid w:val="00CF11F3"/>
    <w:rsid w:val="00CF615A"/>
    <w:rsid w:val="00CF6D02"/>
    <w:rsid w:val="00D0024C"/>
    <w:rsid w:val="00D008A5"/>
    <w:rsid w:val="00D00BF8"/>
    <w:rsid w:val="00D0176D"/>
    <w:rsid w:val="00D02170"/>
    <w:rsid w:val="00D049DE"/>
    <w:rsid w:val="00D10305"/>
    <w:rsid w:val="00D11A55"/>
    <w:rsid w:val="00D1397E"/>
    <w:rsid w:val="00D13B95"/>
    <w:rsid w:val="00D21FC7"/>
    <w:rsid w:val="00D22043"/>
    <w:rsid w:val="00D22BC7"/>
    <w:rsid w:val="00D248B3"/>
    <w:rsid w:val="00D2494C"/>
    <w:rsid w:val="00D254A2"/>
    <w:rsid w:val="00D25FFA"/>
    <w:rsid w:val="00D2757C"/>
    <w:rsid w:val="00D31731"/>
    <w:rsid w:val="00D32521"/>
    <w:rsid w:val="00D33578"/>
    <w:rsid w:val="00D3482A"/>
    <w:rsid w:val="00D34EBA"/>
    <w:rsid w:val="00D34ED8"/>
    <w:rsid w:val="00D35C5C"/>
    <w:rsid w:val="00D35E41"/>
    <w:rsid w:val="00D36E57"/>
    <w:rsid w:val="00D400DD"/>
    <w:rsid w:val="00D40C98"/>
    <w:rsid w:val="00D413CF"/>
    <w:rsid w:val="00D435DB"/>
    <w:rsid w:val="00D469CB"/>
    <w:rsid w:val="00D46C45"/>
    <w:rsid w:val="00D507CF"/>
    <w:rsid w:val="00D52BE9"/>
    <w:rsid w:val="00D52F3E"/>
    <w:rsid w:val="00D5351B"/>
    <w:rsid w:val="00D53FAF"/>
    <w:rsid w:val="00D55499"/>
    <w:rsid w:val="00D55C64"/>
    <w:rsid w:val="00D56300"/>
    <w:rsid w:val="00D56467"/>
    <w:rsid w:val="00D56A51"/>
    <w:rsid w:val="00D56CC3"/>
    <w:rsid w:val="00D57782"/>
    <w:rsid w:val="00D604BB"/>
    <w:rsid w:val="00D62E66"/>
    <w:rsid w:val="00D637D2"/>
    <w:rsid w:val="00D63AF9"/>
    <w:rsid w:val="00D63D9B"/>
    <w:rsid w:val="00D65C8E"/>
    <w:rsid w:val="00D709B3"/>
    <w:rsid w:val="00D723DE"/>
    <w:rsid w:val="00D72422"/>
    <w:rsid w:val="00D7250A"/>
    <w:rsid w:val="00D7431D"/>
    <w:rsid w:val="00D75195"/>
    <w:rsid w:val="00D75500"/>
    <w:rsid w:val="00D77335"/>
    <w:rsid w:val="00D77B5F"/>
    <w:rsid w:val="00D808D7"/>
    <w:rsid w:val="00D81333"/>
    <w:rsid w:val="00D82092"/>
    <w:rsid w:val="00D82364"/>
    <w:rsid w:val="00D84166"/>
    <w:rsid w:val="00D843FA"/>
    <w:rsid w:val="00D853B6"/>
    <w:rsid w:val="00D8613F"/>
    <w:rsid w:val="00D86172"/>
    <w:rsid w:val="00D868A2"/>
    <w:rsid w:val="00D869BC"/>
    <w:rsid w:val="00D86A47"/>
    <w:rsid w:val="00D90C26"/>
    <w:rsid w:val="00D91DCB"/>
    <w:rsid w:val="00D9215E"/>
    <w:rsid w:val="00D924AD"/>
    <w:rsid w:val="00D92FBE"/>
    <w:rsid w:val="00D93714"/>
    <w:rsid w:val="00D9463E"/>
    <w:rsid w:val="00D94C61"/>
    <w:rsid w:val="00D97BA5"/>
    <w:rsid w:val="00DA0333"/>
    <w:rsid w:val="00DA14C4"/>
    <w:rsid w:val="00DA1AA1"/>
    <w:rsid w:val="00DA222A"/>
    <w:rsid w:val="00DA2668"/>
    <w:rsid w:val="00DA6F9F"/>
    <w:rsid w:val="00DA72E9"/>
    <w:rsid w:val="00DA78AA"/>
    <w:rsid w:val="00DA7DE1"/>
    <w:rsid w:val="00DB020A"/>
    <w:rsid w:val="00DB1DD7"/>
    <w:rsid w:val="00DB5C7B"/>
    <w:rsid w:val="00DB7AC5"/>
    <w:rsid w:val="00DC2218"/>
    <w:rsid w:val="00DC26F5"/>
    <w:rsid w:val="00DC370E"/>
    <w:rsid w:val="00DC4C4E"/>
    <w:rsid w:val="00DC4D20"/>
    <w:rsid w:val="00DD044E"/>
    <w:rsid w:val="00DD08EB"/>
    <w:rsid w:val="00DD15AC"/>
    <w:rsid w:val="00DD3295"/>
    <w:rsid w:val="00DD38A3"/>
    <w:rsid w:val="00DD39D6"/>
    <w:rsid w:val="00DD3C29"/>
    <w:rsid w:val="00DD6961"/>
    <w:rsid w:val="00DD7130"/>
    <w:rsid w:val="00DE23FD"/>
    <w:rsid w:val="00DE2759"/>
    <w:rsid w:val="00DE3C73"/>
    <w:rsid w:val="00DE4A8C"/>
    <w:rsid w:val="00DE5725"/>
    <w:rsid w:val="00DE7EA3"/>
    <w:rsid w:val="00DF0391"/>
    <w:rsid w:val="00DF166A"/>
    <w:rsid w:val="00DF1C42"/>
    <w:rsid w:val="00DF20BA"/>
    <w:rsid w:val="00DF40BF"/>
    <w:rsid w:val="00DF5BD0"/>
    <w:rsid w:val="00DF631F"/>
    <w:rsid w:val="00DF7F81"/>
    <w:rsid w:val="00E0102E"/>
    <w:rsid w:val="00E01B3A"/>
    <w:rsid w:val="00E01DC7"/>
    <w:rsid w:val="00E02338"/>
    <w:rsid w:val="00E02658"/>
    <w:rsid w:val="00E02A6D"/>
    <w:rsid w:val="00E03D4A"/>
    <w:rsid w:val="00E05114"/>
    <w:rsid w:val="00E05EC2"/>
    <w:rsid w:val="00E075EF"/>
    <w:rsid w:val="00E07F19"/>
    <w:rsid w:val="00E07FE5"/>
    <w:rsid w:val="00E1092D"/>
    <w:rsid w:val="00E112DB"/>
    <w:rsid w:val="00E116DB"/>
    <w:rsid w:val="00E11B3A"/>
    <w:rsid w:val="00E126AD"/>
    <w:rsid w:val="00E1352B"/>
    <w:rsid w:val="00E161EA"/>
    <w:rsid w:val="00E16EF0"/>
    <w:rsid w:val="00E172EF"/>
    <w:rsid w:val="00E1747A"/>
    <w:rsid w:val="00E203BD"/>
    <w:rsid w:val="00E2143E"/>
    <w:rsid w:val="00E226F1"/>
    <w:rsid w:val="00E2473E"/>
    <w:rsid w:val="00E25F25"/>
    <w:rsid w:val="00E27DAD"/>
    <w:rsid w:val="00E30AC1"/>
    <w:rsid w:val="00E31F54"/>
    <w:rsid w:val="00E32688"/>
    <w:rsid w:val="00E33080"/>
    <w:rsid w:val="00E33EF6"/>
    <w:rsid w:val="00E33F76"/>
    <w:rsid w:val="00E34B26"/>
    <w:rsid w:val="00E35B22"/>
    <w:rsid w:val="00E35D32"/>
    <w:rsid w:val="00E36245"/>
    <w:rsid w:val="00E36433"/>
    <w:rsid w:val="00E378DC"/>
    <w:rsid w:val="00E41C98"/>
    <w:rsid w:val="00E42968"/>
    <w:rsid w:val="00E42FCF"/>
    <w:rsid w:val="00E45208"/>
    <w:rsid w:val="00E50167"/>
    <w:rsid w:val="00E504E2"/>
    <w:rsid w:val="00E5296D"/>
    <w:rsid w:val="00E559F0"/>
    <w:rsid w:val="00E57167"/>
    <w:rsid w:val="00E6042B"/>
    <w:rsid w:val="00E604DB"/>
    <w:rsid w:val="00E60830"/>
    <w:rsid w:val="00E627EB"/>
    <w:rsid w:val="00E62BC1"/>
    <w:rsid w:val="00E6353F"/>
    <w:rsid w:val="00E6359A"/>
    <w:rsid w:val="00E63A9B"/>
    <w:rsid w:val="00E67EB8"/>
    <w:rsid w:val="00E723DC"/>
    <w:rsid w:val="00E750F5"/>
    <w:rsid w:val="00E76C9D"/>
    <w:rsid w:val="00E81511"/>
    <w:rsid w:val="00E82041"/>
    <w:rsid w:val="00E83139"/>
    <w:rsid w:val="00E83234"/>
    <w:rsid w:val="00E832A7"/>
    <w:rsid w:val="00E87AB0"/>
    <w:rsid w:val="00E87EC6"/>
    <w:rsid w:val="00E9001A"/>
    <w:rsid w:val="00E94E15"/>
    <w:rsid w:val="00E95808"/>
    <w:rsid w:val="00EA09C4"/>
    <w:rsid w:val="00EA0B8E"/>
    <w:rsid w:val="00EA1A5F"/>
    <w:rsid w:val="00EA3AAF"/>
    <w:rsid w:val="00EA5D48"/>
    <w:rsid w:val="00EA6F94"/>
    <w:rsid w:val="00EA78C0"/>
    <w:rsid w:val="00EB07CA"/>
    <w:rsid w:val="00EB0A1D"/>
    <w:rsid w:val="00EB144D"/>
    <w:rsid w:val="00EB2FD7"/>
    <w:rsid w:val="00EB6DC0"/>
    <w:rsid w:val="00EB6F8B"/>
    <w:rsid w:val="00EB76D7"/>
    <w:rsid w:val="00EC07EC"/>
    <w:rsid w:val="00EC0935"/>
    <w:rsid w:val="00EC1246"/>
    <w:rsid w:val="00EC159C"/>
    <w:rsid w:val="00EC20E8"/>
    <w:rsid w:val="00EC26C6"/>
    <w:rsid w:val="00EC3BEC"/>
    <w:rsid w:val="00EC5758"/>
    <w:rsid w:val="00EC712E"/>
    <w:rsid w:val="00ED030A"/>
    <w:rsid w:val="00ED0D06"/>
    <w:rsid w:val="00ED25EE"/>
    <w:rsid w:val="00ED2B54"/>
    <w:rsid w:val="00ED40D5"/>
    <w:rsid w:val="00ED65A6"/>
    <w:rsid w:val="00ED6795"/>
    <w:rsid w:val="00ED75DA"/>
    <w:rsid w:val="00EE0536"/>
    <w:rsid w:val="00EE06B6"/>
    <w:rsid w:val="00EE1750"/>
    <w:rsid w:val="00EE2697"/>
    <w:rsid w:val="00EE2A4E"/>
    <w:rsid w:val="00EE56CB"/>
    <w:rsid w:val="00EE62B0"/>
    <w:rsid w:val="00EE6B60"/>
    <w:rsid w:val="00EE7434"/>
    <w:rsid w:val="00EE7836"/>
    <w:rsid w:val="00EF0820"/>
    <w:rsid w:val="00EF0E44"/>
    <w:rsid w:val="00EF23FD"/>
    <w:rsid w:val="00EF2454"/>
    <w:rsid w:val="00EF359A"/>
    <w:rsid w:val="00EF3E83"/>
    <w:rsid w:val="00EF5487"/>
    <w:rsid w:val="00EF628C"/>
    <w:rsid w:val="00EF7360"/>
    <w:rsid w:val="00EF76ED"/>
    <w:rsid w:val="00EF7BCF"/>
    <w:rsid w:val="00F01968"/>
    <w:rsid w:val="00F02612"/>
    <w:rsid w:val="00F02ED7"/>
    <w:rsid w:val="00F02F5F"/>
    <w:rsid w:val="00F0382D"/>
    <w:rsid w:val="00F0425C"/>
    <w:rsid w:val="00F05CC1"/>
    <w:rsid w:val="00F07BEE"/>
    <w:rsid w:val="00F11C23"/>
    <w:rsid w:val="00F12EDE"/>
    <w:rsid w:val="00F148EC"/>
    <w:rsid w:val="00F15958"/>
    <w:rsid w:val="00F161B3"/>
    <w:rsid w:val="00F17B82"/>
    <w:rsid w:val="00F205D1"/>
    <w:rsid w:val="00F206A7"/>
    <w:rsid w:val="00F22C47"/>
    <w:rsid w:val="00F23A47"/>
    <w:rsid w:val="00F24562"/>
    <w:rsid w:val="00F25269"/>
    <w:rsid w:val="00F27935"/>
    <w:rsid w:val="00F30409"/>
    <w:rsid w:val="00F308A0"/>
    <w:rsid w:val="00F309F7"/>
    <w:rsid w:val="00F3462D"/>
    <w:rsid w:val="00F34799"/>
    <w:rsid w:val="00F3494F"/>
    <w:rsid w:val="00F34B8D"/>
    <w:rsid w:val="00F35190"/>
    <w:rsid w:val="00F374D7"/>
    <w:rsid w:val="00F37695"/>
    <w:rsid w:val="00F406BD"/>
    <w:rsid w:val="00F439AE"/>
    <w:rsid w:val="00F45949"/>
    <w:rsid w:val="00F51144"/>
    <w:rsid w:val="00F51F44"/>
    <w:rsid w:val="00F53C41"/>
    <w:rsid w:val="00F540BD"/>
    <w:rsid w:val="00F55954"/>
    <w:rsid w:val="00F56C60"/>
    <w:rsid w:val="00F56F71"/>
    <w:rsid w:val="00F6285A"/>
    <w:rsid w:val="00F632D2"/>
    <w:rsid w:val="00F63C68"/>
    <w:rsid w:val="00F63C8A"/>
    <w:rsid w:val="00F63CDF"/>
    <w:rsid w:val="00F65B16"/>
    <w:rsid w:val="00F673E0"/>
    <w:rsid w:val="00F7092C"/>
    <w:rsid w:val="00F718ED"/>
    <w:rsid w:val="00F7199D"/>
    <w:rsid w:val="00F71FE6"/>
    <w:rsid w:val="00F734B9"/>
    <w:rsid w:val="00F73DB6"/>
    <w:rsid w:val="00F74F32"/>
    <w:rsid w:val="00F7532E"/>
    <w:rsid w:val="00F75B8A"/>
    <w:rsid w:val="00F75BDB"/>
    <w:rsid w:val="00F75FE9"/>
    <w:rsid w:val="00F7717B"/>
    <w:rsid w:val="00F771A0"/>
    <w:rsid w:val="00F77212"/>
    <w:rsid w:val="00F809E3"/>
    <w:rsid w:val="00F8240E"/>
    <w:rsid w:val="00F827F1"/>
    <w:rsid w:val="00F85FC5"/>
    <w:rsid w:val="00F87236"/>
    <w:rsid w:val="00F90725"/>
    <w:rsid w:val="00F92206"/>
    <w:rsid w:val="00F926D6"/>
    <w:rsid w:val="00F92F2E"/>
    <w:rsid w:val="00F93329"/>
    <w:rsid w:val="00F937F1"/>
    <w:rsid w:val="00F956D4"/>
    <w:rsid w:val="00F965AD"/>
    <w:rsid w:val="00FA0417"/>
    <w:rsid w:val="00FA181E"/>
    <w:rsid w:val="00FA2E5F"/>
    <w:rsid w:val="00FA41BC"/>
    <w:rsid w:val="00FA41E4"/>
    <w:rsid w:val="00FA47FD"/>
    <w:rsid w:val="00FA53E7"/>
    <w:rsid w:val="00FA58C4"/>
    <w:rsid w:val="00FA7153"/>
    <w:rsid w:val="00FB1139"/>
    <w:rsid w:val="00FB1DC0"/>
    <w:rsid w:val="00FB3601"/>
    <w:rsid w:val="00FB5334"/>
    <w:rsid w:val="00FB5DEA"/>
    <w:rsid w:val="00FB641A"/>
    <w:rsid w:val="00FB661A"/>
    <w:rsid w:val="00FB68A2"/>
    <w:rsid w:val="00FB728E"/>
    <w:rsid w:val="00FC0EBF"/>
    <w:rsid w:val="00FC4657"/>
    <w:rsid w:val="00FC4E3E"/>
    <w:rsid w:val="00FC5514"/>
    <w:rsid w:val="00FC7B4B"/>
    <w:rsid w:val="00FD1D9E"/>
    <w:rsid w:val="00FD253B"/>
    <w:rsid w:val="00FD28F1"/>
    <w:rsid w:val="00FD48FC"/>
    <w:rsid w:val="00FD4BF3"/>
    <w:rsid w:val="00FD4D39"/>
    <w:rsid w:val="00FD4ED3"/>
    <w:rsid w:val="00FD66E5"/>
    <w:rsid w:val="00FD75B1"/>
    <w:rsid w:val="00FD75C9"/>
    <w:rsid w:val="00FD79EA"/>
    <w:rsid w:val="00FE03B6"/>
    <w:rsid w:val="00FE3C7C"/>
    <w:rsid w:val="00FE4EE9"/>
    <w:rsid w:val="00FE4F4B"/>
    <w:rsid w:val="00FE67B4"/>
    <w:rsid w:val="00FF100A"/>
    <w:rsid w:val="00FF125F"/>
    <w:rsid w:val="00FF15A3"/>
    <w:rsid w:val="00FF264C"/>
    <w:rsid w:val="00FF32E8"/>
    <w:rsid w:val="00FF3BCF"/>
    <w:rsid w:val="00FF4063"/>
    <w:rsid w:val="02EDB203"/>
    <w:rsid w:val="05E0245A"/>
    <w:rsid w:val="06A652A5"/>
    <w:rsid w:val="07EE8605"/>
    <w:rsid w:val="08F51D4B"/>
    <w:rsid w:val="0A37307A"/>
    <w:rsid w:val="0B00D406"/>
    <w:rsid w:val="0B30962E"/>
    <w:rsid w:val="0F80E1C5"/>
    <w:rsid w:val="108C6F74"/>
    <w:rsid w:val="10AF7EC3"/>
    <w:rsid w:val="12160907"/>
    <w:rsid w:val="1262BE52"/>
    <w:rsid w:val="15E687BE"/>
    <w:rsid w:val="162C57A0"/>
    <w:rsid w:val="16815965"/>
    <w:rsid w:val="16C25164"/>
    <w:rsid w:val="1E01F866"/>
    <w:rsid w:val="1E684AFD"/>
    <w:rsid w:val="1F16D03E"/>
    <w:rsid w:val="1F44BDB7"/>
    <w:rsid w:val="1FC74FDD"/>
    <w:rsid w:val="213FD9C0"/>
    <w:rsid w:val="26F39E02"/>
    <w:rsid w:val="2A1C55B4"/>
    <w:rsid w:val="2B624F3F"/>
    <w:rsid w:val="2C56B724"/>
    <w:rsid w:val="2DE199DC"/>
    <w:rsid w:val="2F8844AF"/>
    <w:rsid w:val="3032E702"/>
    <w:rsid w:val="337F5854"/>
    <w:rsid w:val="3514D7F3"/>
    <w:rsid w:val="37D4C2FF"/>
    <w:rsid w:val="38179E1F"/>
    <w:rsid w:val="3C920458"/>
    <w:rsid w:val="3CEEB36F"/>
    <w:rsid w:val="3F6FDB08"/>
    <w:rsid w:val="41FD421C"/>
    <w:rsid w:val="43F500D0"/>
    <w:rsid w:val="44627FF2"/>
    <w:rsid w:val="448BD968"/>
    <w:rsid w:val="44DB57DE"/>
    <w:rsid w:val="45250834"/>
    <w:rsid w:val="457F41AB"/>
    <w:rsid w:val="463FDFC0"/>
    <w:rsid w:val="4C8B6AE9"/>
    <w:rsid w:val="52169A9D"/>
    <w:rsid w:val="537A5285"/>
    <w:rsid w:val="567108F5"/>
    <w:rsid w:val="5845DFC6"/>
    <w:rsid w:val="5868F614"/>
    <w:rsid w:val="591656D8"/>
    <w:rsid w:val="5A8FC733"/>
    <w:rsid w:val="5C430A86"/>
    <w:rsid w:val="5CF98A60"/>
    <w:rsid w:val="6064D502"/>
    <w:rsid w:val="65E80EB7"/>
    <w:rsid w:val="6608F1CB"/>
    <w:rsid w:val="67AD5B1C"/>
    <w:rsid w:val="68F2BF11"/>
    <w:rsid w:val="6986D63B"/>
    <w:rsid w:val="6CE1E016"/>
    <w:rsid w:val="6E5982D8"/>
    <w:rsid w:val="6EA35E74"/>
    <w:rsid w:val="6F7FBBDE"/>
    <w:rsid w:val="746D31EE"/>
    <w:rsid w:val="76E3BE25"/>
    <w:rsid w:val="7CE65B3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A9592"/>
  <w15:chartTrackingRefBased/>
  <w15:docId w15:val="{D530ABBE-3648-44A8-9DED-FE248F4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AC610F"/>
    <w:pPr>
      <w:spacing w:after="240" w:line="288" w:lineRule="auto"/>
      <w:ind w:firstLine="720"/>
      <w:jc w:val="both"/>
    </w:pPr>
    <w:rPr>
      <w:kern w:val="0"/>
      <w:lang w:val="en-US"/>
      <w14:ligatures w14:val="none"/>
    </w:rPr>
  </w:style>
  <w:style w:type="paragraph" w:styleId="Heading1">
    <w:name w:val="heading 1"/>
    <w:basedOn w:val="Normal"/>
    <w:next w:val="Normal"/>
    <w:link w:val="Heading1Char"/>
    <w:autoRedefine/>
    <w:qFormat/>
    <w:rsid w:val="00017956"/>
    <w:pPr>
      <w:keepNext/>
      <w:keepLines/>
      <w:spacing w:before="360" w:after="80" w:line="360" w:lineRule="auto"/>
      <w:jc w:val="left"/>
      <w:outlineLvl w:val="0"/>
    </w:pPr>
    <w:rPr>
      <w:rFonts w:asciiTheme="majorHAnsi" w:eastAsiaTheme="majorEastAsia" w:hAnsiTheme="majorHAnsi" w:cstheme="majorBidi"/>
      <w:b/>
      <w:color w:val="0F4761" w:themeColor="accent1" w:themeShade="BF"/>
      <w:sz w:val="40"/>
      <w:szCs w:val="40"/>
      <w:lang w:val="lv-LV"/>
    </w:rPr>
  </w:style>
  <w:style w:type="paragraph" w:styleId="Heading2">
    <w:name w:val="heading 2"/>
    <w:basedOn w:val="Normal"/>
    <w:next w:val="Normal"/>
    <w:link w:val="Heading2Char"/>
    <w:uiPriority w:val="1"/>
    <w:unhideWhenUsed/>
    <w:qFormat/>
    <w:rsid w:val="00017956"/>
    <w:pPr>
      <w:keepNext/>
      <w:keepLines/>
      <w:spacing w:before="160" w:after="80"/>
      <w:jc w:val="center"/>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daasvirsraksts"/>
    <w:next w:val="Normal"/>
    <w:link w:val="Heading3Char"/>
    <w:autoRedefine/>
    <w:uiPriority w:val="2"/>
    <w:unhideWhenUsed/>
    <w:qFormat/>
    <w:rsid w:val="00F75B8A"/>
    <w:pPr>
      <w:keepNext/>
      <w:keepLines/>
      <w:spacing w:before="160" w:after="120" w:line="276" w:lineRule="auto"/>
      <w:outlineLvl w:val="2"/>
    </w:pPr>
    <w:rPr>
      <w:rFonts w:cstheme="majorBidi"/>
      <w:color w:val="0F4761" w:themeColor="accent1" w:themeShade="BF"/>
      <w:szCs w:val="28"/>
    </w:rPr>
  </w:style>
  <w:style w:type="paragraph" w:styleId="Heading4">
    <w:name w:val="heading 4"/>
    <w:basedOn w:val="Normal"/>
    <w:next w:val="Normal"/>
    <w:link w:val="Heading4Char"/>
    <w:autoRedefine/>
    <w:uiPriority w:val="3"/>
    <w:unhideWhenUsed/>
    <w:qFormat/>
    <w:rsid w:val="00274F7D"/>
    <w:pPr>
      <w:keepNext/>
      <w:keepLines/>
      <w:spacing w:before="80" w:after="120" w:line="276" w:lineRule="auto"/>
      <w:ind w:left="1134" w:firstLine="0"/>
      <w:outlineLvl w:val="3"/>
    </w:pPr>
    <w:rPr>
      <w:rFonts w:eastAsiaTheme="majorEastAsia" w:cstheme="majorBidi"/>
      <w:b/>
      <w:i/>
      <w:iCs/>
      <w:color w:val="0F4761" w:themeColor="accent1" w:themeShade="BF"/>
      <w:lang w:val="lv-LV"/>
    </w:rPr>
  </w:style>
  <w:style w:type="paragraph" w:styleId="Heading5">
    <w:name w:val="heading 5"/>
    <w:basedOn w:val="Normal"/>
    <w:next w:val="Normal"/>
    <w:link w:val="Heading5Char"/>
    <w:uiPriority w:val="4"/>
    <w:unhideWhenUsed/>
    <w:qFormat/>
    <w:rsid w:val="00766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956"/>
    <w:rPr>
      <w:rFonts w:asciiTheme="majorHAnsi" w:eastAsiaTheme="majorEastAsia" w:hAnsiTheme="majorHAnsi" w:cstheme="majorBidi"/>
      <w:b/>
      <w:color w:val="0F4761" w:themeColor="accent1" w:themeShade="BF"/>
      <w:kern w:val="0"/>
      <w:sz w:val="40"/>
      <w:szCs w:val="40"/>
      <w14:ligatures w14:val="none"/>
    </w:rPr>
  </w:style>
  <w:style w:type="character" w:customStyle="1" w:styleId="Heading2Char">
    <w:name w:val="Heading 2 Char"/>
    <w:basedOn w:val="DefaultParagraphFont"/>
    <w:link w:val="Heading2"/>
    <w:uiPriority w:val="1"/>
    <w:rsid w:val="00017956"/>
    <w:rPr>
      <w:rFonts w:asciiTheme="majorHAnsi" w:eastAsiaTheme="majorEastAsia" w:hAnsiTheme="majorHAnsi" w:cstheme="majorBidi"/>
      <w:b/>
      <w:color w:val="0F4761" w:themeColor="accent1" w:themeShade="BF"/>
      <w:kern w:val="0"/>
      <w:sz w:val="28"/>
      <w:szCs w:val="32"/>
      <w:lang w:val="en-US"/>
      <w14:ligatures w14:val="none"/>
    </w:rPr>
  </w:style>
  <w:style w:type="character" w:customStyle="1" w:styleId="Heading3Char">
    <w:name w:val="Heading 3 Char"/>
    <w:basedOn w:val="DefaultParagraphFont"/>
    <w:link w:val="Heading3"/>
    <w:uiPriority w:val="2"/>
    <w:rsid w:val="00F75B8A"/>
    <w:rPr>
      <w:rFonts w:asciiTheme="majorHAnsi" w:eastAsiaTheme="majorEastAsia" w:hAnsiTheme="majorHAnsi" w:cstheme="majorBidi"/>
      <w:b/>
      <w:bCs/>
      <w:color w:val="0F4761" w:themeColor="accent1" w:themeShade="BF"/>
      <w:kern w:val="0"/>
      <w:sz w:val="28"/>
      <w:szCs w:val="28"/>
      <w14:ligatures w14:val="none"/>
    </w:rPr>
  </w:style>
  <w:style w:type="character" w:customStyle="1" w:styleId="Heading4Char">
    <w:name w:val="Heading 4 Char"/>
    <w:basedOn w:val="DefaultParagraphFont"/>
    <w:link w:val="Heading4"/>
    <w:uiPriority w:val="3"/>
    <w:rsid w:val="00274F7D"/>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4"/>
    <w:rsid w:val="00766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B83"/>
    <w:rPr>
      <w:rFonts w:eastAsiaTheme="majorEastAsia" w:cstheme="majorBidi"/>
      <w:color w:val="272727" w:themeColor="text1" w:themeTint="D8"/>
    </w:rPr>
  </w:style>
  <w:style w:type="paragraph" w:styleId="Title">
    <w:name w:val="Title"/>
    <w:basedOn w:val="Normal"/>
    <w:next w:val="Normal"/>
    <w:link w:val="TitleChar"/>
    <w:uiPriority w:val="10"/>
    <w:qFormat/>
    <w:rsid w:val="00766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B8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B83"/>
    <w:pPr>
      <w:spacing w:before="160"/>
      <w:jc w:val="center"/>
    </w:pPr>
    <w:rPr>
      <w:i/>
      <w:iCs/>
      <w:color w:val="404040" w:themeColor="text1" w:themeTint="BF"/>
    </w:rPr>
  </w:style>
  <w:style w:type="character" w:customStyle="1" w:styleId="QuoteChar">
    <w:name w:val="Quote Char"/>
    <w:basedOn w:val="DefaultParagraphFont"/>
    <w:link w:val="Quote"/>
    <w:uiPriority w:val="29"/>
    <w:rsid w:val="00766B83"/>
    <w:rPr>
      <w:i/>
      <w:iCs/>
      <w:color w:val="404040" w:themeColor="text1" w:themeTint="BF"/>
    </w:rPr>
  </w:style>
  <w:style w:type="paragraph" w:styleId="ListParagraph">
    <w:name w:val="List Paragraph"/>
    <w:basedOn w:val="Normal"/>
    <w:uiPriority w:val="34"/>
    <w:qFormat/>
    <w:rsid w:val="00766B83"/>
    <w:pPr>
      <w:ind w:left="720"/>
      <w:contextualSpacing/>
    </w:pPr>
  </w:style>
  <w:style w:type="character" w:styleId="IntenseEmphasis">
    <w:name w:val="Intense Emphasis"/>
    <w:basedOn w:val="DefaultParagraphFont"/>
    <w:uiPriority w:val="21"/>
    <w:qFormat/>
    <w:rsid w:val="00766B83"/>
    <w:rPr>
      <w:i/>
      <w:iCs/>
      <w:color w:val="0F4761" w:themeColor="accent1" w:themeShade="BF"/>
    </w:rPr>
  </w:style>
  <w:style w:type="paragraph" w:styleId="IntenseQuote">
    <w:name w:val="Intense Quote"/>
    <w:basedOn w:val="Normal"/>
    <w:next w:val="Normal"/>
    <w:link w:val="IntenseQuoteChar"/>
    <w:uiPriority w:val="30"/>
    <w:qFormat/>
    <w:rsid w:val="00766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B83"/>
    <w:rPr>
      <w:i/>
      <w:iCs/>
      <w:color w:val="0F4761" w:themeColor="accent1" w:themeShade="BF"/>
    </w:rPr>
  </w:style>
  <w:style w:type="character" w:styleId="IntenseReference">
    <w:name w:val="Intense Reference"/>
    <w:basedOn w:val="DefaultParagraphFont"/>
    <w:uiPriority w:val="32"/>
    <w:qFormat/>
    <w:rsid w:val="00766B83"/>
    <w:rPr>
      <w:b/>
      <w:bCs/>
      <w:smallCaps/>
      <w:color w:val="0F4761" w:themeColor="accent1" w:themeShade="BF"/>
      <w:spacing w:val="5"/>
    </w:rPr>
  </w:style>
  <w:style w:type="table" w:styleId="TableGrid">
    <w:name w:val="Table Grid"/>
    <w:basedOn w:val="TableNormal"/>
    <w:uiPriority w:val="39"/>
    <w:rsid w:val="00766B8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66B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B83"/>
    <w:rPr>
      <w:rFonts w:ascii="Times New Roman" w:hAnsi="Times New Roman" w:cs="Times New Roman"/>
      <w:kern w:val="0"/>
      <w:sz w:val="18"/>
      <w:szCs w:val="18"/>
      <w:lang w:val="en-US"/>
      <w14:ligatures w14:val="none"/>
    </w:rPr>
  </w:style>
  <w:style w:type="paragraph" w:customStyle="1" w:styleId="GraphicAnchor">
    <w:name w:val="Graphic Anchor"/>
    <w:basedOn w:val="Normal"/>
    <w:uiPriority w:val="7"/>
    <w:qFormat/>
    <w:rsid w:val="00766B83"/>
    <w:rPr>
      <w:sz w:val="10"/>
    </w:rPr>
  </w:style>
  <w:style w:type="paragraph" w:customStyle="1" w:styleId="Text">
    <w:name w:val="Text"/>
    <w:basedOn w:val="Normal"/>
    <w:uiPriority w:val="5"/>
    <w:qFormat/>
    <w:rsid w:val="00766B83"/>
    <w:rPr>
      <w:i/>
      <w:color w:val="000000" w:themeColor="text1"/>
      <w:sz w:val="28"/>
    </w:rPr>
  </w:style>
  <w:style w:type="paragraph" w:styleId="Header">
    <w:name w:val="header"/>
    <w:basedOn w:val="Normal"/>
    <w:link w:val="HeaderChar"/>
    <w:uiPriority w:val="99"/>
    <w:rsid w:val="00766B83"/>
    <w:pPr>
      <w:tabs>
        <w:tab w:val="center" w:pos="4680"/>
        <w:tab w:val="right" w:pos="9360"/>
      </w:tabs>
    </w:pPr>
  </w:style>
  <w:style w:type="character" w:customStyle="1" w:styleId="HeaderChar">
    <w:name w:val="Header Char"/>
    <w:basedOn w:val="DefaultParagraphFont"/>
    <w:link w:val="Header"/>
    <w:uiPriority w:val="99"/>
    <w:rsid w:val="00766B83"/>
    <w:rPr>
      <w:kern w:val="0"/>
      <w:lang w:val="en-US"/>
      <w14:ligatures w14:val="none"/>
    </w:rPr>
  </w:style>
  <w:style w:type="paragraph" w:styleId="Footer">
    <w:name w:val="footer"/>
    <w:basedOn w:val="Normal"/>
    <w:link w:val="FooterChar"/>
    <w:uiPriority w:val="99"/>
    <w:rsid w:val="00766B83"/>
    <w:pPr>
      <w:tabs>
        <w:tab w:val="center" w:pos="4680"/>
        <w:tab w:val="right" w:pos="9360"/>
      </w:tabs>
    </w:pPr>
    <w:rPr>
      <w:rFonts w:asciiTheme="majorHAnsi" w:hAnsiTheme="majorHAnsi"/>
      <w:color w:val="595959" w:themeColor="text1" w:themeTint="A6"/>
      <w:sz w:val="20"/>
    </w:rPr>
  </w:style>
  <w:style w:type="character" w:customStyle="1" w:styleId="FooterChar">
    <w:name w:val="Footer Char"/>
    <w:basedOn w:val="DefaultParagraphFont"/>
    <w:link w:val="Footer"/>
    <w:uiPriority w:val="99"/>
    <w:rsid w:val="00766B83"/>
    <w:rPr>
      <w:rFonts w:asciiTheme="majorHAnsi" w:hAnsiTheme="majorHAnsi"/>
      <w:color w:val="595959" w:themeColor="text1" w:themeTint="A6"/>
      <w:kern w:val="0"/>
      <w:sz w:val="20"/>
      <w:lang w:val="en-US"/>
      <w14:ligatures w14:val="none"/>
    </w:rPr>
  </w:style>
  <w:style w:type="character" w:styleId="PageNumber">
    <w:name w:val="page number"/>
    <w:basedOn w:val="DefaultParagraphFont"/>
    <w:uiPriority w:val="99"/>
    <w:semiHidden/>
    <w:rsid w:val="00766B83"/>
  </w:style>
  <w:style w:type="character" w:styleId="PlaceholderText">
    <w:name w:val="Placeholder Text"/>
    <w:basedOn w:val="DefaultParagraphFont"/>
    <w:uiPriority w:val="99"/>
    <w:semiHidden/>
    <w:rsid w:val="00766B83"/>
    <w:rPr>
      <w:color w:val="808080"/>
    </w:rPr>
  </w:style>
  <w:style w:type="character" w:styleId="Emphasis">
    <w:name w:val="Emphasis"/>
    <w:basedOn w:val="DefaultParagraphFont"/>
    <w:uiPriority w:val="20"/>
    <w:qFormat/>
    <w:rsid w:val="00766B83"/>
    <w:rPr>
      <w:i w:val="0"/>
      <w:iCs/>
      <w:color w:val="BF4E14" w:themeColor="accent2" w:themeShade="BF"/>
    </w:rPr>
  </w:style>
  <w:style w:type="paragraph" w:styleId="TOCHeading">
    <w:name w:val="TOC Heading"/>
    <w:basedOn w:val="Heading1"/>
    <w:next w:val="Normal"/>
    <w:uiPriority w:val="39"/>
    <w:unhideWhenUsed/>
    <w:qFormat/>
    <w:rsid w:val="00766B83"/>
    <w:pPr>
      <w:spacing w:before="240" w:after="240" w:line="259" w:lineRule="auto"/>
      <w:outlineLvl w:val="9"/>
    </w:pPr>
    <w:rPr>
      <w:sz w:val="32"/>
      <w:szCs w:val="32"/>
    </w:rPr>
  </w:style>
  <w:style w:type="paragraph" w:styleId="TOC2">
    <w:name w:val="toc 2"/>
    <w:basedOn w:val="Normal"/>
    <w:next w:val="Normal"/>
    <w:autoRedefine/>
    <w:uiPriority w:val="39"/>
    <w:rsid w:val="00766B83"/>
    <w:pPr>
      <w:spacing w:after="0"/>
      <w:ind w:firstLine="0"/>
      <w:jc w:val="left"/>
    </w:pPr>
    <w:rPr>
      <w:b/>
      <w:bCs/>
      <w:smallCaps/>
      <w:sz w:val="22"/>
      <w:szCs w:val="22"/>
    </w:rPr>
  </w:style>
  <w:style w:type="paragraph" w:styleId="TOC3">
    <w:name w:val="toc 3"/>
    <w:basedOn w:val="Normal"/>
    <w:next w:val="Normal"/>
    <w:autoRedefine/>
    <w:uiPriority w:val="39"/>
    <w:rsid w:val="00D86172"/>
    <w:pPr>
      <w:spacing w:after="0"/>
      <w:ind w:firstLine="0"/>
      <w:jc w:val="left"/>
    </w:pPr>
    <w:rPr>
      <w:b/>
      <w:smallCaps/>
      <w:sz w:val="22"/>
      <w:szCs w:val="22"/>
    </w:rPr>
  </w:style>
  <w:style w:type="character" w:styleId="Hyperlink">
    <w:name w:val="Hyperlink"/>
    <w:basedOn w:val="DefaultParagraphFont"/>
    <w:uiPriority w:val="99"/>
    <w:unhideWhenUsed/>
    <w:rsid w:val="00766B83"/>
    <w:rPr>
      <w:color w:val="467886" w:themeColor="hyperlink"/>
      <w:u w:val="single"/>
    </w:rPr>
  </w:style>
  <w:style w:type="character" w:styleId="Strong">
    <w:name w:val="Strong"/>
    <w:basedOn w:val="DefaultParagraphFont"/>
    <w:uiPriority w:val="22"/>
    <w:qFormat/>
    <w:rsid w:val="00766B83"/>
    <w:rPr>
      <w:b/>
      <w:bCs/>
    </w:rPr>
  </w:style>
  <w:style w:type="paragraph" w:styleId="FootnoteText">
    <w:name w:val="footnote text"/>
    <w:aliases w:val="Char,Footnote,Fußnote,Vēres teksts Char Char Char Char Char Char Char Char Char Char Char Char1,Char Char Char Char Char Char Char Char Char Char Char Char Char Char Char Char Char Char Char1,-E Fußnotentext,fn,f"/>
    <w:basedOn w:val="Normal"/>
    <w:link w:val="FootnoteTextChar"/>
    <w:uiPriority w:val="99"/>
    <w:unhideWhenUsed/>
    <w:rsid w:val="00766B83"/>
    <w:pPr>
      <w:spacing w:after="160" w:line="276" w:lineRule="auto"/>
      <w:ind w:firstLine="0"/>
      <w:jc w:val="left"/>
    </w:pPr>
    <w:rPr>
      <w:rFonts w:eastAsiaTheme="minorEastAsia"/>
      <w:sz w:val="20"/>
      <w:szCs w:val="20"/>
    </w:rPr>
  </w:style>
  <w:style w:type="character" w:customStyle="1" w:styleId="FootnoteTextChar">
    <w:name w:val="Footnote Text Char"/>
    <w:aliases w:val="Char Char,Footnote Char,Fußnote Char,Vēres teksts Char Char Char Char Char Char Char Char Char Char Char Char1 Char,Char Char Char Char Char Char Char Char Char Char Char Char Char Char Char Char Char Char Char1 Char,fn Char,f Char"/>
    <w:basedOn w:val="DefaultParagraphFont"/>
    <w:link w:val="FootnoteText"/>
    <w:uiPriority w:val="99"/>
    <w:rsid w:val="00766B83"/>
    <w:rPr>
      <w:rFonts w:eastAsiaTheme="minorEastAsia"/>
      <w:kern w:val="0"/>
      <w:sz w:val="20"/>
      <w:szCs w:val="20"/>
      <w:lang w:val="en-US"/>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66B83"/>
    <w:rPr>
      <w:vertAlign w:val="superscript"/>
    </w:rPr>
  </w:style>
  <w:style w:type="paragraph" w:customStyle="1" w:styleId="CharCharCharChar">
    <w:name w:val="Char Char Char Char"/>
    <w:aliases w:val="Char2"/>
    <w:basedOn w:val="Normal"/>
    <w:next w:val="Normal"/>
    <w:link w:val="FootnoteReference"/>
    <w:uiPriority w:val="99"/>
    <w:rsid w:val="00766B83"/>
    <w:pPr>
      <w:spacing w:after="160" w:line="240" w:lineRule="exact"/>
      <w:ind w:firstLine="0"/>
    </w:pPr>
    <w:rPr>
      <w:kern w:val="2"/>
      <w:vertAlign w:val="superscript"/>
      <w:lang w:val="lv-LV"/>
      <w14:ligatures w14:val="standardContextual"/>
    </w:rPr>
  </w:style>
  <w:style w:type="character" w:styleId="CommentReference">
    <w:name w:val="annotation reference"/>
    <w:basedOn w:val="DefaultParagraphFont"/>
    <w:uiPriority w:val="99"/>
    <w:semiHidden/>
    <w:rsid w:val="00766B83"/>
    <w:rPr>
      <w:sz w:val="16"/>
      <w:szCs w:val="16"/>
    </w:rPr>
  </w:style>
  <w:style w:type="paragraph" w:styleId="CommentText">
    <w:name w:val="annotation text"/>
    <w:basedOn w:val="Normal"/>
    <w:link w:val="CommentTextChar"/>
    <w:uiPriority w:val="99"/>
    <w:rsid w:val="00766B83"/>
    <w:rPr>
      <w:sz w:val="20"/>
      <w:szCs w:val="20"/>
    </w:rPr>
  </w:style>
  <w:style w:type="character" w:customStyle="1" w:styleId="CommentTextChar">
    <w:name w:val="Comment Text Char"/>
    <w:basedOn w:val="DefaultParagraphFont"/>
    <w:link w:val="CommentText"/>
    <w:uiPriority w:val="99"/>
    <w:rsid w:val="00766B8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66B83"/>
    <w:rPr>
      <w:b/>
      <w:bCs/>
    </w:rPr>
  </w:style>
  <w:style w:type="character" w:customStyle="1" w:styleId="CommentSubjectChar">
    <w:name w:val="Comment Subject Char"/>
    <w:basedOn w:val="CommentTextChar"/>
    <w:link w:val="CommentSubject"/>
    <w:uiPriority w:val="99"/>
    <w:semiHidden/>
    <w:rsid w:val="00766B83"/>
    <w:rPr>
      <w:b/>
      <w:bCs/>
      <w:kern w:val="0"/>
      <w:sz w:val="20"/>
      <w:szCs w:val="20"/>
      <w:lang w:val="en-US"/>
      <w14:ligatures w14:val="none"/>
    </w:rPr>
  </w:style>
  <w:style w:type="paragraph" w:styleId="TOC1">
    <w:name w:val="toc 1"/>
    <w:basedOn w:val="Normal"/>
    <w:next w:val="Normal"/>
    <w:autoRedefine/>
    <w:uiPriority w:val="39"/>
    <w:rsid w:val="00766B83"/>
    <w:pPr>
      <w:tabs>
        <w:tab w:val="right" w:pos="10790"/>
      </w:tabs>
      <w:spacing w:before="240"/>
      <w:ind w:firstLine="0"/>
    </w:pPr>
    <w:rPr>
      <w:b/>
      <w:bCs/>
      <w:caps/>
      <w:sz w:val="22"/>
      <w:szCs w:val="22"/>
      <w:u w:val="single"/>
    </w:rPr>
  </w:style>
  <w:style w:type="paragraph" w:customStyle="1" w:styleId="Nodaasvirsraksts">
    <w:name w:val="Nodaļas virsraksts"/>
    <w:basedOn w:val="IntenseQuote"/>
    <w:link w:val="NodaasvirsrakstsChar"/>
    <w:autoRedefine/>
    <w:uiPriority w:val="6"/>
    <w:qFormat/>
    <w:rsid w:val="00CA403E"/>
    <w:pPr>
      <w:pBdr>
        <w:top w:val="single" w:sz="24" w:space="4" w:color="00B0F0"/>
        <w:bottom w:val="none" w:sz="0" w:space="0" w:color="auto"/>
      </w:pBdr>
      <w:spacing w:before="240" w:after="240"/>
      <w:ind w:left="0" w:right="0"/>
      <w:jc w:val="left"/>
    </w:pPr>
    <w:rPr>
      <w:rFonts w:asciiTheme="majorHAnsi" w:eastAsiaTheme="majorEastAsia" w:hAnsiTheme="majorHAnsi" w:cstheme="majorHAnsi"/>
      <w:b/>
      <w:bCs/>
      <w:i w:val="0"/>
      <w:iCs w:val="0"/>
      <w:color w:val="123869"/>
      <w:sz w:val="28"/>
      <w:lang w:val="lv-LV"/>
    </w:rPr>
  </w:style>
  <w:style w:type="character" w:customStyle="1" w:styleId="NodaasvirsrakstsChar">
    <w:name w:val="Nodaļas virsraksts Char"/>
    <w:basedOn w:val="IntenseQuoteChar"/>
    <w:link w:val="Nodaasvirsraksts"/>
    <w:uiPriority w:val="6"/>
    <w:rsid w:val="00CA403E"/>
    <w:rPr>
      <w:rFonts w:asciiTheme="majorHAnsi" w:eastAsiaTheme="majorEastAsia" w:hAnsiTheme="majorHAnsi" w:cstheme="majorHAnsi"/>
      <w:b/>
      <w:bCs/>
      <w:i w:val="0"/>
      <w:iCs w:val="0"/>
      <w:color w:val="123869"/>
      <w:kern w:val="0"/>
      <w:sz w:val="28"/>
      <w14:ligatures w14:val="none"/>
    </w:rPr>
  </w:style>
  <w:style w:type="paragraph" w:customStyle="1" w:styleId="TabulasAttli">
    <w:name w:val="Tabulas/Attēli"/>
    <w:basedOn w:val="Normal"/>
    <w:link w:val="TabulasAttliChar"/>
    <w:uiPriority w:val="6"/>
    <w:qFormat/>
    <w:rsid w:val="00766B83"/>
    <w:pPr>
      <w:jc w:val="right"/>
    </w:pPr>
    <w:rPr>
      <w:i/>
      <w:iCs/>
      <w:lang w:val="lv-LV"/>
    </w:rPr>
  </w:style>
  <w:style w:type="character" w:styleId="UnresolvedMention">
    <w:name w:val="Unresolved Mention"/>
    <w:basedOn w:val="DefaultParagraphFont"/>
    <w:uiPriority w:val="99"/>
    <w:semiHidden/>
    <w:unhideWhenUsed/>
    <w:rsid w:val="00766B83"/>
    <w:rPr>
      <w:color w:val="605E5C"/>
      <w:shd w:val="clear" w:color="auto" w:fill="E1DFDD"/>
    </w:rPr>
  </w:style>
  <w:style w:type="character" w:customStyle="1" w:styleId="TabulasAttliChar">
    <w:name w:val="Tabulas/Attēli Char"/>
    <w:basedOn w:val="DefaultParagraphFont"/>
    <w:link w:val="TabulasAttli"/>
    <w:uiPriority w:val="6"/>
    <w:rsid w:val="00766B83"/>
    <w:rPr>
      <w:i/>
      <w:iCs/>
      <w:kern w:val="0"/>
      <w14:ligatures w14:val="none"/>
    </w:rPr>
  </w:style>
  <w:style w:type="table" w:customStyle="1" w:styleId="TableGrid1">
    <w:name w:val="Table Grid1"/>
    <w:basedOn w:val="TableNormal"/>
    <w:next w:val="TableGrid"/>
    <w:uiPriority w:val="39"/>
    <w:rsid w:val="00766B83"/>
    <w:pPr>
      <w:spacing w:after="0" w:line="240" w:lineRule="auto"/>
    </w:pPr>
    <w:rPr>
      <w:rFonts w:eastAsia="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66B83"/>
    <w:rPr>
      <w:color w:val="2B579A"/>
      <w:shd w:val="clear" w:color="auto" w:fill="E1DFDD"/>
    </w:rPr>
  </w:style>
  <w:style w:type="table" w:customStyle="1" w:styleId="TableGrid2">
    <w:name w:val="Table Grid2"/>
    <w:basedOn w:val="TableNormal"/>
    <w:next w:val="TableGrid"/>
    <w:uiPriority w:val="39"/>
    <w:rsid w:val="00766B83"/>
    <w:pPr>
      <w:spacing w:after="0" w:line="240" w:lineRule="auto"/>
    </w:pPr>
    <w:rPr>
      <w:rFonts w:eastAsia="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766B83"/>
  </w:style>
  <w:style w:type="paragraph" w:styleId="Revision">
    <w:name w:val="Revision"/>
    <w:hidden/>
    <w:uiPriority w:val="99"/>
    <w:semiHidden/>
    <w:rsid w:val="00766B83"/>
    <w:pPr>
      <w:spacing w:after="0" w:line="240" w:lineRule="auto"/>
    </w:pPr>
    <w:rPr>
      <w:kern w:val="0"/>
      <w:lang w:val="en-US"/>
      <w14:ligatures w14:val="none"/>
    </w:rPr>
  </w:style>
  <w:style w:type="paragraph" w:styleId="TOC4">
    <w:name w:val="toc 4"/>
    <w:basedOn w:val="Normal"/>
    <w:next w:val="Normal"/>
    <w:autoRedefine/>
    <w:uiPriority w:val="39"/>
    <w:rsid w:val="00766B83"/>
    <w:pPr>
      <w:tabs>
        <w:tab w:val="right" w:pos="10790"/>
      </w:tabs>
      <w:spacing w:after="0"/>
      <w:ind w:left="851" w:hanging="425"/>
      <w:jc w:val="left"/>
    </w:pPr>
    <w:rPr>
      <w:sz w:val="22"/>
      <w:szCs w:val="22"/>
    </w:rPr>
  </w:style>
  <w:style w:type="paragraph" w:styleId="TOC5">
    <w:name w:val="toc 5"/>
    <w:basedOn w:val="Normal"/>
    <w:next w:val="Normal"/>
    <w:autoRedefine/>
    <w:uiPriority w:val="39"/>
    <w:semiHidden/>
    <w:rsid w:val="00766B83"/>
    <w:pPr>
      <w:spacing w:after="0"/>
      <w:ind w:firstLine="0"/>
      <w:jc w:val="left"/>
    </w:pPr>
    <w:rPr>
      <w:sz w:val="22"/>
      <w:szCs w:val="22"/>
    </w:rPr>
  </w:style>
  <w:style w:type="paragraph" w:styleId="TOC6">
    <w:name w:val="toc 6"/>
    <w:basedOn w:val="Normal"/>
    <w:next w:val="Normal"/>
    <w:autoRedefine/>
    <w:uiPriority w:val="39"/>
    <w:semiHidden/>
    <w:rsid w:val="00766B83"/>
    <w:pPr>
      <w:spacing w:after="0"/>
      <w:ind w:firstLine="0"/>
      <w:jc w:val="left"/>
    </w:pPr>
    <w:rPr>
      <w:sz w:val="22"/>
      <w:szCs w:val="22"/>
    </w:rPr>
  </w:style>
  <w:style w:type="paragraph" w:styleId="TOC7">
    <w:name w:val="toc 7"/>
    <w:basedOn w:val="Normal"/>
    <w:next w:val="Normal"/>
    <w:autoRedefine/>
    <w:uiPriority w:val="39"/>
    <w:semiHidden/>
    <w:rsid w:val="00766B83"/>
    <w:pPr>
      <w:spacing w:after="0"/>
      <w:ind w:firstLine="0"/>
      <w:jc w:val="left"/>
    </w:pPr>
    <w:rPr>
      <w:sz w:val="22"/>
      <w:szCs w:val="22"/>
    </w:rPr>
  </w:style>
  <w:style w:type="paragraph" w:styleId="TOC8">
    <w:name w:val="toc 8"/>
    <w:basedOn w:val="Normal"/>
    <w:next w:val="Normal"/>
    <w:autoRedefine/>
    <w:uiPriority w:val="39"/>
    <w:semiHidden/>
    <w:rsid w:val="00766B83"/>
    <w:pPr>
      <w:spacing w:after="0"/>
      <w:ind w:firstLine="0"/>
      <w:jc w:val="left"/>
    </w:pPr>
    <w:rPr>
      <w:sz w:val="22"/>
      <w:szCs w:val="22"/>
    </w:rPr>
  </w:style>
  <w:style w:type="paragraph" w:styleId="TOC9">
    <w:name w:val="toc 9"/>
    <w:basedOn w:val="Normal"/>
    <w:next w:val="Normal"/>
    <w:autoRedefine/>
    <w:uiPriority w:val="39"/>
    <w:semiHidden/>
    <w:rsid w:val="00766B83"/>
    <w:pPr>
      <w:spacing w:after="0"/>
      <w:ind w:firstLine="0"/>
      <w:jc w:val="left"/>
    </w:pPr>
    <w:rPr>
      <w:sz w:val="22"/>
      <w:szCs w:val="22"/>
    </w:rPr>
  </w:style>
  <w:style w:type="character" w:styleId="FollowedHyperlink">
    <w:name w:val="FollowedHyperlink"/>
    <w:basedOn w:val="DefaultParagraphFont"/>
    <w:uiPriority w:val="99"/>
    <w:semiHidden/>
    <w:rsid w:val="00766B83"/>
    <w:rPr>
      <w:color w:val="96607D" w:themeColor="followedHyperlink"/>
      <w:u w:val="single"/>
    </w:rPr>
  </w:style>
  <w:style w:type="table" w:styleId="ListTable4-Accent1">
    <w:name w:val="List Table 4 Accent 1"/>
    <w:basedOn w:val="TableNormal"/>
    <w:uiPriority w:val="49"/>
    <w:rsid w:val="00060A08"/>
    <w:pPr>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221870434">
      <w:bodyDiv w:val="1"/>
      <w:marLeft w:val="0"/>
      <w:marRight w:val="0"/>
      <w:marTop w:val="0"/>
      <w:marBottom w:val="0"/>
      <w:divBdr>
        <w:top w:val="none" w:sz="0" w:space="0" w:color="auto"/>
        <w:left w:val="none" w:sz="0" w:space="0" w:color="auto"/>
        <w:bottom w:val="none" w:sz="0" w:space="0" w:color="auto"/>
        <w:right w:val="none" w:sz="0" w:space="0" w:color="auto"/>
      </w:divBdr>
    </w:div>
    <w:div w:id="224269442">
      <w:bodyDiv w:val="1"/>
      <w:marLeft w:val="0"/>
      <w:marRight w:val="0"/>
      <w:marTop w:val="0"/>
      <w:marBottom w:val="0"/>
      <w:divBdr>
        <w:top w:val="none" w:sz="0" w:space="0" w:color="auto"/>
        <w:left w:val="none" w:sz="0" w:space="0" w:color="auto"/>
        <w:bottom w:val="none" w:sz="0" w:space="0" w:color="auto"/>
        <w:right w:val="none" w:sz="0" w:space="0" w:color="auto"/>
      </w:divBdr>
    </w:div>
    <w:div w:id="242760897">
      <w:bodyDiv w:val="1"/>
      <w:marLeft w:val="0"/>
      <w:marRight w:val="0"/>
      <w:marTop w:val="0"/>
      <w:marBottom w:val="0"/>
      <w:divBdr>
        <w:top w:val="none" w:sz="0" w:space="0" w:color="auto"/>
        <w:left w:val="none" w:sz="0" w:space="0" w:color="auto"/>
        <w:bottom w:val="none" w:sz="0" w:space="0" w:color="auto"/>
        <w:right w:val="none" w:sz="0" w:space="0" w:color="auto"/>
      </w:divBdr>
    </w:div>
    <w:div w:id="281037411">
      <w:bodyDiv w:val="1"/>
      <w:marLeft w:val="0"/>
      <w:marRight w:val="0"/>
      <w:marTop w:val="0"/>
      <w:marBottom w:val="0"/>
      <w:divBdr>
        <w:top w:val="none" w:sz="0" w:space="0" w:color="auto"/>
        <w:left w:val="none" w:sz="0" w:space="0" w:color="auto"/>
        <w:bottom w:val="none" w:sz="0" w:space="0" w:color="auto"/>
        <w:right w:val="none" w:sz="0" w:space="0" w:color="auto"/>
      </w:divBdr>
    </w:div>
    <w:div w:id="314575563">
      <w:bodyDiv w:val="1"/>
      <w:marLeft w:val="0"/>
      <w:marRight w:val="0"/>
      <w:marTop w:val="0"/>
      <w:marBottom w:val="0"/>
      <w:divBdr>
        <w:top w:val="none" w:sz="0" w:space="0" w:color="auto"/>
        <w:left w:val="none" w:sz="0" w:space="0" w:color="auto"/>
        <w:bottom w:val="none" w:sz="0" w:space="0" w:color="auto"/>
        <w:right w:val="none" w:sz="0" w:space="0" w:color="auto"/>
      </w:divBdr>
    </w:div>
    <w:div w:id="357970053">
      <w:bodyDiv w:val="1"/>
      <w:marLeft w:val="0"/>
      <w:marRight w:val="0"/>
      <w:marTop w:val="0"/>
      <w:marBottom w:val="0"/>
      <w:divBdr>
        <w:top w:val="none" w:sz="0" w:space="0" w:color="auto"/>
        <w:left w:val="none" w:sz="0" w:space="0" w:color="auto"/>
        <w:bottom w:val="none" w:sz="0" w:space="0" w:color="auto"/>
        <w:right w:val="none" w:sz="0" w:space="0" w:color="auto"/>
      </w:divBdr>
    </w:div>
    <w:div w:id="481703471">
      <w:bodyDiv w:val="1"/>
      <w:marLeft w:val="0"/>
      <w:marRight w:val="0"/>
      <w:marTop w:val="0"/>
      <w:marBottom w:val="0"/>
      <w:divBdr>
        <w:top w:val="none" w:sz="0" w:space="0" w:color="auto"/>
        <w:left w:val="none" w:sz="0" w:space="0" w:color="auto"/>
        <w:bottom w:val="none" w:sz="0" w:space="0" w:color="auto"/>
        <w:right w:val="none" w:sz="0" w:space="0" w:color="auto"/>
      </w:divBdr>
    </w:div>
    <w:div w:id="1138498226">
      <w:bodyDiv w:val="1"/>
      <w:marLeft w:val="0"/>
      <w:marRight w:val="0"/>
      <w:marTop w:val="0"/>
      <w:marBottom w:val="0"/>
      <w:divBdr>
        <w:top w:val="none" w:sz="0" w:space="0" w:color="auto"/>
        <w:left w:val="none" w:sz="0" w:space="0" w:color="auto"/>
        <w:bottom w:val="none" w:sz="0" w:space="0" w:color="auto"/>
        <w:right w:val="none" w:sz="0" w:space="0" w:color="auto"/>
      </w:divBdr>
    </w:div>
    <w:div w:id="1264610209">
      <w:bodyDiv w:val="1"/>
      <w:marLeft w:val="0"/>
      <w:marRight w:val="0"/>
      <w:marTop w:val="0"/>
      <w:marBottom w:val="0"/>
      <w:divBdr>
        <w:top w:val="none" w:sz="0" w:space="0" w:color="auto"/>
        <w:left w:val="none" w:sz="0" w:space="0" w:color="auto"/>
        <w:bottom w:val="none" w:sz="0" w:space="0" w:color="auto"/>
        <w:right w:val="none" w:sz="0" w:space="0" w:color="auto"/>
      </w:divBdr>
    </w:div>
    <w:div w:id="1276135207">
      <w:bodyDiv w:val="1"/>
      <w:marLeft w:val="0"/>
      <w:marRight w:val="0"/>
      <w:marTop w:val="0"/>
      <w:marBottom w:val="0"/>
      <w:divBdr>
        <w:top w:val="none" w:sz="0" w:space="0" w:color="auto"/>
        <w:left w:val="none" w:sz="0" w:space="0" w:color="auto"/>
        <w:bottom w:val="none" w:sz="0" w:space="0" w:color="auto"/>
        <w:right w:val="none" w:sz="0" w:space="0" w:color="auto"/>
      </w:divBdr>
    </w:div>
    <w:div w:id="1395547099">
      <w:bodyDiv w:val="1"/>
      <w:marLeft w:val="0"/>
      <w:marRight w:val="0"/>
      <w:marTop w:val="0"/>
      <w:marBottom w:val="0"/>
      <w:divBdr>
        <w:top w:val="none" w:sz="0" w:space="0" w:color="auto"/>
        <w:left w:val="none" w:sz="0" w:space="0" w:color="auto"/>
        <w:bottom w:val="none" w:sz="0" w:space="0" w:color="auto"/>
        <w:right w:val="none" w:sz="0" w:space="0" w:color="auto"/>
      </w:divBdr>
    </w:div>
    <w:div w:id="1418475457">
      <w:bodyDiv w:val="1"/>
      <w:marLeft w:val="0"/>
      <w:marRight w:val="0"/>
      <w:marTop w:val="0"/>
      <w:marBottom w:val="0"/>
      <w:divBdr>
        <w:top w:val="none" w:sz="0" w:space="0" w:color="auto"/>
        <w:left w:val="none" w:sz="0" w:space="0" w:color="auto"/>
        <w:bottom w:val="none" w:sz="0" w:space="0" w:color="auto"/>
        <w:right w:val="none" w:sz="0" w:space="0" w:color="auto"/>
      </w:divBdr>
    </w:div>
    <w:div w:id="1507287742">
      <w:bodyDiv w:val="1"/>
      <w:marLeft w:val="0"/>
      <w:marRight w:val="0"/>
      <w:marTop w:val="0"/>
      <w:marBottom w:val="0"/>
      <w:divBdr>
        <w:top w:val="none" w:sz="0" w:space="0" w:color="auto"/>
        <w:left w:val="none" w:sz="0" w:space="0" w:color="auto"/>
        <w:bottom w:val="none" w:sz="0" w:space="0" w:color="auto"/>
        <w:right w:val="none" w:sz="0" w:space="0" w:color="auto"/>
      </w:divBdr>
    </w:div>
    <w:div w:id="1509832574">
      <w:bodyDiv w:val="1"/>
      <w:marLeft w:val="0"/>
      <w:marRight w:val="0"/>
      <w:marTop w:val="0"/>
      <w:marBottom w:val="0"/>
      <w:divBdr>
        <w:top w:val="none" w:sz="0" w:space="0" w:color="auto"/>
        <w:left w:val="none" w:sz="0" w:space="0" w:color="auto"/>
        <w:bottom w:val="none" w:sz="0" w:space="0" w:color="auto"/>
        <w:right w:val="none" w:sz="0" w:space="0" w:color="auto"/>
      </w:divBdr>
    </w:div>
    <w:div w:id="1535919056">
      <w:bodyDiv w:val="1"/>
      <w:marLeft w:val="0"/>
      <w:marRight w:val="0"/>
      <w:marTop w:val="0"/>
      <w:marBottom w:val="0"/>
      <w:divBdr>
        <w:top w:val="none" w:sz="0" w:space="0" w:color="auto"/>
        <w:left w:val="none" w:sz="0" w:space="0" w:color="auto"/>
        <w:bottom w:val="none" w:sz="0" w:space="0" w:color="auto"/>
        <w:right w:val="none" w:sz="0" w:space="0" w:color="auto"/>
      </w:divBdr>
    </w:div>
    <w:div w:id="1686591008">
      <w:bodyDiv w:val="1"/>
      <w:marLeft w:val="0"/>
      <w:marRight w:val="0"/>
      <w:marTop w:val="0"/>
      <w:marBottom w:val="0"/>
      <w:divBdr>
        <w:top w:val="none" w:sz="0" w:space="0" w:color="auto"/>
        <w:left w:val="none" w:sz="0" w:space="0" w:color="auto"/>
        <w:bottom w:val="none" w:sz="0" w:space="0" w:color="auto"/>
        <w:right w:val="none" w:sz="0" w:space="0" w:color="auto"/>
      </w:divBdr>
    </w:div>
    <w:div w:id="1736321292">
      <w:bodyDiv w:val="1"/>
      <w:marLeft w:val="0"/>
      <w:marRight w:val="0"/>
      <w:marTop w:val="0"/>
      <w:marBottom w:val="0"/>
      <w:divBdr>
        <w:top w:val="none" w:sz="0" w:space="0" w:color="auto"/>
        <w:left w:val="none" w:sz="0" w:space="0" w:color="auto"/>
        <w:bottom w:val="none" w:sz="0" w:space="0" w:color="auto"/>
        <w:right w:val="none" w:sz="0" w:space="0" w:color="auto"/>
      </w:divBdr>
    </w:div>
    <w:div w:id="1848061399">
      <w:bodyDiv w:val="1"/>
      <w:marLeft w:val="0"/>
      <w:marRight w:val="0"/>
      <w:marTop w:val="0"/>
      <w:marBottom w:val="0"/>
      <w:divBdr>
        <w:top w:val="none" w:sz="0" w:space="0" w:color="auto"/>
        <w:left w:val="none" w:sz="0" w:space="0" w:color="auto"/>
        <w:bottom w:val="none" w:sz="0" w:space="0" w:color="auto"/>
        <w:right w:val="none" w:sz="0" w:space="0" w:color="auto"/>
      </w:divBdr>
    </w:div>
    <w:div w:id="19684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media/19885/download?attachment" TargetMode="External"/><Relationship Id="rId2" Type="http://schemas.openxmlformats.org/officeDocument/2006/relationships/hyperlink" Target="https://www.fm.gov.lv/lv/media/19885/download?attachment" TargetMode="External"/><Relationship Id="rId1" Type="http://schemas.openxmlformats.org/officeDocument/2006/relationships/hyperlink" Target="https://anti-fraud.ec.europa.eu/document/download/e600af45-0604-4102-a320-1764987ba220_en?filename=pif-report-2023_en.PDF" TargetMode="External"/><Relationship Id="rId6" Type="http://schemas.openxmlformats.org/officeDocument/2006/relationships/hyperlink" Target="https://www.eppo.europa.eu/sites/default/files/2025-03/EPPO%20Annual%20Report%202024_0.pdf" TargetMode="External"/><Relationship Id="rId5" Type="http://schemas.openxmlformats.org/officeDocument/2006/relationships/hyperlink" Target="https://www.at.gov.lv/lv/jaunumi/par-tiesu-lietam/kriminallietu-departamenta/senats-liek-apgabaltiesai-pec-butibas-skatit-kriminallietu-saistiba-ar-atzinuma-sniegsanu-par-ventspils-muzikas-vidusskolas-atbilstibu-ugunsdrosibas-prasibam-11009?year=2022&amp;month=02" TargetMode="External"/><Relationship Id="rId4" Type="http://schemas.openxmlformats.org/officeDocument/2006/relationships/hyperlink" Target="https://www.kp.gov.lv/lv/jaunums/konkurences-padome-soda-10-buvniecibas-uznemumus-par-dalibu-kartel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rd-dolga\AppData\Local\Microsoft\Windows\INetCache\Content.Outlook\OYTE5R98\Darba%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43627879848353"/>
          <c:y val="4.3399129146923482E-2"/>
          <c:w val="0.68783799941673962"/>
          <c:h val="0.82231135906218"/>
        </c:manualLayout>
      </c:layout>
      <c:lineChart>
        <c:grouping val="stacked"/>
        <c:varyColors val="0"/>
        <c:ser>
          <c:idx val="1"/>
          <c:order val="0"/>
          <c:tx>
            <c:strRef>
              <c:f>Sheet1!$C$19</c:f>
              <c:strCache>
                <c:ptCount val="1"/>
                <c:pt idx="0">
                  <c:v>Neatbilstību skaits, gab.</c:v>
                </c:pt>
              </c:strCache>
            </c:strRef>
          </c:tx>
          <c:spPr>
            <a:ln w="28575" cap="rnd">
              <a:solidFill>
                <a:schemeClr val="accent1">
                  <a:lumMod val="50000"/>
                </a:schemeClr>
              </a:solidFill>
              <a:round/>
            </a:ln>
            <a:effectLst/>
          </c:spPr>
          <c:marker>
            <c:symbol val="circle"/>
            <c:size val="5"/>
            <c:spPr>
              <a:solidFill>
                <a:srgbClr val="00B0F0"/>
              </a:solidFill>
              <a:ln w="9525">
                <a:solidFill>
                  <a:schemeClr val="accent1">
                    <a:lumMod val="50000"/>
                  </a:schemeClr>
                </a:solidFill>
              </a:ln>
              <a:effectLst/>
            </c:spPr>
          </c:marker>
          <c:dPt>
            <c:idx val="1"/>
            <c:marker>
              <c:symbol val="circle"/>
              <c:size val="5"/>
              <c:spPr>
                <a:solidFill>
                  <a:srgbClr val="00B0F0"/>
                </a:solidFill>
                <a:ln w="9525">
                  <a:solidFill>
                    <a:schemeClr val="accent1">
                      <a:lumMod val="50000"/>
                    </a:schemeClr>
                  </a:solidFill>
                </a:ln>
                <a:effectLst/>
              </c:spPr>
            </c:marker>
            <c:bubble3D val="0"/>
            <c:spPr>
              <a:ln w="28575" cap="rnd">
                <a:solidFill>
                  <a:schemeClr val="accent1">
                    <a:lumMod val="50000"/>
                  </a:schemeClr>
                </a:solidFill>
                <a:round/>
              </a:ln>
              <a:effectLst/>
            </c:spPr>
            <c:extLst>
              <c:ext xmlns:c16="http://schemas.microsoft.com/office/drawing/2014/chart" uri="{C3380CC4-5D6E-409C-BE32-E72D297353CC}">
                <c16:uniqueId val="{00000001-997F-4C59-8164-F2FD53F22659}"/>
              </c:ext>
            </c:extLst>
          </c:dPt>
          <c:dPt>
            <c:idx val="2"/>
            <c:marker>
              <c:symbol val="circle"/>
              <c:size val="5"/>
              <c:spPr>
                <a:solidFill>
                  <a:srgbClr val="00B0F0"/>
                </a:solidFill>
                <a:ln w="9525">
                  <a:solidFill>
                    <a:schemeClr val="accent1">
                      <a:lumMod val="50000"/>
                    </a:schemeClr>
                  </a:solidFill>
                </a:ln>
                <a:effectLst/>
              </c:spPr>
            </c:marker>
            <c:bubble3D val="0"/>
            <c:spPr>
              <a:ln w="28575" cap="rnd">
                <a:solidFill>
                  <a:schemeClr val="accent1">
                    <a:lumMod val="50000"/>
                  </a:schemeClr>
                </a:solidFill>
                <a:round/>
              </a:ln>
              <a:effectLst/>
            </c:spPr>
            <c:extLst>
              <c:ext xmlns:c16="http://schemas.microsoft.com/office/drawing/2014/chart" uri="{C3380CC4-5D6E-409C-BE32-E72D297353CC}">
                <c16:uniqueId val="{00000003-997F-4C59-8164-F2FD53F22659}"/>
              </c:ext>
            </c:extLst>
          </c:dPt>
          <c:cat>
            <c:numRef>
              <c:f>Sheet1!$B$20:$B$29</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Sheet1!$C$20:$C$29</c:f>
              <c:numCache>
                <c:formatCode>0</c:formatCode>
                <c:ptCount val="10"/>
                <c:pt idx="0">
                  <c:v>539</c:v>
                </c:pt>
                <c:pt idx="1">
                  <c:v>1736</c:v>
                </c:pt>
                <c:pt idx="2">
                  <c:v>1983</c:v>
                </c:pt>
                <c:pt idx="3">
                  <c:v>1238</c:v>
                </c:pt>
                <c:pt idx="4">
                  <c:v>1897</c:v>
                </c:pt>
                <c:pt idx="5">
                  <c:v>1544</c:v>
                </c:pt>
                <c:pt idx="6">
                  <c:v>1652</c:v>
                </c:pt>
                <c:pt idx="7">
                  <c:v>2157</c:v>
                </c:pt>
                <c:pt idx="8">
                  <c:v>1643</c:v>
                </c:pt>
                <c:pt idx="9">
                  <c:v>449</c:v>
                </c:pt>
              </c:numCache>
            </c:numRef>
          </c:val>
          <c:smooth val="0"/>
          <c:extLst>
            <c:ext xmlns:c16="http://schemas.microsoft.com/office/drawing/2014/chart" uri="{C3380CC4-5D6E-409C-BE32-E72D297353CC}">
              <c16:uniqueId val="{00000004-997F-4C59-8164-F2FD53F22659}"/>
            </c:ext>
          </c:extLst>
        </c:ser>
        <c:dLbls>
          <c:showLegendKey val="0"/>
          <c:showVal val="0"/>
          <c:showCatName val="0"/>
          <c:showSerName val="0"/>
          <c:showPercent val="0"/>
          <c:showBubbleSize val="0"/>
        </c:dLbls>
        <c:marker val="1"/>
        <c:smooth val="0"/>
        <c:axId val="1363433007"/>
        <c:axId val="1363426767"/>
      </c:lineChart>
      <c:lineChart>
        <c:grouping val="stacked"/>
        <c:varyColors val="0"/>
        <c:ser>
          <c:idx val="2"/>
          <c:order val="1"/>
          <c:tx>
            <c:strRef>
              <c:f>Sheet1!$D$19</c:f>
              <c:strCache>
                <c:ptCount val="1"/>
                <c:pt idx="0">
                  <c:v>Neatbilstību summa, milj. EUR</c:v>
                </c:pt>
              </c:strCache>
            </c:strRef>
          </c:tx>
          <c:spPr>
            <a:ln w="28575" cap="rnd">
              <a:solidFill>
                <a:schemeClr val="accent1">
                  <a:lumMod val="60000"/>
                  <a:lumOff val="40000"/>
                </a:schemeClr>
              </a:solidFill>
              <a:round/>
            </a:ln>
            <a:effectLst/>
          </c:spPr>
          <c:marker>
            <c:symbol val="circle"/>
            <c:size val="5"/>
            <c:spPr>
              <a:solidFill>
                <a:schemeClr val="accent3"/>
              </a:solidFill>
              <a:ln w="9525">
                <a:solidFill>
                  <a:schemeClr val="accent1">
                    <a:lumMod val="60000"/>
                    <a:lumOff val="40000"/>
                  </a:schemeClr>
                </a:solidFill>
              </a:ln>
              <a:effectLst/>
            </c:spPr>
          </c:marker>
          <c:val>
            <c:numRef>
              <c:f>Sheet1!$D$20:$D$29</c:f>
              <c:numCache>
                <c:formatCode>_(* #,##0.00_);_(* \(#,##0.00\);_(* "-"??_);_(@_)</c:formatCode>
                <c:ptCount val="10"/>
                <c:pt idx="0">
                  <c:v>0.15</c:v>
                </c:pt>
                <c:pt idx="1">
                  <c:v>7</c:v>
                </c:pt>
                <c:pt idx="2">
                  <c:v>1.36</c:v>
                </c:pt>
                <c:pt idx="3">
                  <c:v>2.72</c:v>
                </c:pt>
                <c:pt idx="4">
                  <c:v>16.55</c:v>
                </c:pt>
                <c:pt idx="5">
                  <c:v>9.77</c:v>
                </c:pt>
                <c:pt idx="6">
                  <c:v>33.24</c:v>
                </c:pt>
                <c:pt idx="7">
                  <c:v>39.770000000000003</c:v>
                </c:pt>
                <c:pt idx="8">
                  <c:v>29.57</c:v>
                </c:pt>
                <c:pt idx="9">
                  <c:v>29.21</c:v>
                </c:pt>
              </c:numCache>
            </c:numRef>
          </c:val>
          <c:smooth val="0"/>
          <c:extLst>
            <c:ext xmlns:c16="http://schemas.microsoft.com/office/drawing/2014/chart" uri="{C3380CC4-5D6E-409C-BE32-E72D297353CC}">
              <c16:uniqueId val="{00000005-997F-4C59-8164-F2FD53F22659}"/>
            </c:ext>
          </c:extLst>
        </c:ser>
        <c:dLbls>
          <c:showLegendKey val="0"/>
          <c:showVal val="0"/>
          <c:showCatName val="0"/>
          <c:showSerName val="0"/>
          <c:showPercent val="0"/>
          <c:showBubbleSize val="0"/>
        </c:dLbls>
        <c:marker val="1"/>
        <c:smooth val="0"/>
        <c:axId val="1363451727"/>
        <c:axId val="1363450287"/>
        <c:extLst/>
      </c:lineChart>
      <c:catAx>
        <c:axId val="1363433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1363426767"/>
        <c:crosses val="autoZero"/>
        <c:auto val="1"/>
        <c:lblAlgn val="ctr"/>
        <c:lblOffset val="100"/>
        <c:noMultiLvlLbl val="0"/>
      </c:catAx>
      <c:valAx>
        <c:axId val="13634267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1363433007"/>
        <c:crosses val="autoZero"/>
        <c:crossBetween val="between"/>
      </c:valAx>
      <c:valAx>
        <c:axId val="1363450287"/>
        <c:scaling>
          <c:orientation val="minMax"/>
        </c:scaling>
        <c:delete val="0"/>
        <c:axPos val="r"/>
        <c:numFmt formatCode="0\ &quot; milj.&quot;" sourceLinked="0"/>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1363451727"/>
        <c:crosses val="max"/>
        <c:crossBetween val="between"/>
      </c:valAx>
      <c:catAx>
        <c:axId val="1363451727"/>
        <c:scaling>
          <c:orientation val="minMax"/>
        </c:scaling>
        <c:delete val="1"/>
        <c:axPos val="b"/>
        <c:numFmt formatCode="_(* #,##0.00_);_(* \(#,##0.00\);_(* &quot;-&quot;??_);_(@_)" sourceLinked="1"/>
        <c:majorTickMark val="out"/>
        <c:minorTickMark val="none"/>
        <c:tickLblPos val="nextTo"/>
        <c:crossAx val="1363450287"/>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eorgia" panose="02040502050405020303"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8071950440991913"/>
          <c:y val="4.3668122270742356E-2"/>
          <c:w val="0.7773990229984663"/>
          <c:h val="0.79260048825774509"/>
        </c:manualLayout>
      </c:layout>
      <c:barChart>
        <c:barDir val="bar"/>
        <c:grouping val="percentStacked"/>
        <c:varyColors val="0"/>
        <c:ser>
          <c:idx val="1"/>
          <c:order val="0"/>
          <c:tx>
            <c:strRef>
              <c:f>Sheet1!$B$1</c:f>
              <c:strCache>
                <c:ptCount val="1"/>
                <c:pt idx="0">
                  <c:v>2017. gads</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a:outerShdw blurRad="40000" dist="20000" dir="5400000" rotWithShape="0">
                <a:srgbClr val="000000">
                  <a:alpha val="38000"/>
                </a:srgbClr>
              </a:outerShdw>
            </a:effectLst>
          </c:spPr>
          <c:invertIfNegative val="0"/>
          <c:dLbls>
            <c:dLbl>
              <c:idx val="0"/>
              <c:layout>
                <c:manualLayout>
                  <c:x val="-1.1951677702713971E-2"/>
                  <c:y val="8.0287453151325384E-4"/>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fld id="{E502C6BF-6AF5-4B78-86CF-C9D028D9F137}" type="VALUE">
                      <a:rPr lang="en-US"/>
                      <a:pPr>
                        <a:defRPr b="1">
                          <a:solidFill>
                            <a:sysClr val="windowText" lastClr="000000"/>
                          </a:solidFill>
                        </a:defRPr>
                      </a:pPr>
                      <a:t>[VALUE]</a:t>
                    </a:fld>
                    <a:endParaRPr lang="lv-LV"/>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5530736182587285"/>
                      <c:h val="4.7252690575250146E-2"/>
                    </c:manualLayout>
                  </c15:layout>
                  <c15:dlblFieldTable/>
                  <c15:showDataLabelsRange val="0"/>
                </c:ext>
                <c:ext xmlns:c16="http://schemas.microsoft.com/office/drawing/2014/chart" uri="{C3380CC4-5D6E-409C-BE32-E72D297353CC}">
                  <c16:uniqueId val="{00000000-4045-4870-A9BC-7E467E8FFB5D}"/>
                </c:ext>
              </c:extLst>
            </c:dLbl>
            <c:dLbl>
              <c:idx val="1"/>
              <c:layout>
                <c:manualLayout>
                  <c:x val="-4.3989803232343992E-2"/>
                  <c:y val="2.52237847998257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45-4870-A9BC-7E467E8FFB5D}"/>
                </c:ext>
              </c:extLst>
            </c:dLbl>
            <c:dLbl>
              <c:idx val="2"/>
              <c:layout>
                <c:manualLayout>
                  <c:x val="-2.2637904140978063E-2"/>
                  <c:y val="-2.6951598299120912E-3"/>
                </c:manualLayout>
              </c:layout>
              <c:numFmt formatCode="#,##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0802999807525995"/>
                      <c:h val="5.8169721142935733E-2"/>
                    </c:manualLayout>
                  </c15:layout>
                </c:ext>
                <c:ext xmlns:c16="http://schemas.microsoft.com/office/drawing/2014/chart" uri="{C3380CC4-5D6E-409C-BE32-E72D297353CC}">
                  <c16:uniqueId val="{00000002-4045-4870-A9BC-7E467E8FFB5D}"/>
                </c:ext>
              </c:extLst>
            </c:dLbl>
            <c:dLbl>
              <c:idx val="3"/>
              <c:layout>
                <c:manualLayout>
                  <c:x val="-2.4189018182261966E-3"/>
                  <c:y val="2.0401379958508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45-4870-A9BC-7E467E8FFB5D}"/>
                </c:ext>
              </c:extLst>
            </c:dLbl>
            <c:dLbl>
              <c:idx val="4"/>
              <c:layout>
                <c:manualLayout>
                  <c:x val="-7.8726745264573378E-2"/>
                  <c:y val="1.3796719733176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45-4870-A9BC-7E467E8FFB5D}"/>
                </c:ext>
              </c:extLst>
            </c:dLbl>
            <c:dLbl>
              <c:idx val="5"/>
              <c:layout>
                <c:manualLayout>
                  <c:x val="-5.1063963205240865E-3"/>
                  <c:y val="4.35792960377769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45-4870-A9BC-7E467E8FFB5D}"/>
                </c:ext>
              </c:extLst>
            </c:dLbl>
            <c:dLbl>
              <c:idx val="6"/>
              <c:layout>
                <c:manualLayout>
                  <c:x val="-8.1259528187719046E-2"/>
                  <c:y val="2.58568474696631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45-4870-A9BC-7E467E8FFB5D}"/>
                </c:ext>
              </c:extLst>
            </c:dLbl>
            <c:dLbl>
              <c:idx val="8"/>
              <c:layout>
                <c:manualLayout>
                  <c:x val="1.32728680455701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45-4870-A9BC-7E467E8FFB5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ERAF</c:v>
                </c:pt>
                <c:pt idx="1">
                  <c:v>ESF / ESF+</c:v>
                </c:pt>
                <c:pt idx="2">
                  <c:v>KF</c:v>
                </c:pt>
                <c:pt idx="3">
                  <c:v>EJZF/EJZAF</c:v>
                </c:pt>
                <c:pt idx="4">
                  <c:v>ELFLA</c:v>
                </c:pt>
                <c:pt idx="5">
                  <c:v>ELGF</c:v>
                </c:pt>
                <c:pt idx="6">
                  <c:v>ETS</c:v>
                </c:pt>
                <c:pt idx="7">
                  <c:v>IDF/PMIF/RPVP</c:v>
                </c:pt>
                <c:pt idx="8">
                  <c:v>EAFVP/ESF+  programma</c:v>
                </c:pt>
                <c:pt idx="9">
                  <c:v>TPF</c:v>
                </c:pt>
              </c:strCache>
            </c:strRef>
          </c:cat>
          <c:val>
            <c:numRef>
              <c:f>Sheet1!$B$2:$B$11</c:f>
              <c:numCache>
                <c:formatCode>#,##0</c:formatCode>
                <c:ptCount val="10"/>
                <c:pt idx="0">
                  <c:v>206085531.50999999</c:v>
                </c:pt>
                <c:pt idx="1">
                  <c:v>50856266.649999999</c:v>
                </c:pt>
                <c:pt idx="2">
                  <c:v>81009196.780000001</c:v>
                </c:pt>
                <c:pt idx="3">
                  <c:v>12066414.369999999</c:v>
                </c:pt>
                <c:pt idx="4">
                  <c:v>270117485</c:v>
                </c:pt>
                <c:pt idx="5">
                  <c:v>262849098</c:v>
                </c:pt>
                <c:pt idx="6">
                  <c:v>7619815</c:v>
                </c:pt>
                <c:pt idx="7">
                  <c:v>12300578.210000001</c:v>
                </c:pt>
                <c:pt idx="8">
                  <c:v>5569223</c:v>
                </c:pt>
              </c:numCache>
            </c:numRef>
          </c:val>
          <c:extLst>
            <c:ext xmlns:c16="http://schemas.microsoft.com/office/drawing/2014/chart" uri="{C3380CC4-5D6E-409C-BE32-E72D297353CC}">
              <c16:uniqueId val="{00000008-4045-4870-A9BC-7E467E8FFB5D}"/>
            </c:ext>
          </c:extLst>
        </c:ser>
        <c:ser>
          <c:idx val="2"/>
          <c:order val="1"/>
          <c:tx>
            <c:strRef>
              <c:f>Sheet1!$C$1</c:f>
              <c:strCache>
                <c:ptCount val="1"/>
                <c:pt idx="0">
                  <c:v>2024.gads</c:v>
                </c:pt>
              </c:strCache>
            </c:strRef>
          </c:tx>
          <c:spPr>
            <a:gradFill rotWithShape="1">
              <a:gsLst>
                <a:gs pos="0">
                  <a:schemeClr val="accent4">
                    <a:tint val="65000"/>
                    <a:lumMod val="110000"/>
                    <a:satMod val="105000"/>
                    <a:tint val="67000"/>
                  </a:schemeClr>
                </a:gs>
                <a:gs pos="50000">
                  <a:schemeClr val="accent4">
                    <a:tint val="65000"/>
                    <a:lumMod val="105000"/>
                    <a:satMod val="103000"/>
                    <a:tint val="73000"/>
                  </a:schemeClr>
                </a:gs>
                <a:gs pos="100000">
                  <a:schemeClr val="accent4">
                    <a:tint val="65000"/>
                    <a:lumMod val="105000"/>
                    <a:satMod val="109000"/>
                    <a:tint val="81000"/>
                  </a:schemeClr>
                </a:gs>
              </a:gsLst>
              <a:lin ang="5400000" scaled="0"/>
            </a:gradFill>
            <a:ln w="9525" cap="flat" cmpd="sng" algn="ctr">
              <a:solidFill>
                <a:schemeClr val="accent4">
                  <a:tint val="65000"/>
                  <a:shade val="95000"/>
                </a:schemeClr>
              </a:solidFill>
              <a:round/>
            </a:ln>
            <a:effectLst/>
          </c:spPr>
          <c:invertIfNegative val="0"/>
          <c:dLbls>
            <c:dLbl>
              <c:idx val="0"/>
              <c:layout>
                <c:manualLayout>
                  <c:x val="-1.3272868045570343E-2"/>
                  <c:y val="3.639010189228396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45-4870-A9BC-7E467E8FFB5D}"/>
                </c:ext>
              </c:extLst>
            </c:dLbl>
            <c:dLbl>
              <c:idx val="2"/>
              <c:layout>
                <c:manualLayout>
                  <c:x val="-1.769715739409373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045-4870-A9BC-7E467E8FFB5D}"/>
                </c:ext>
              </c:extLst>
            </c:dLbl>
            <c:dLbl>
              <c:idx val="4"/>
              <c:layout>
                <c:manualLayout>
                  <c:x val="-1.1060723371308484E-2"/>
                  <c:y val="-6.67144161118951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045-4870-A9BC-7E467E8FFB5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ERAF</c:v>
                </c:pt>
                <c:pt idx="1">
                  <c:v>ESF / ESF+</c:v>
                </c:pt>
                <c:pt idx="2">
                  <c:v>KF</c:v>
                </c:pt>
                <c:pt idx="3">
                  <c:v>EJZF/EJZAF</c:v>
                </c:pt>
                <c:pt idx="4">
                  <c:v>ELFLA</c:v>
                </c:pt>
                <c:pt idx="5">
                  <c:v>ELGF</c:v>
                </c:pt>
                <c:pt idx="6">
                  <c:v>ETS</c:v>
                </c:pt>
                <c:pt idx="7">
                  <c:v>IDF/PMIF/RPVP</c:v>
                </c:pt>
                <c:pt idx="8">
                  <c:v>EAFVP/ESF+  programma</c:v>
                </c:pt>
                <c:pt idx="9">
                  <c:v>TPF</c:v>
                </c:pt>
              </c:strCache>
            </c:strRef>
          </c:cat>
          <c:val>
            <c:numRef>
              <c:f>Sheet1!$C$2:$C$11</c:f>
              <c:numCache>
                <c:formatCode>#,##0</c:formatCode>
                <c:ptCount val="10"/>
                <c:pt idx="0">
                  <c:v>71070123.930000007</c:v>
                </c:pt>
                <c:pt idx="1">
                  <c:v>14632525.82</c:v>
                </c:pt>
                <c:pt idx="2">
                  <c:v>56417092.259999998</c:v>
                </c:pt>
                <c:pt idx="3">
                  <c:v>23335685.760000002</c:v>
                </c:pt>
                <c:pt idx="4">
                  <c:v>84891781.069999993</c:v>
                </c:pt>
                <c:pt idx="5">
                  <c:v>363065620.50999999</c:v>
                </c:pt>
                <c:pt idx="6">
                  <c:v>6257703.0800000001</c:v>
                </c:pt>
                <c:pt idx="7">
                  <c:v>33217358</c:v>
                </c:pt>
                <c:pt idx="8">
                  <c:v>14658622</c:v>
                </c:pt>
                <c:pt idx="9">
                  <c:v>5242079.37</c:v>
                </c:pt>
              </c:numCache>
            </c:numRef>
          </c:val>
          <c:extLst>
            <c:ext xmlns:c16="http://schemas.microsoft.com/office/drawing/2014/chart" uri="{C3380CC4-5D6E-409C-BE32-E72D297353CC}">
              <c16:uniqueId val="{0000000C-4045-4870-A9BC-7E467E8FFB5D}"/>
            </c:ext>
          </c:extLst>
        </c:ser>
        <c:dLbls>
          <c:showLegendKey val="0"/>
          <c:showVal val="0"/>
          <c:showCatName val="0"/>
          <c:showSerName val="0"/>
          <c:showPercent val="0"/>
          <c:showBubbleSize val="0"/>
        </c:dLbls>
        <c:gapWidth val="150"/>
        <c:overlap val="100"/>
        <c:axId val="1953100496"/>
        <c:axId val="1953098832"/>
      </c:barChart>
      <c:valAx>
        <c:axId val="1953098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953100496"/>
        <c:crosses val="autoZero"/>
        <c:crossBetween val="between"/>
      </c:valAx>
      <c:catAx>
        <c:axId val="195310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crossAx val="1953098832"/>
        <c:crosses val="autoZero"/>
        <c:auto val="1"/>
        <c:lblAlgn val="ctr"/>
        <c:lblOffset val="100"/>
        <c:noMultiLvlLbl val="0"/>
      </c:cat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8071950440991913"/>
          <c:y val="4.3668122270742356E-2"/>
          <c:w val="0.7773990229984663"/>
          <c:h val="0.79260048825774509"/>
        </c:manualLayout>
      </c:layout>
      <c:barChart>
        <c:barDir val="bar"/>
        <c:grouping val="percentStacked"/>
        <c:varyColors val="0"/>
        <c:ser>
          <c:idx val="1"/>
          <c:order val="0"/>
          <c:tx>
            <c:strRef>
              <c:f>Sheet1!$B$1</c:f>
              <c:strCache>
                <c:ptCount val="1"/>
                <c:pt idx="0">
                  <c:v>2017. gads</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a:outerShdw blurRad="40000" dist="20000" dir="5400000" rotWithShape="0">
                <a:srgbClr val="000000">
                  <a:alpha val="38000"/>
                </a:srgbClr>
              </a:outerShdw>
            </a:effectLst>
          </c:spPr>
          <c:invertIfNegative val="0"/>
          <c:dLbls>
            <c:dLbl>
              <c:idx val="0"/>
              <c:layout>
                <c:manualLayout>
                  <c:x val="-4.8452064828031959E-2"/>
                  <c:y val="-1.0166305631010098E-3"/>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fld id="{E502C6BF-6AF5-4B78-86CF-C9D028D9F137}" type="VALUE">
                      <a:rPr lang="en-US"/>
                      <a:pPr>
                        <a:defRPr b="1">
                          <a:solidFill>
                            <a:sysClr val="windowText" lastClr="000000"/>
                          </a:solidFill>
                        </a:defRPr>
                      </a:pPr>
                      <a:t>[VALUE]</a:t>
                    </a:fld>
                    <a:endParaRPr lang="lv-LV"/>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8.2306587575236873E-2"/>
                      <c:h val="4.3613680386021619E-2"/>
                    </c:manualLayout>
                  </c15:layout>
                  <c15:dlblFieldTable/>
                  <c15:showDataLabelsRange val="0"/>
                </c:ext>
                <c:ext xmlns:c16="http://schemas.microsoft.com/office/drawing/2014/chart" uri="{C3380CC4-5D6E-409C-BE32-E72D297353CC}">
                  <c16:uniqueId val="{00000000-B933-42E6-98AD-93F6454F2EFE}"/>
                </c:ext>
              </c:extLst>
            </c:dLbl>
            <c:dLbl>
              <c:idx val="1"/>
              <c:layout>
                <c:manualLayout>
                  <c:x val="-4.3989803232343992E-2"/>
                  <c:y val="2.52237847998257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3-42E6-98AD-93F6454F2EFE}"/>
                </c:ext>
              </c:extLst>
            </c:dLbl>
            <c:dLbl>
              <c:idx val="2"/>
              <c:layout>
                <c:manualLayout>
                  <c:x val="-2.2637904140978063E-2"/>
                  <c:y val="-2.6951598299120912E-3"/>
                </c:manualLayout>
              </c:layout>
              <c:numFmt formatCode="#,##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0802999807525995"/>
                      <c:h val="5.8169721142935733E-2"/>
                    </c:manualLayout>
                  </c15:layout>
                </c:ext>
                <c:ext xmlns:c16="http://schemas.microsoft.com/office/drawing/2014/chart" uri="{C3380CC4-5D6E-409C-BE32-E72D297353CC}">
                  <c16:uniqueId val="{00000002-B933-42E6-98AD-93F6454F2EFE}"/>
                </c:ext>
              </c:extLst>
            </c:dLbl>
            <c:dLbl>
              <c:idx val="3"/>
              <c:layout>
                <c:manualLayout>
                  <c:x val="-2.4189018182261966E-3"/>
                  <c:y val="2.0401379958508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33-42E6-98AD-93F6454F2EFE}"/>
                </c:ext>
              </c:extLst>
            </c:dLbl>
            <c:dLbl>
              <c:idx val="4"/>
              <c:layout>
                <c:manualLayout>
                  <c:x val="-7.8726745264573378E-2"/>
                  <c:y val="1.3796719733176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33-42E6-98AD-93F6454F2EFE}"/>
                </c:ext>
              </c:extLst>
            </c:dLbl>
            <c:dLbl>
              <c:idx val="5"/>
              <c:layout>
                <c:manualLayout>
                  <c:x val="-5.1063963205240457E-3"/>
                  <c:y val="-2.9200907746793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33-42E6-98AD-93F6454F2EFE}"/>
                </c:ext>
              </c:extLst>
            </c:dLbl>
            <c:dLbl>
              <c:idx val="6"/>
              <c:layout>
                <c:manualLayout>
                  <c:x val="-8.1259563824293002E-2"/>
                  <c:y val="-4.48773051840135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33-42E6-98AD-93F6454F2EFE}"/>
                </c:ext>
              </c:extLst>
            </c:dLbl>
            <c:dLbl>
              <c:idx val="8"/>
              <c:layout>
                <c:manualLayout>
                  <c:x val="1.32728680455701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33-42E6-98AD-93F6454F2EFE}"/>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ERAF</c:v>
                </c:pt>
                <c:pt idx="1">
                  <c:v>ESF</c:v>
                </c:pt>
                <c:pt idx="2">
                  <c:v>KF</c:v>
                </c:pt>
                <c:pt idx="3">
                  <c:v>EZF/EJZF/EJZAF</c:v>
                </c:pt>
                <c:pt idx="4">
                  <c:v>ELFLA</c:v>
                </c:pt>
                <c:pt idx="5">
                  <c:v>ELGF</c:v>
                </c:pt>
                <c:pt idx="6">
                  <c:v>ETS</c:v>
                </c:pt>
                <c:pt idx="7">
                  <c:v>IDF/PMIF/RPVP</c:v>
                </c:pt>
                <c:pt idx="8">
                  <c:v>EAFVP/ESF+  programma</c:v>
                </c:pt>
              </c:strCache>
            </c:strRef>
          </c:cat>
          <c:val>
            <c:numRef>
              <c:f>Sheet1!$B$2:$B$10</c:f>
              <c:numCache>
                <c:formatCode>#,##0</c:formatCode>
                <c:ptCount val="9"/>
                <c:pt idx="0">
                  <c:v>35</c:v>
                </c:pt>
                <c:pt idx="1">
                  <c:v>27</c:v>
                </c:pt>
                <c:pt idx="2">
                  <c:v>3</c:v>
                </c:pt>
                <c:pt idx="3">
                  <c:v>1</c:v>
                </c:pt>
                <c:pt idx="4">
                  <c:v>1388</c:v>
                </c:pt>
                <c:pt idx="5">
                  <c:v>410</c:v>
                </c:pt>
                <c:pt idx="6">
                  <c:v>18</c:v>
                </c:pt>
                <c:pt idx="7" formatCode="General">
                  <c:v>88</c:v>
                </c:pt>
                <c:pt idx="8" formatCode="General">
                  <c:v>13</c:v>
                </c:pt>
              </c:numCache>
            </c:numRef>
          </c:val>
          <c:extLst>
            <c:ext xmlns:c16="http://schemas.microsoft.com/office/drawing/2014/chart" uri="{C3380CC4-5D6E-409C-BE32-E72D297353CC}">
              <c16:uniqueId val="{00000008-B933-42E6-98AD-93F6454F2EFE}"/>
            </c:ext>
          </c:extLst>
        </c:ser>
        <c:ser>
          <c:idx val="2"/>
          <c:order val="1"/>
          <c:tx>
            <c:strRef>
              <c:f>Sheet1!$C$1</c:f>
              <c:strCache>
                <c:ptCount val="1"/>
                <c:pt idx="0">
                  <c:v>2024.gads</c:v>
                </c:pt>
              </c:strCache>
            </c:strRef>
          </c:tx>
          <c:spPr>
            <a:gradFill rotWithShape="1">
              <a:gsLst>
                <a:gs pos="0">
                  <a:schemeClr val="accent4">
                    <a:tint val="65000"/>
                    <a:lumMod val="110000"/>
                    <a:satMod val="105000"/>
                    <a:tint val="67000"/>
                  </a:schemeClr>
                </a:gs>
                <a:gs pos="50000">
                  <a:schemeClr val="accent4">
                    <a:tint val="65000"/>
                    <a:lumMod val="105000"/>
                    <a:satMod val="103000"/>
                    <a:tint val="73000"/>
                  </a:schemeClr>
                </a:gs>
                <a:gs pos="100000">
                  <a:schemeClr val="accent4">
                    <a:tint val="65000"/>
                    <a:lumMod val="105000"/>
                    <a:satMod val="109000"/>
                    <a:tint val="81000"/>
                  </a:schemeClr>
                </a:gs>
              </a:gsLst>
              <a:lin ang="5400000" scaled="0"/>
            </a:gradFill>
            <a:ln w="9525" cap="flat" cmpd="sng" algn="ctr">
              <a:solidFill>
                <a:schemeClr val="accent4">
                  <a:tint val="65000"/>
                  <a:shade val="95000"/>
                </a:schemeClr>
              </a:solidFill>
              <a:round/>
            </a:ln>
            <a:effectLst/>
          </c:spPr>
          <c:invertIfNegative val="0"/>
          <c:dLbls>
            <c:dLbl>
              <c:idx val="0"/>
              <c:layout>
                <c:manualLayout>
                  <c:x val="-1.3272868045570343E-2"/>
                  <c:y val="3.639010189228396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33-42E6-98AD-93F6454F2EFE}"/>
                </c:ext>
              </c:extLst>
            </c:dLbl>
            <c:dLbl>
              <c:idx val="2"/>
              <c:layout>
                <c:manualLayout>
                  <c:x val="-1.769715739409373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33-42E6-98AD-93F6454F2EFE}"/>
                </c:ext>
              </c:extLst>
            </c:dLbl>
            <c:dLbl>
              <c:idx val="4"/>
              <c:layout>
                <c:manualLayout>
                  <c:x val="-1.1060723371308484E-2"/>
                  <c:y val="-6.67144161118951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33-42E6-98AD-93F6454F2EF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ERAF</c:v>
                </c:pt>
                <c:pt idx="1">
                  <c:v>ESF</c:v>
                </c:pt>
                <c:pt idx="2">
                  <c:v>KF</c:v>
                </c:pt>
                <c:pt idx="3">
                  <c:v>EZF/EJZF/EJZAF</c:v>
                </c:pt>
                <c:pt idx="4">
                  <c:v>ELFLA</c:v>
                </c:pt>
                <c:pt idx="5">
                  <c:v>ELGF</c:v>
                </c:pt>
                <c:pt idx="6">
                  <c:v>ETS</c:v>
                </c:pt>
                <c:pt idx="7">
                  <c:v>IDF/PMIF/RPVP</c:v>
                </c:pt>
                <c:pt idx="8">
                  <c:v>EAFVP/ESF+  programma</c:v>
                </c:pt>
              </c:strCache>
            </c:strRef>
          </c:cat>
          <c:val>
            <c:numRef>
              <c:f>Sheet1!$C$2:$C$10</c:f>
              <c:numCache>
                <c:formatCode>0</c:formatCode>
                <c:ptCount val="9"/>
                <c:pt idx="0" formatCode="General">
                  <c:v>0</c:v>
                </c:pt>
                <c:pt idx="1">
                  <c:v>1</c:v>
                </c:pt>
                <c:pt idx="2" formatCode="General">
                  <c:v>0</c:v>
                </c:pt>
                <c:pt idx="3">
                  <c:v>7</c:v>
                </c:pt>
                <c:pt idx="4" formatCode="General">
                  <c:v>145</c:v>
                </c:pt>
                <c:pt idx="5" formatCode="General">
                  <c:v>542</c:v>
                </c:pt>
                <c:pt idx="6" formatCode="General">
                  <c:v>8</c:v>
                </c:pt>
                <c:pt idx="7" formatCode="General">
                  <c:v>4</c:v>
                </c:pt>
                <c:pt idx="8" formatCode="General">
                  <c:v>26</c:v>
                </c:pt>
              </c:numCache>
            </c:numRef>
          </c:val>
          <c:extLst>
            <c:ext xmlns:c16="http://schemas.microsoft.com/office/drawing/2014/chart" uri="{C3380CC4-5D6E-409C-BE32-E72D297353CC}">
              <c16:uniqueId val="{0000000C-B933-42E6-98AD-93F6454F2EFE}"/>
            </c:ext>
          </c:extLst>
        </c:ser>
        <c:dLbls>
          <c:showLegendKey val="0"/>
          <c:showVal val="0"/>
          <c:showCatName val="0"/>
          <c:showSerName val="0"/>
          <c:showPercent val="0"/>
          <c:showBubbleSize val="0"/>
        </c:dLbls>
        <c:gapWidth val="150"/>
        <c:overlap val="100"/>
        <c:axId val="1953100496"/>
        <c:axId val="1953098832"/>
      </c:barChart>
      <c:valAx>
        <c:axId val="1953098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953100496"/>
        <c:crosses val="autoZero"/>
        <c:crossBetween val="between"/>
      </c:valAx>
      <c:catAx>
        <c:axId val="195310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crossAx val="1953098832"/>
        <c:crosses val="autoZero"/>
        <c:auto val="1"/>
        <c:lblAlgn val="ctr"/>
        <c:lblOffset val="100"/>
        <c:noMultiLvlLbl val="0"/>
      </c:cat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8071950440991913"/>
          <c:y val="4.3668122270742356E-2"/>
          <c:w val="0.7773990229984663"/>
          <c:h val="0.79260048825774509"/>
        </c:manualLayout>
      </c:layout>
      <c:barChart>
        <c:barDir val="bar"/>
        <c:grouping val="percentStacked"/>
        <c:varyColors val="0"/>
        <c:ser>
          <c:idx val="1"/>
          <c:order val="0"/>
          <c:tx>
            <c:strRef>
              <c:f>Sheet1!$B$1</c:f>
              <c:strCache>
                <c:ptCount val="1"/>
                <c:pt idx="0">
                  <c:v>2017. gads</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a:outerShdw blurRad="40000" dist="20000" dir="5400000" rotWithShape="0">
                <a:srgbClr val="000000">
                  <a:alpha val="38000"/>
                </a:srgbClr>
              </a:outerShdw>
            </a:effectLst>
          </c:spPr>
          <c:invertIfNegative val="0"/>
          <c:dLbls>
            <c:dLbl>
              <c:idx val="0"/>
              <c:layout>
                <c:manualLayout>
                  <c:x val="-4.8452064828031959E-2"/>
                  <c:y val="-1.0166305631010098E-3"/>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fld id="{E502C6BF-6AF5-4B78-86CF-C9D028D9F137}" type="VALUE">
                      <a:rPr lang="en-US"/>
                      <a:pPr>
                        <a:defRPr b="1">
                          <a:solidFill>
                            <a:sysClr val="windowText" lastClr="000000"/>
                          </a:solidFill>
                        </a:defRPr>
                      </a:pPr>
                      <a:t>[VALUE]</a:t>
                    </a:fld>
                    <a:endParaRPr lang="lv-LV"/>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8.2306587575236873E-2"/>
                      <c:h val="4.3613680386021619E-2"/>
                    </c:manualLayout>
                  </c15:layout>
                  <c15:dlblFieldTable/>
                  <c15:showDataLabelsRange val="0"/>
                </c:ext>
                <c:ext xmlns:c16="http://schemas.microsoft.com/office/drawing/2014/chart" uri="{C3380CC4-5D6E-409C-BE32-E72D297353CC}">
                  <c16:uniqueId val="{00000000-9BA6-4C6D-A96B-F962FA7A66C2}"/>
                </c:ext>
              </c:extLst>
            </c:dLbl>
            <c:dLbl>
              <c:idx val="1"/>
              <c:layout>
                <c:manualLayout>
                  <c:x val="-4.3989803232343992E-2"/>
                  <c:y val="2.52237847998257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A6-4C6D-A96B-F962FA7A66C2}"/>
                </c:ext>
              </c:extLst>
            </c:dLbl>
            <c:dLbl>
              <c:idx val="2"/>
              <c:layout>
                <c:manualLayout>
                  <c:x val="-2.2637904140978063E-2"/>
                  <c:y val="-2.6951598299120912E-3"/>
                </c:manualLayout>
              </c:layout>
              <c:numFmt formatCode="#,##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0802999807525995"/>
                      <c:h val="5.8169721142935733E-2"/>
                    </c:manualLayout>
                  </c15:layout>
                </c:ext>
                <c:ext xmlns:c16="http://schemas.microsoft.com/office/drawing/2014/chart" uri="{C3380CC4-5D6E-409C-BE32-E72D297353CC}">
                  <c16:uniqueId val="{00000002-9BA6-4C6D-A96B-F962FA7A66C2}"/>
                </c:ext>
              </c:extLst>
            </c:dLbl>
            <c:dLbl>
              <c:idx val="3"/>
              <c:layout>
                <c:manualLayout>
                  <c:x val="-2.4189018182261966E-3"/>
                  <c:y val="2.0401379958508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A6-4C6D-A96B-F962FA7A66C2}"/>
                </c:ext>
              </c:extLst>
            </c:dLbl>
            <c:dLbl>
              <c:idx val="4"/>
              <c:layout>
                <c:manualLayout>
                  <c:x val="-7.8726745264573378E-2"/>
                  <c:y val="1.3796719733176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A6-4C6D-A96B-F962FA7A66C2}"/>
                </c:ext>
              </c:extLst>
            </c:dLbl>
            <c:dLbl>
              <c:idx val="5"/>
              <c:layout>
                <c:manualLayout>
                  <c:x val="-5.1063963205240457E-3"/>
                  <c:y val="-2.9200907746793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A6-4C6D-A96B-F962FA7A66C2}"/>
                </c:ext>
              </c:extLst>
            </c:dLbl>
            <c:dLbl>
              <c:idx val="6"/>
              <c:layout>
                <c:manualLayout>
                  <c:x val="-8.1259563824293002E-2"/>
                  <c:y val="-4.48773051840135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A6-4C6D-A96B-F962FA7A66C2}"/>
                </c:ext>
              </c:extLst>
            </c:dLbl>
            <c:dLbl>
              <c:idx val="8"/>
              <c:layout>
                <c:manualLayout>
                  <c:x val="1.32728680455701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A6-4C6D-A96B-F962FA7A66C2}"/>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ERAF</c:v>
                </c:pt>
                <c:pt idx="1">
                  <c:v>ESF</c:v>
                </c:pt>
                <c:pt idx="2">
                  <c:v>KF</c:v>
                </c:pt>
                <c:pt idx="3">
                  <c:v>EZF/EJZF/EJZAF</c:v>
                </c:pt>
                <c:pt idx="4">
                  <c:v>ELFLA</c:v>
                </c:pt>
                <c:pt idx="5">
                  <c:v>ELGF</c:v>
                </c:pt>
                <c:pt idx="6">
                  <c:v>ETS</c:v>
                </c:pt>
                <c:pt idx="7">
                  <c:v>IDF/PMIF/RPVP</c:v>
                </c:pt>
                <c:pt idx="8">
                  <c:v>EAFVP/ESF+  programma</c:v>
                </c:pt>
              </c:strCache>
            </c:strRef>
          </c:cat>
          <c:val>
            <c:numRef>
              <c:f>Sheet1!$B$2:$B$10</c:f>
              <c:numCache>
                <c:formatCode>#,##0</c:formatCode>
                <c:ptCount val="9"/>
                <c:pt idx="0">
                  <c:v>220447</c:v>
                </c:pt>
                <c:pt idx="1">
                  <c:v>51526</c:v>
                </c:pt>
                <c:pt idx="2">
                  <c:v>19989</c:v>
                </c:pt>
                <c:pt idx="3">
                  <c:v>21094</c:v>
                </c:pt>
                <c:pt idx="4">
                  <c:v>916561</c:v>
                </c:pt>
                <c:pt idx="5">
                  <c:v>103947</c:v>
                </c:pt>
                <c:pt idx="6">
                  <c:v>18280</c:v>
                </c:pt>
                <c:pt idx="7">
                  <c:v>5865.11</c:v>
                </c:pt>
                <c:pt idx="8">
                  <c:v>2642.21</c:v>
                </c:pt>
              </c:numCache>
            </c:numRef>
          </c:val>
          <c:extLst>
            <c:ext xmlns:c16="http://schemas.microsoft.com/office/drawing/2014/chart" uri="{C3380CC4-5D6E-409C-BE32-E72D297353CC}">
              <c16:uniqueId val="{00000008-9BA6-4C6D-A96B-F962FA7A66C2}"/>
            </c:ext>
          </c:extLst>
        </c:ser>
        <c:ser>
          <c:idx val="2"/>
          <c:order val="1"/>
          <c:tx>
            <c:strRef>
              <c:f>Sheet1!$C$1</c:f>
              <c:strCache>
                <c:ptCount val="1"/>
                <c:pt idx="0">
                  <c:v>2024.gads</c:v>
                </c:pt>
              </c:strCache>
            </c:strRef>
          </c:tx>
          <c:spPr>
            <a:gradFill rotWithShape="1">
              <a:gsLst>
                <a:gs pos="0">
                  <a:schemeClr val="accent4">
                    <a:tint val="65000"/>
                    <a:lumMod val="110000"/>
                    <a:satMod val="105000"/>
                    <a:tint val="67000"/>
                  </a:schemeClr>
                </a:gs>
                <a:gs pos="50000">
                  <a:schemeClr val="accent4">
                    <a:tint val="65000"/>
                    <a:lumMod val="105000"/>
                    <a:satMod val="103000"/>
                    <a:tint val="73000"/>
                  </a:schemeClr>
                </a:gs>
                <a:gs pos="100000">
                  <a:schemeClr val="accent4">
                    <a:tint val="65000"/>
                    <a:lumMod val="105000"/>
                    <a:satMod val="109000"/>
                    <a:tint val="81000"/>
                  </a:schemeClr>
                </a:gs>
              </a:gsLst>
              <a:lin ang="5400000" scaled="0"/>
            </a:gradFill>
            <a:ln w="9525" cap="flat" cmpd="sng" algn="ctr">
              <a:solidFill>
                <a:schemeClr val="accent4">
                  <a:tint val="65000"/>
                  <a:shade val="95000"/>
                </a:schemeClr>
              </a:solidFill>
              <a:round/>
            </a:ln>
            <a:effectLst/>
          </c:spPr>
          <c:invertIfNegative val="0"/>
          <c:dLbls>
            <c:dLbl>
              <c:idx val="0"/>
              <c:layout>
                <c:manualLayout>
                  <c:x val="-1.3272868045570343E-2"/>
                  <c:y val="3.639010189228396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BA6-4C6D-A96B-F962FA7A66C2}"/>
                </c:ext>
              </c:extLst>
            </c:dLbl>
            <c:dLbl>
              <c:idx val="2"/>
              <c:layout>
                <c:manualLayout>
                  <c:x val="-1.769715739409373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BA6-4C6D-A96B-F962FA7A66C2}"/>
                </c:ext>
              </c:extLst>
            </c:dLbl>
            <c:dLbl>
              <c:idx val="4"/>
              <c:layout>
                <c:manualLayout>
                  <c:x val="-1.1060723371308484E-2"/>
                  <c:y val="-6.67144161118951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BA6-4C6D-A96B-F962FA7A66C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ERAF</c:v>
                </c:pt>
                <c:pt idx="1">
                  <c:v>ESF</c:v>
                </c:pt>
                <c:pt idx="2">
                  <c:v>KF</c:v>
                </c:pt>
                <c:pt idx="3">
                  <c:v>EZF/EJZF/EJZAF</c:v>
                </c:pt>
                <c:pt idx="4">
                  <c:v>ELFLA</c:v>
                </c:pt>
                <c:pt idx="5">
                  <c:v>ELGF</c:v>
                </c:pt>
                <c:pt idx="6">
                  <c:v>ETS</c:v>
                </c:pt>
                <c:pt idx="7">
                  <c:v>IDF/PMIF/RPVP</c:v>
                </c:pt>
                <c:pt idx="8">
                  <c:v>EAFVP/ESF+  programma</c:v>
                </c:pt>
              </c:strCache>
            </c:strRef>
          </c:cat>
          <c:val>
            <c:numRef>
              <c:f>Sheet1!$C$2:$C$10</c:f>
              <c:numCache>
                <c:formatCode>#,##0</c:formatCode>
                <c:ptCount val="9"/>
                <c:pt idx="0">
                  <c:v>0</c:v>
                </c:pt>
                <c:pt idx="1">
                  <c:v>6581.19</c:v>
                </c:pt>
                <c:pt idx="2">
                  <c:v>0</c:v>
                </c:pt>
                <c:pt idx="3">
                  <c:v>257137.25</c:v>
                </c:pt>
                <c:pt idx="4">
                  <c:v>98959.64</c:v>
                </c:pt>
                <c:pt idx="5">
                  <c:v>154470.6</c:v>
                </c:pt>
                <c:pt idx="6">
                  <c:v>11547.15</c:v>
                </c:pt>
                <c:pt idx="7">
                  <c:v>42339.1</c:v>
                </c:pt>
                <c:pt idx="8">
                  <c:v>75904.52</c:v>
                </c:pt>
              </c:numCache>
            </c:numRef>
          </c:val>
          <c:extLst>
            <c:ext xmlns:c16="http://schemas.microsoft.com/office/drawing/2014/chart" uri="{C3380CC4-5D6E-409C-BE32-E72D297353CC}">
              <c16:uniqueId val="{0000000C-9BA6-4C6D-A96B-F962FA7A66C2}"/>
            </c:ext>
          </c:extLst>
        </c:ser>
        <c:dLbls>
          <c:showLegendKey val="0"/>
          <c:showVal val="0"/>
          <c:showCatName val="0"/>
          <c:showSerName val="0"/>
          <c:showPercent val="0"/>
          <c:showBubbleSize val="0"/>
        </c:dLbls>
        <c:gapWidth val="150"/>
        <c:overlap val="100"/>
        <c:axId val="1953100496"/>
        <c:axId val="1953098832"/>
      </c:barChart>
      <c:valAx>
        <c:axId val="1953098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953100496"/>
        <c:crosses val="autoZero"/>
        <c:crossBetween val="between"/>
      </c:valAx>
      <c:catAx>
        <c:axId val="195310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crossAx val="1953098832"/>
        <c:crosses val="autoZero"/>
        <c:auto val="1"/>
        <c:lblAlgn val="ctr"/>
        <c:lblOffset val="100"/>
        <c:noMultiLvlLbl val="0"/>
      </c:cat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b5817-b78a-4925-a516-1fb7c4e948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ca026a0-9b04-4307-bb2d-1d6b3c9424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01A837B2FB81045B3CF579351B0587F" ma:contentTypeVersion="18" ma:contentTypeDescription="Izveidot jaunu dokumentu." ma:contentTypeScope="" ma:versionID="8a000ebd3ed94759bae5b9074c1987d4">
  <xsd:schema xmlns:xsd="http://www.w3.org/2001/XMLSchema" xmlns:xs="http://www.w3.org/2001/XMLSchema" xmlns:p="http://schemas.microsoft.com/office/2006/metadata/properties" xmlns:ns1="http://schemas.microsoft.com/sharepoint/v3" xmlns:ns2="343b5817-b78a-4925-a516-1fb7c4e94848" xmlns:ns3="1ca026a0-9b04-4307-bb2d-1d6b3c942469" targetNamespace="http://schemas.microsoft.com/office/2006/metadata/properties" ma:root="true" ma:fieldsID="90f00b09e584807956c02a3bddda7b86" ns1:_="" ns2:_="" ns3:_="">
    <xsd:import namespace="http://schemas.microsoft.com/sharepoint/v3"/>
    <xsd:import namespace="343b5817-b78a-4925-a516-1fb7c4e94848"/>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Vienotās atbilstības politikas rekvizīti" ma:hidden="true" ma:internalName="_ip_UnifiedCompliancePolicyProperties">
      <xsd:simpleType>
        <xsd:restriction base="dms:Note"/>
      </xsd:simpleType>
    </xsd:element>
    <xsd:element name="_ip_UnifiedCompliancePolicyUIAction" ma:index="2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b5817-b78a-4925-a516-1fb7c4e94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D534A-42AB-4D18-AF49-992B803A6F4C}">
  <ds:schemaRefs>
    <ds:schemaRef ds:uri="http://schemas.openxmlformats.org/officeDocument/2006/bibliography"/>
  </ds:schemaRefs>
</ds:datastoreItem>
</file>

<file path=customXml/itemProps2.xml><?xml version="1.0" encoding="utf-8"?>
<ds:datastoreItem xmlns:ds="http://schemas.openxmlformats.org/officeDocument/2006/customXml" ds:itemID="{747CD6A9-DD01-4268-9D21-7A5D07988C08}">
  <ds:schemaRefs>
    <ds:schemaRef ds:uri="http://schemas.microsoft.com/office/2006/metadata/properties"/>
    <ds:schemaRef ds:uri="http://schemas.microsoft.com/office/infopath/2007/PartnerControls"/>
    <ds:schemaRef ds:uri="343b5817-b78a-4925-a516-1fb7c4e94848"/>
    <ds:schemaRef ds:uri="http://schemas.microsoft.com/sharepoint/v3"/>
    <ds:schemaRef ds:uri="1ca026a0-9b04-4307-bb2d-1d6b3c942469"/>
  </ds:schemaRefs>
</ds:datastoreItem>
</file>

<file path=customXml/itemProps3.xml><?xml version="1.0" encoding="utf-8"?>
<ds:datastoreItem xmlns:ds="http://schemas.openxmlformats.org/officeDocument/2006/customXml" ds:itemID="{CD13DA8B-D772-449F-9EDB-E6DC2127E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b5817-b78a-4925-a516-1fb7c4e94848"/>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841DC-DB3F-49E6-A32F-8FE451D4D4D9}">
  <ds:schemaRefs>
    <ds:schemaRef ds:uri="http://schemas.microsoft.com/sharepoint/v3/contenttype/forms"/>
  </ds:schemaRefs>
</ds:datastoreItem>
</file>

<file path=docMetadata/LabelInfo.xml><?xml version="1.0" encoding="utf-8"?>
<clbl:labelList xmlns:clbl="http://schemas.microsoft.com/office/2020/mipLabelMetadata">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30</Pages>
  <Words>33743</Words>
  <Characters>19235</Characters>
  <Application>Microsoft Office Word</Application>
  <DocSecurity>0</DocSecurity>
  <Lines>160</Lines>
  <Paragraphs>105</Paragraphs>
  <ScaleCrop>false</ScaleCrop>
  <Manager>Nata Lasmane</Manager>
  <Company>Finanšu ministrija</Company>
  <LinksUpToDate>false</LinksUpToDate>
  <CharactersWithSpaces>52873</CharactersWithSpaces>
  <SharedDoc>false</SharedDoc>
  <HLinks>
    <vt:vector size="222" baseType="variant">
      <vt:variant>
        <vt:i4>1966140</vt:i4>
      </vt:variant>
      <vt:variant>
        <vt:i4>182</vt:i4>
      </vt:variant>
      <vt:variant>
        <vt:i4>0</vt:i4>
      </vt:variant>
      <vt:variant>
        <vt:i4>5</vt:i4>
      </vt:variant>
      <vt:variant>
        <vt:lpwstr/>
      </vt:variant>
      <vt:variant>
        <vt:lpwstr>_Toc192686702</vt:lpwstr>
      </vt:variant>
      <vt:variant>
        <vt:i4>1966140</vt:i4>
      </vt:variant>
      <vt:variant>
        <vt:i4>176</vt:i4>
      </vt:variant>
      <vt:variant>
        <vt:i4>0</vt:i4>
      </vt:variant>
      <vt:variant>
        <vt:i4>5</vt:i4>
      </vt:variant>
      <vt:variant>
        <vt:lpwstr/>
      </vt:variant>
      <vt:variant>
        <vt:lpwstr>_Toc192686701</vt:lpwstr>
      </vt:variant>
      <vt:variant>
        <vt:i4>1966140</vt:i4>
      </vt:variant>
      <vt:variant>
        <vt:i4>170</vt:i4>
      </vt:variant>
      <vt:variant>
        <vt:i4>0</vt:i4>
      </vt:variant>
      <vt:variant>
        <vt:i4>5</vt:i4>
      </vt:variant>
      <vt:variant>
        <vt:lpwstr/>
      </vt:variant>
      <vt:variant>
        <vt:lpwstr>_Toc192686700</vt:lpwstr>
      </vt:variant>
      <vt:variant>
        <vt:i4>1507389</vt:i4>
      </vt:variant>
      <vt:variant>
        <vt:i4>164</vt:i4>
      </vt:variant>
      <vt:variant>
        <vt:i4>0</vt:i4>
      </vt:variant>
      <vt:variant>
        <vt:i4>5</vt:i4>
      </vt:variant>
      <vt:variant>
        <vt:lpwstr/>
      </vt:variant>
      <vt:variant>
        <vt:lpwstr>_Toc192686699</vt:lpwstr>
      </vt:variant>
      <vt:variant>
        <vt:i4>1507389</vt:i4>
      </vt:variant>
      <vt:variant>
        <vt:i4>158</vt:i4>
      </vt:variant>
      <vt:variant>
        <vt:i4>0</vt:i4>
      </vt:variant>
      <vt:variant>
        <vt:i4>5</vt:i4>
      </vt:variant>
      <vt:variant>
        <vt:lpwstr/>
      </vt:variant>
      <vt:variant>
        <vt:lpwstr>_Toc192686698</vt:lpwstr>
      </vt:variant>
      <vt:variant>
        <vt:i4>1507389</vt:i4>
      </vt:variant>
      <vt:variant>
        <vt:i4>152</vt:i4>
      </vt:variant>
      <vt:variant>
        <vt:i4>0</vt:i4>
      </vt:variant>
      <vt:variant>
        <vt:i4>5</vt:i4>
      </vt:variant>
      <vt:variant>
        <vt:lpwstr/>
      </vt:variant>
      <vt:variant>
        <vt:lpwstr>_Toc192686697</vt:lpwstr>
      </vt:variant>
      <vt:variant>
        <vt:i4>1507389</vt:i4>
      </vt:variant>
      <vt:variant>
        <vt:i4>146</vt:i4>
      </vt:variant>
      <vt:variant>
        <vt:i4>0</vt:i4>
      </vt:variant>
      <vt:variant>
        <vt:i4>5</vt:i4>
      </vt:variant>
      <vt:variant>
        <vt:lpwstr/>
      </vt:variant>
      <vt:variant>
        <vt:lpwstr>_Toc192686696</vt:lpwstr>
      </vt:variant>
      <vt:variant>
        <vt:i4>1507389</vt:i4>
      </vt:variant>
      <vt:variant>
        <vt:i4>140</vt:i4>
      </vt:variant>
      <vt:variant>
        <vt:i4>0</vt:i4>
      </vt:variant>
      <vt:variant>
        <vt:i4>5</vt:i4>
      </vt:variant>
      <vt:variant>
        <vt:lpwstr/>
      </vt:variant>
      <vt:variant>
        <vt:lpwstr>_Toc192686695</vt:lpwstr>
      </vt:variant>
      <vt:variant>
        <vt:i4>1507389</vt:i4>
      </vt:variant>
      <vt:variant>
        <vt:i4>134</vt:i4>
      </vt:variant>
      <vt:variant>
        <vt:i4>0</vt:i4>
      </vt:variant>
      <vt:variant>
        <vt:i4>5</vt:i4>
      </vt:variant>
      <vt:variant>
        <vt:lpwstr/>
      </vt:variant>
      <vt:variant>
        <vt:lpwstr>_Toc192686694</vt:lpwstr>
      </vt:variant>
      <vt:variant>
        <vt:i4>1507389</vt:i4>
      </vt:variant>
      <vt:variant>
        <vt:i4>128</vt:i4>
      </vt:variant>
      <vt:variant>
        <vt:i4>0</vt:i4>
      </vt:variant>
      <vt:variant>
        <vt:i4>5</vt:i4>
      </vt:variant>
      <vt:variant>
        <vt:lpwstr/>
      </vt:variant>
      <vt:variant>
        <vt:lpwstr>_Toc192686693</vt:lpwstr>
      </vt:variant>
      <vt:variant>
        <vt:i4>1507389</vt:i4>
      </vt:variant>
      <vt:variant>
        <vt:i4>122</vt:i4>
      </vt:variant>
      <vt:variant>
        <vt:i4>0</vt:i4>
      </vt:variant>
      <vt:variant>
        <vt:i4>5</vt:i4>
      </vt:variant>
      <vt:variant>
        <vt:lpwstr/>
      </vt:variant>
      <vt:variant>
        <vt:lpwstr>_Toc192686692</vt:lpwstr>
      </vt:variant>
      <vt:variant>
        <vt:i4>1507389</vt:i4>
      </vt:variant>
      <vt:variant>
        <vt:i4>116</vt:i4>
      </vt:variant>
      <vt:variant>
        <vt:i4>0</vt:i4>
      </vt:variant>
      <vt:variant>
        <vt:i4>5</vt:i4>
      </vt:variant>
      <vt:variant>
        <vt:lpwstr/>
      </vt:variant>
      <vt:variant>
        <vt:lpwstr>_Toc192686691</vt:lpwstr>
      </vt:variant>
      <vt:variant>
        <vt:i4>1507389</vt:i4>
      </vt:variant>
      <vt:variant>
        <vt:i4>110</vt:i4>
      </vt:variant>
      <vt:variant>
        <vt:i4>0</vt:i4>
      </vt:variant>
      <vt:variant>
        <vt:i4>5</vt:i4>
      </vt:variant>
      <vt:variant>
        <vt:lpwstr/>
      </vt:variant>
      <vt:variant>
        <vt:lpwstr>_Toc192686690</vt:lpwstr>
      </vt:variant>
      <vt:variant>
        <vt:i4>1441853</vt:i4>
      </vt:variant>
      <vt:variant>
        <vt:i4>104</vt:i4>
      </vt:variant>
      <vt:variant>
        <vt:i4>0</vt:i4>
      </vt:variant>
      <vt:variant>
        <vt:i4>5</vt:i4>
      </vt:variant>
      <vt:variant>
        <vt:lpwstr/>
      </vt:variant>
      <vt:variant>
        <vt:lpwstr>_Toc192686689</vt:lpwstr>
      </vt:variant>
      <vt:variant>
        <vt:i4>1441853</vt:i4>
      </vt:variant>
      <vt:variant>
        <vt:i4>98</vt:i4>
      </vt:variant>
      <vt:variant>
        <vt:i4>0</vt:i4>
      </vt:variant>
      <vt:variant>
        <vt:i4>5</vt:i4>
      </vt:variant>
      <vt:variant>
        <vt:lpwstr/>
      </vt:variant>
      <vt:variant>
        <vt:lpwstr>_Toc192686688</vt:lpwstr>
      </vt:variant>
      <vt:variant>
        <vt:i4>1441853</vt:i4>
      </vt:variant>
      <vt:variant>
        <vt:i4>92</vt:i4>
      </vt:variant>
      <vt:variant>
        <vt:i4>0</vt:i4>
      </vt:variant>
      <vt:variant>
        <vt:i4>5</vt:i4>
      </vt:variant>
      <vt:variant>
        <vt:lpwstr/>
      </vt:variant>
      <vt:variant>
        <vt:lpwstr>_Toc192686687</vt:lpwstr>
      </vt:variant>
      <vt:variant>
        <vt:i4>1441853</vt:i4>
      </vt:variant>
      <vt:variant>
        <vt:i4>86</vt:i4>
      </vt:variant>
      <vt:variant>
        <vt:i4>0</vt:i4>
      </vt:variant>
      <vt:variant>
        <vt:i4>5</vt:i4>
      </vt:variant>
      <vt:variant>
        <vt:lpwstr/>
      </vt:variant>
      <vt:variant>
        <vt:lpwstr>_Toc192686686</vt:lpwstr>
      </vt:variant>
      <vt:variant>
        <vt:i4>1441853</vt:i4>
      </vt:variant>
      <vt:variant>
        <vt:i4>80</vt:i4>
      </vt:variant>
      <vt:variant>
        <vt:i4>0</vt:i4>
      </vt:variant>
      <vt:variant>
        <vt:i4>5</vt:i4>
      </vt:variant>
      <vt:variant>
        <vt:lpwstr/>
      </vt:variant>
      <vt:variant>
        <vt:lpwstr>_Toc192686685</vt:lpwstr>
      </vt:variant>
      <vt:variant>
        <vt:i4>1441853</vt:i4>
      </vt:variant>
      <vt:variant>
        <vt:i4>74</vt:i4>
      </vt:variant>
      <vt:variant>
        <vt:i4>0</vt:i4>
      </vt:variant>
      <vt:variant>
        <vt:i4>5</vt:i4>
      </vt:variant>
      <vt:variant>
        <vt:lpwstr/>
      </vt:variant>
      <vt:variant>
        <vt:lpwstr>_Toc192686684</vt:lpwstr>
      </vt:variant>
      <vt:variant>
        <vt:i4>1441853</vt:i4>
      </vt:variant>
      <vt:variant>
        <vt:i4>68</vt:i4>
      </vt:variant>
      <vt:variant>
        <vt:i4>0</vt:i4>
      </vt:variant>
      <vt:variant>
        <vt:i4>5</vt:i4>
      </vt:variant>
      <vt:variant>
        <vt:lpwstr/>
      </vt:variant>
      <vt:variant>
        <vt:lpwstr>_Toc192686683</vt:lpwstr>
      </vt:variant>
      <vt:variant>
        <vt:i4>1441853</vt:i4>
      </vt:variant>
      <vt:variant>
        <vt:i4>62</vt:i4>
      </vt:variant>
      <vt:variant>
        <vt:i4>0</vt:i4>
      </vt:variant>
      <vt:variant>
        <vt:i4>5</vt:i4>
      </vt:variant>
      <vt:variant>
        <vt:lpwstr/>
      </vt:variant>
      <vt:variant>
        <vt:lpwstr>_Toc192686682</vt:lpwstr>
      </vt:variant>
      <vt:variant>
        <vt:i4>1441853</vt:i4>
      </vt:variant>
      <vt:variant>
        <vt:i4>56</vt:i4>
      </vt:variant>
      <vt:variant>
        <vt:i4>0</vt:i4>
      </vt:variant>
      <vt:variant>
        <vt:i4>5</vt:i4>
      </vt:variant>
      <vt:variant>
        <vt:lpwstr/>
      </vt:variant>
      <vt:variant>
        <vt:lpwstr>_Toc192686681</vt:lpwstr>
      </vt:variant>
      <vt:variant>
        <vt:i4>1441853</vt:i4>
      </vt:variant>
      <vt:variant>
        <vt:i4>50</vt:i4>
      </vt:variant>
      <vt:variant>
        <vt:i4>0</vt:i4>
      </vt:variant>
      <vt:variant>
        <vt:i4>5</vt:i4>
      </vt:variant>
      <vt:variant>
        <vt:lpwstr/>
      </vt:variant>
      <vt:variant>
        <vt:lpwstr>_Toc192686680</vt:lpwstr>
      </vt:variant>
      <vt:variant>
        <vt:i4>1638461</vt:i4>
      </vt:variant>
      <vt:variant>
        <vt:i4>44</vt:i4>
      </vt:variant>
      <vt:variant>
        <vt:i4>0</vt:i4>
      </vt:variant>
      <vt:variant>
        <vt:i4>5</vt:i4>
      </vt:variant>
      <vt:variant>
        <vt:lpwstr/>
      </vt:variant>
      <vt:variant>
        <vt:lpwstr>_Toc192686679</vt:lpwstr>
      </vt:variant>
      <vt:variant>
        <vt:i4>1638461</vt:i4>
      </vt:variant>
      <vt:variant>
        <vt:i4>38</vt:i4>
      </vt:variant>
      <vt:variant>
        <vt:i4>0</vt:i4>
      </vt:variant>
      <vt:variant>
        <vt:i4>5</vt:i4>
      </vt:variant>
      <vt:variant>
        <vt:lpwstr/>
      </vt:variant>
      <vt:variant>
        <vt:lpwstr>_Toc192686678</vt:lpwstr>
      </vt:variant>
      <vt:variant>
        <vt:i4>1638461</vt:i4>
      </vt:variant>
      <vt:variant>
        <vt:i4>32</vt:i4>
      </vt:variant>
      <vt:variant>
        <vt:i4>0</vt:i4>
      </vt:variant>
      <vt:variant>
        <vt:i4>5</vt:i4>
      </vt:variant>
      <vt:variant>
        <vt:lpwstr/>
      </vt:variant>
      <vt:variant>
        <vt:lpwstr>_Toc192686677</vt:lpwstr>
      </vt:variant>
      <vt:variant>
        <vt:i4>1638461</vt:i4>
      </vt:variant>
      <vt:variant>
        <vt:i4>26</vt:i4>
      </vt:variant>
      <vt:variant>
        <vt:i4>0</vt:i4>
      </vt:variant>
      <vt:variant>
        <vt:i4>5</vt:i4>
      </vt:variant>
      <vt:variant>
        <vt:lpwstr/>
      </vt:variant>
      <vt:variant>
        <vt:lpwstr>_Toc192686676</vt:lpwstr>
      </vt:variant>
      <vt:variant>
        <vt:i4>1638461</vt:i4>
      </vt:variant>
      <vt:variant>
        <vt:i4>20</vt:i4>
      </vt:variant>
      <vt:variant>
        <vt:i4>0</vt:i4>
      </vt:variant>
      <vt:variant>
        <vt:i4>5</vt:i4>
      </vt:variant>
      <vt:variant>
        <vt:lpwstr/>
      </vt:variant>
      <vt:variant>
        <vt:lpwstr>_Toc192686675</vt:lpwstr>
      </vt:variant>
      <vt:variant>
        <vt:i4>1638461</vt:i4>
      </vt:variant>
      <vt:variant>
        <vt:i4>14</vt:i4>
      </vt:variant>
      <vt:variant>
        <vt:i4>0</vt:i4>
      </vt:variant>
      <vt:variant>
        <vt:i4>5</vt:i4>
      </vt:variant>
      <vt:variant>
        <vt:lpwstr/>
      </vt:variant>
      <vt:variant>
        <vt:lpwstr>_Toc192686674</vt:lpwstr>
      </vt:variant>
      <vt:variant>
        <vt:i4>1638461</vt:i4>
      </vt:variant>
      <vt:variant>
        <vt:i4>8</vt:i4>
      </vt:variant>
      <vt:variant>
        <vt:i4>0</vt:i4>
      </vt:variant>
      <vt:variant>
        <vt:i4>5</vt:i4>
      </vt:variant>
      <vt:variant>
        <vt:lpwstr/>
      </vt:variant>
      <vt:variant>
        <vt:lpwstr>_Toc192686673</vt:lpwstr>
      </vt:variant>
      <vt:variant>
        <vt:i4>1638461</vt:i4>
      </vt:variant>
      <vt:variant>
        <vt:i4>2</vt:i4>
      </vt:variant>
      <vt:variant>
        <vt:i4>0</vt:i4>
      </vt:variant>
      <vt:variant>
        <vt:i4>5</vt:i4>
      </vt:variant>
      <vt:variant>
        <vt:lpwstr/>
      </vt:variant>
      <vt:variant>
        <vt:lpwstr>_Toc192686672</vt:lpwstr>
      </vt:variant>
      <vt:variant>
        <vt:i4>4915245</vt:i4>
      </vt:variant>
      <vt:variant>
        <vt:i4>15</vt:i4>
      </vt:variant>
      <vt:variant>
        <vt:i4>0</vt:i4>
      </vt:variant>
      <vt:variant>
        <vt:i4>5</vt:i4>
      </vt:variant>
      <vt:variant>
        <vt:lpwstr>https://www.eppo.europa.eu/sites/default/files/2025-03/EPPO Annual Report 2024_0.pdf</vt:lpwstr>
      </vt:variant>
      <vt:variant>
        <vt:lpwstr/>
      </vt:variant>
      <vt:variant>
        <vt:i4>6881377</vt:i4>
      </vt:variant>
      <vt:variant>
        <vt:i4>12</vt:i4>
      </vt:variant>
      <vt:variant>
        <vt:i4>0</vt:i4>
      </vt:variant>
      <vt:variant>
        <vt:i4>5</vt:i4>
      </vt:variant>
      <vt:variant>
        <vt:lpwstr>https://www.at.gov.lv/lv/jaunumi/par-tiesu-lietam/kriminallietu-departamenta/senats-liek-apgabaltiesai-pec-butibas-skatit-kriminallietu-saistiba-ar-atzinuma-sniegsanu-par-ventspils-muzikas-vidusskolas-atbilstibu-ugunsdrosibas-prasibam-11009?year=2022&amp;month=02</vt:lpwstr>
      </vt:variant>
      <vt:variant>
        <vt:lpwstr/>
      </vt:variant>
      <vt:variant>
        <vt:i4>720982</vt:i4>
      </vt:variant>
      <vt:variant>
        <vt:i4>9</vt:i4>
      </vt:variant>
      <vt:variant>
        <vt:i4>0</vt:i4>
      </vt:variant>
      <vt:variant>
        <vt:i4>5</vt:i4>
      </vt:variant>
      <vt:variant>
        <vt:lpwstr>https://www.kp.gov.lv/lv/jaunums/konkurences-padome-soda-10-buvniecibas-uznemumus-par-dalibu-karteli</vt:lpwstr>
      </vt:variant>
      <vt:variant>
        <vt:lpwstr/>
      </vt:variant>
      <vt:variant>
        <vt:i4>1572878</vt:i4>
      </vt:variant>
      <vt:variant>
        <vt:i4>6</vt:i4>
      </vt:variant>
      <vt:variant>
        <vt:i4>0</vt:i4>
      </vt:variant>
      <vt:variant>
        <vt:i4>5</vt:i4>
      </vt:variant>
      <vt:variant>
        <vt:lpwstr>https://www.fm.gov.lv/lv/media/19885/download?attachment</vt:lpwstr>
      </vt:variant>
      <vt:variant>
        <vt:lpwstr/>
      </vt:variant>
      <vt:variant>
        <vt:i4>1572878</vt:i4>
      </vt:variant>
      <vt:variant>
        <vt:i4>3</vt:i4>
      </vt:variant>
      <vt:variant>
        <vt:i4>0</vt:i4>
      </vt:variant>
      <vt:variant>
        <vt:i4>5</vt:i4>
      </vt:variant>
      <vt:variant>
        <vt:lpwstr>https://www.fm.gov.lv/lv/media/19885/download?attachment</vt:lpwstr>
      </vt:variant>
      <vt:variant>
        <vt:lpwstr/>
      </vt:variant>
      <vt:variant>
        <vt:i4>6160398</vt:i4>
      </vt:variant>
      <vt:variant>
        <vt:i4>0</vt:i4>
      </vt:variant>
      <vt:variant>
        <vt:i4>0</vt:i4>
      </vt:variant>
      <vt:variant>
        <vt:i4>5</vt:i4>
      </vt:variant>
      <vt:variant>
        <vt:lpwstr>https://anti-fraud.ec.europa.eu/document/download/e600af45-0604-4102-a320-1764987ba220_en?filename=pif-report-2023_en.PDF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AFCOS informatīvais ziņojums</dc:title>
  <dc:subject>Informatīvais ziņojums</dc:subject>
  <dc:creator>Inese Dolgais</dc:creator>
  <cp:keywords/>
  <dc:description/>
  <cp:lastModifiedBy>Inese Dolgais</cp:lastModifiedBy>
  <cp:revision>1471</cp:revision>
  <dcterms:created xsi:type="dcterms:W3CDTF">2025-01-09T10:47:00Z</dcterms:created>
  <dcterms:modified xsi:type="dcterms:W3CDTF">2025-03-31T10:59:00Z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0x010100C01A837B2FB81045B3CF579351B0587F</vt:lpwstr>
  </property>
  <property fmtid="{D5CDD505-2E9C-101B-9397-08002B2CF9AE}" pid="3" name="MediaServiceImageTags">
    <vt:lpwstr/>
  </property>
</Properties>
</file>