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2"/>
      </w:tblGrid>
      <w:tr w:rsidR="0076656C" w:rsidRPr="00F8191D" w14:paraId="67AF5F4D" w14:textId="77777777" w:rsidTr="00693281">
        <w:trPr>
          <w:trHeight w:val="715"/>
        </w:trPr>
        <w:tc>
          <w:tcPr>
            <w:tcW w:w="10382" w:type="dxa"/>
          </w:tcPr>
          <w:tbl>
            <w:tblPr>
              <w:tblStyle w:val="TableGrid"/>
              <w:tblW w:w="9991" w:type="dxa"/>
              <w:tblLayout w:type="fixed"/>
              <w:tblLook w:val="04A0" w:firstRow="1" w:lastRow="0" w:firstColumn="1" w:lastColumn="0" w:noHBand="0" w:noVBand="1"/>
            </w:tblPr>
            <w:tblGrid>
              <w:gridCol w:w="1881"/>
              <w:gridCol w:w="1850"/>
              <w:gridCol w:w="731"/>
              <w:gridCol w:w="2129"/>
              <w:gridCol w:w="281"/>
              <w:gridCol w:w="3119"/>
            </w:tblGrid>
            <w:tr w:rsidR="00E65C7A" w:rsidRPr="00F8191D" w14:paraId="2063CB93" w14:textId="77777777" w:rsidTr="001365B7">
              <w:tc>
                <w:tcPr>
                  <w:tcW w:w="37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A6048" w14:textId="05BD9757" w:rsidR="00E65C7A" w:rsidRPr="001365B7" w:rsidRDefault="00105AF9" w:rsidP="00E65C7A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5638F9D" wp14:editId="67895DEA">
                        <wp:extent cx="1288111" cy="1045180"/>
                        <wp:effectExtent l="0" t="0" r="7620" b="317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5022" cy="10589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C9F92" w14:textId="77777777" w:rsidR="00E65C7A" w:rsidRPr="001365B7" w:rsidRDefault="00E65C7A" w:rsidP="00E65C7A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32A26FB8" w14:textId="77777777" w:rsidR="00E65C7A" w:rsidRPr="001365B7" w:rsidRDefault="00E65C7A" w:rsidP="00E65C7A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CA4AADB" w14:textId="77777777" w:rsidR="00C1299F" w:rsidRPr="001365B7" w:rsidRDefault="00C1299F" w:rsidP="00E65C7A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58436743" w14:textId="77777777" w:rsidR="00105AF9" w:rsidRDefault="00105AF9" w:rsidP="00E65C7A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0B20F34" w14:textId="77777777" w:rsidR="00105AF9" w:rsidRDefault="00105AF9" w:rsidP="00E65C7A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72DB9E5F" w14:textId="77777777" w:rsidR="00105AF9" w:rsidRDefault="00105AF9" w:rsidP="00E65C7A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31AE47F4" w14:textId="77777777" w:rsidR="00105AF9" w:rsidRDefault="00105AF9" w:rsidP="00E65C7A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73552C4A" w14:textId="77777777" w:rsidR="00105AF9" w:rsidRDefault="00105AF9" w:rsidP="00E65C7A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7965BC2" w14:textId="77777777" w:rsidR="00105AF9" w:rsidRDefault="00105AF9" w:rsidP="00E65C7A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743B5232" w14:textId="259105C0" w:rsidR="00E65C7A" w:rsidRPr="00105AF9" w:rsidRDefault="00E65C7A" w:rsidP="00105AF9">
                  <w:pPr>
                    <w:spacing w:after="24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05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AMATA APRAKSTS</w:t>
                  </w:r>
                </w:p>
              </w:tc>
              <w:tc>
                <w:tcPr>
                  <w:tcW w:w="3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3D1CC" w14:textId="77777777" w:rsidR="00105AF9" w:rsidRPr="00A97E3A" w:rsidRDefault="00105AF9" w:rsidP="00105AF9">
                  <w:pPr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A97E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APSTIPRINU</w:t>
                  </w:r>
                </w:p>
                <w:p w14:paraId="67D484A1" w14:textId="77777777" w:rsidR="00105AF9" w:rsidRPr="00A97E3A" w:rsidRDefault="00105AF9" w:rsidP="00105AF9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97E3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lv-LV"/>
                    </w:rPr>
                    <w:t>Finanšu ministrijas</w:t>
                  </w:r>
                </w:p>
                <w:p w14:paraId="5EF108B3" w14:textId="77777777" w:rsidR="00105AF9" w:rsidRPr="00A97E3A" w:rsidRDefault="00105AF9" w:rsidP="00105AF9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97E3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lv-LV"/>
                    </w:rPr>
                    <w:t>valsts sekretāre</w:t>
                  </w:r>
                </w:p>
                <w:p w14:paraId="5FE7B0AA" w14:textId="77777777" w:rsidR="00105AF9" w:rsidRPr="00A97E3A" w:rsidRDefault="00105AF9" w:rsidP="00105AF9">
                  <w:pPr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97E3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lv-LV"/>
                    </w:rPr>
                    <w:t>B. Bāne</w:t>
                  </w:r>
                </w:p>
                <w:p w14:paraId="56714A57" w14:textId="77777777" w:rsidR="00105AF9" w:rsidRPr="00A97E3A" w:rsidRDefault="00105AF9" w:rsidP="00105AF9">
                  <w:pPr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A97E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Dokuments apstiprināts ar elektronisko parakstu</w:t>
                  </w:r>
                </w:p>
                <w:p w14:paraId="533DCA9D" w14:textId="77777777" w:rsidR="00105AF9" w:rsidRPr="00A97E3A" w:rsidRDefault="00105AF9" w:rsidP="00105AF9">
                  <w:pPr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A97E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Datums skatāms laika zīmogā</w:t>
                  </w:r>
                </w:p>
                <w:p w14:paraId="7D898943" w14:textId="0492CF2B" w:rsidR="00E65C7A" w:rsidRPr="001365B7" w:rsidRDefault="00105AF9" w:rsidP="00105AF9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97E3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Reģistrācijas numurs skatāms reģistrācijas informācijā</w:t>
                  </w:r>
                  <w:r w:rsidRPr="00A97E3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A074A" w:rsidRPr="00F8191D" w14:paraId="11BD0163" w14:textId="77777777" w:rsidTr="004A074A">
              <w:tc>
                <w:tcPr>
                  <w:tcW w:w="1881" w:type="dxa"/>
                </w:tcPr>
                <w:p w14:paraId="2F85802C" w14:textId="77777777" w:rsidR="004A074A" w:rsidRPr="00F8191D" w:rsidRDefault="004A074A" w:rsidP="00E65C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9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2.AMATA NOSAUKUMS</w:t>
                  </w:r>
                </w:p>
              </w:tc>
              <w:tc>
                <w:tcPr>
                  <w:tcW w:w="2581" w:type="dxa"/>
                  <w:gridSpan w:val="2"/>
                </w:tcPr>
                <w:p w14:paraId="2F92F38C" w14:textId="77777777" w:rsidR="004A074A" w:rsidRPr="00105AF9" w:rsidRDefault="005A482B" w:rsidP="00E65C7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05A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Vecākais eksperts</w:t>
                  </w:r>
                </w:p>
              </w:tc>
              <w:tc>
                <w:tcPr>
                  <w:tcW w:w="2410" w:type="dxa"/>
                  <w:gridSpan w:val="2"/>
                </w:tcPr>
                <w:p w14:paraId="33961A5A" w14:textId="77777777" w:rsidR="004A074A" w:rsidRPr="00F8191D" w:rsidRDefault="004A074A" w:rsidP="00E65C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9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2.1.AMATA STATUSS</w:t>
                  </w:r>
                </w:p>
              </w:tc>
              <w:tc>
                <w:tcPr>
                  <w:tcW w:w="3119" w:type="dxa"/>
                </w:tcPr>
                <w:p w14:paraId="207DB608" w14:textId="77777777" w:rsidR="004A074A" w:rsidRPr="00F8191D" w:rsidRDefault="005A2459" w:rsidP="00E65C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9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Ierēdnis</w:t>
                  </w:r>
                </w:p>
              </w:tc>
            </w:tr>
            <w:tr w:rsidR="004A074A" w:rsidRPr="00F8191D" w14:paraId="2532877A" w14:textId="77777777" w:rsidTr="004A074A">
              <w:tc>
                <w:tcPr>
                  <w:tcW w:w="4462" w:type="dxa"/>
                  <w:gridSpan w:val="3"/>
                </w:tcPr>
                <w:p w14:paraId="1AEAFA73" w14:textId="77777777" w:rsidR="004A074A" w:rsidRPr="001365B7" w:rsidRDefault="004A074A" w:rsidP="004A07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65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3.STRUKTŪRVIENĪBA</w:t>
                  </w:r>
                </w:p>
                <w:p w14:paraId="4396CC31" w14:textId="77777777" w:rsidR="004A074A" w:rsidRPr="00F8191D" w:rsidRDefault="004A074A" w:rsidP="00E65C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29" w:type="dxa"/>
                  <w:gridSpan w:val="3"/>
                </w:tcPr>
                <w:p w14:paraId="0B245968" w14:textId="77777777" w:rsidR="004A074A" w:rsidRPr="00105AF9" w:rsidRDefault="00F8191D" w:rsidP="00E65C7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05A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Pašvaldību finansiālās darbības uzraudzības un finansēšanas departaments</w:t>
                  </w:r>
                </w:p>
                <w:p w14:paraId="0C86A9F3" w14:textId="77777777" w:rsidR="00F8191D" w:rsidRPr="00F8191D" w:rsidRDefault="00F8191D" w:rsidP="00E65C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A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Pašvaldību finansiālās darbības uzraudzības un analīzes nodaļa</w:t>
                  </w:r>
                </w:p>
              </w:tc>
            </w:tr>
            <w:tr w:rsidR="004A074A" w:rsidRPr="00F8191D" w14:paraId="167D34CA" w14:textId="77777777" w:rsidTr="004A074A">
              <w:tc>
                <w:tcPr>
                  <w:tcW w:w="1881" w:type="dxa"/>
                </w:tcPr>
                <w:p w14:paraId="1E840FA4" w14:textId="77777777" w:rsidR="004A074A" w:rsidRPr="00F8191D" w:rsidRDefault="004A074A" w:rsidP="004A074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9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4.PROFESIJAS KODS</w:t>
                  </w:r>
                </w:p>
              </w:tc>
              <w:tc>
                <w:tcPr>
                  <w:tcW w:w="2581" w:type="dxa"/>
                  <w:gridSpan w:val="2"/>
                </w:tcPr>
                <w:p w14:paraId="4B58C285" w14:textId="77777777" w:rsidR="004A074A" w:rsidRPr="00F8191D" w:rsidRDefault="005A2459" w:rsidP="004A074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9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2422 0</w:t>
                  </w:r>
                  <w:r w:rsidR="00F8191D" w:rsidRPr="00F819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410" w:type="dxa"/>
                  <w:gridSpan w:val="2"/>
                </w:tcPr>
                <w:p w14:paraId="272B4E25" w14:textId="77777777" w:rsidR="004A074A" w:rsidRPr="00F8191D" w:rsidRDefault="004A074A" w:rsidP="004A07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9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5.AMATA SAIME UN LĪMENIS</w:t>
                  </w:r>
                </w:p>
              </w:tc>
              <w:tc>
                <w:tcPr>
                  <w:tcW w:w="3119" w:type="dxa"/>
                </w:tcPr>
                <w:p w14:paraId="4361B583" w14:textId="7F77A10F" w:rsidR="004A074A" w:rsidRPr="00F8191D" w:rsidRDefault="00105AF9" w:rsidP="004A074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37.  IIA</w:t>
                  </w:r>
                </w:p>
              </w:tc>
            </w:tr>
            <w:tr w:rsidR="004A074A" w:rsidRPr="00F8191D" w14:paraId="4FB30662" w14:textId="77777777" w:rsidTr="004A074A">
              <w:tc>
                <w:tcPr>
                  <w:tcW w:w="1881" w:type="dxa"/>
                </w:tcPr>
                <w:p w14:paraId="5C5EE6D3" w14:textId="77777777" w:rsidR="004A074A" w:rsidRPr="00F8191D" w:rsidRDefault="004A074A" w:rsidP="004A074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9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6.TIEŠAIS VADĪTĀJS</w:t>
                  </w:r>
                </w:p>
              </w:tc>
              <w:tc>
                <w:tcPr>
                  <w:tcW w:w="2581" w:type="dxa"/>
                  <w:gridSpan w:val="2"/>
                </w:tcPr>
                <w:p w14:paraId="3FCA0465" w14:textId="77777777" w:rsidR="004A074A" w:rsidRPr="00F8191D" w:rsidRDefault="005A2459" w:rsidP="001365B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9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Departamenta direktora vietnieks - nodaļas vadītājs</w:t>
                  </w:r>
                </w:p>
              </w:tc>
              <w:tc>
                <w:tcPr>
                  <w:tcW w:w="2410" w:type="dxa"/>
                  <w:gridSpan w:val="2"/>
                </w:tcPr>
                <w:p w14:paraId="44176511" w14:textId="77777777" w:rsidR="004A074A" w:rsidRPr="00F8191D" w:rsidRDefault="004A074A" w:rsidP="004A07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9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7.FUNKCIONĀLAIS VADĪTĀJS</w:t>
                  </w:r>
                </w:p>
              </w:tc>
              <w:tc>
                <w:tcPr>
                  <w:tcW w:w="3119" w:type="dxa"/>
                </w:tcPr>
                <w:p w14:paraId="508D16DD" w14:textId="77777777" w:rsidR="004A074A" w:rsidRPr="00F8191D" w:rsidRDefault="005A2459" w:rsidP="001365B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9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Departamenta direktora vietnieks - nodaļas vadītājs</w:t>
                  </w:r>
                </w:p>
              </w:tc>
            </w:tr>
            <w:tr w:rsidR="004A074A" w:rsidRPr="00F8191D" w14:paraId="5B380753" w14:textId="77777777" w:rsidTr="004A074A">
              <w:tc>
                <w:tcPr>
                  <w:tcW w:w="1881" w:type="dxa"/>
                </w:tcPr>
                <w:p w14:paraId="2208BF3C" w14:textId="77777777" w:rsidR="004A074A" w:rsidRPr="00F8191D" w:rsidRDefault="004A074A" w:rsidP="004A074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9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8.IEKŠĒJĀ SADARBĪBA</w:t>
                  </w:r>
                </w:p>
              </w:tc>
              <w:tc>
                <w:tcPr>
                  <w:tcW w:w="2581" w:type="dxa"/>
                  <w:gridSpan w:val="2"/>
                </w:tcPr>
                <w:p w14:paraId="449D2E46" w14:textId="77777777" w:rsidR="004A074A" w:rsidRPr="00F8191D" w:rsidRDefault="003624C5" w:rsidP="001365B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6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Finanšu ministrijas departamenti, Valsts kase</w:t>
                  </w:r>
                  <w:r w:rsidR="00886181" w:rsidRPr="00136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Centrālā finanšu un  līguma aģentūra </w:t>
                  </w:r>
                </w:p>
              </w:tc>
              <w:tc>
                <w:tcPr>
                  <w:tcW w:w="2410" w:type="dxa"/>
                  <w:gridSpan w:val="2"/>
                </w:tcPr>
                <w:p w14:paraId="5D050639" w14:textId="77777777" w:rsidR="004A074A" w:rsidRPr="00F8191D" w:rsidRDefault="004A074A" w:rsidP="004A074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9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9.ĀRĒJĀ SADARBĪBA</w:t>
                  </w:r>
                </w:p>
              </w:tc>
              <w:tc>
                <w:tcPr>
                  <w:tcW w:w="3119" w:type="dxa"/>
                </w:tcPr>
                <w:p w14:paraId="24CCADE6" w14:textId="77F126D5" w:rsidR="004A074A" w:rsidRPr="00F8191D" w:rsidRDefault="003624C5" w:rsidP="001365B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6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Pašvaldības, pašvaldību kapitālsabiedrības, valsts pārvaldes iestādes, Latvijas Pašvaldību savienība,</w:t>
                  </w:r>
                  <w:r w:rsidR="0032183D" w:rsidRPr="00136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74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Latvijas Lielo pilsētu asociācija</w:t>
                  </w:r>
                </w:p>
              </w:tc>
            </w:tr>
          </w:tbl>
          <w:p w14:paraId="0F7DF2E4" w14:textId="77777777" w:rsidR="00E65C7A" w:rsidRPr="00F8191D" w:rsidRDefault="00E65C7A" w:rsidP="00E65C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eGrid"/>
              <w:tblW w:w="9991" w:type="dxa"/>
              <w:tblLayout w:type="fixed"/>
              <w:tblLook w:val="04A0" w:firstRow="1" w:lastRow="0" w:firstColumn="1" w:lastColumn="0" w:noHBand="0" w:noVBand="1"/>
            </w:tblPr>
            <w:tblGrid>
              <w:gridCol w:w="914"/>
              <w:gridCol w:w="1842"/>
              <w:gridCol w:w="5812"/>
              <w:gridCol w:w="1423"/>
            </w:tblGrid>
            <w:tr w:rsidR="004A074A" w:rsidRPr="00F8191D" w14:paraId="0B53D578" w14:textId="77777777" w:rsidTr="008C2A73">
              <w:tc>
                <w:tcPr>
                  <w:tcW w:w="2756" w:type="dxa"/>
                  <w:gridSpan w:val="2"/>
                </w:tcPr>
                <w:p w14:paraId="6DDBD257" w14:textId="77777777" w:rsidR="004A074A" w:rsidRPr="00F8191D" w:rsidRDefault="004A074A" w:rsidP="004A07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65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10.AMATA MĒRĶIS</w:t>
                  </w:r>
                </w:p>
              </w:tc>
              <w:tc>
                <w:tcPr>
                  <w:tcW w:w="7235" w:type="dxa"/>
                  <w:gridSpan w:val="2"/>
                </w:tcPr>
                <w:p w14:paraId="252158AE" w14:textId="74753DDB" w:rsidR="004A074A" w:rsidRPr="00F8191D" w:rsidRDefault="00C250AC" w:rsidP="0088618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  <w:r w:rsidRPr="00CD6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ašvaldīb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</w:t>
                  </w:r>
                  <w:r w:rsidRPr="00CD6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aizņēmumu un galvojumu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investīciju projektu, kas nav Eiropas Savienības un citas ārvalstu finanšu palīdzības līdzfinansēti projekti (turpmāk – Investīciju projekti) izvērtēšana, budžeta un finanšu vadības aizņēmuma izvērtēšana, dalība  </w:t>
                  </w:r>
                  <w:r w:rsidRPr="00CD6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pašvaldību aizņēmumu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un galvojumu Investīciju projektiem politikas izstrādē, pašvaldību finansiālās darbības analīze </w:t>
                  </w:r>
                  <w:r w:rsidRPr="00CD7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atbilstoši kompetencei</w:t>
                  </w:r>
                </w:p>
              </w:tc>
            </w:tr>
            <w:tr w:rsidR="00FA5808" w:rsidRPr="00F8191D" w14:paraId="374AF3D3" w14:textId="77777777" w:rsidTr="008C2A73">
              <w:tc>
                <w:tcPr>
                  <w:tcW w:w="9991" w:type="dxa"/>
                  <w:gridSpan w:val="4"/>
                </w:tcPr>
                <w:p w14:paraId="2A31104C" w14:textId="77777777" w:rsidR="00FA5808" w:rsidRPr="00F8191D" w:rsidRDefault="00FA5808" w:rsidP="0069328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9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11.AMATA PIENĀKUMI</w:t>
                  </w:r>
                </w:p>
              </w:tc>
            </w:tr>
            <w:tr w:rsidR="00FA5808" w:rsidRPr="00F8191D" w14:paraId="4C03D663" w14:textId="77777777" w:rsidTr="008C2A73">
              <w:tc>
                <w:tcPr>
                  <w:tcW w:w="914" w:type="dxa"/>
                </w:tcPr>
                <w:p w14:paraId="5178B2AE" w14:textId="77777777" w:rsidR="00FA5808" w:rsidRPr="00F8191D" w:rsidRDefault="00FA5808" w:rsidP="0069328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54" w:type="dxa"/>
                  <w:gridSpan w:val="2"/>
                </w:tcPr>
                <w:p w14:paraId="1E6B8C90" w14:textId="77777777" w:rsidR="00FA5808" w:rsidRPr="00F8191D" w:rsidRDefault="00FA5808" w:rsidP="0069328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9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PIENĀKUMS</w:t>
                  </w:r>
                </w:p>
              </w:tc>
              <w:tc>
                <w:tcPr>
                  <w:tcW w:w="1423" w:type="dxa"/>
                </w:tcPr>
                <w:p w14:paraId="1EFC3181" w14:textId="77777777" w:rsidR="00FA5808" w:rsidRPr="00F8191D" w:rsidRDefault="00FA5808" w:rsidP="0069328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9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NOZĪMĪBA %</w:t>
                  </w:r>
                </w:p>
              </w:tc>
            </w:tr>
            <w:tr w:rsidR="008C2A73" w:rsidRPr="00F8191D" w14:paraId="157742E5" w14:textId="77777777" w:rsidTr="005E39AE">
              <w:trPr>
                <w:trHeight w:val="445"/>
              </w:trPr>
              <w:tc>
                <w:tcPr>
                  <w:tcW w:w="914" w:type="dxa"/>
                  <w:hideMark/>
                </w:tcPr>
                <w:p w14:paraId="4A447A77" w14:textId="77777777" w:rsidR="008C2A73" w:rsidRPr="001365B7" w:rsidRDefault="00200871" w:rsidP="008C2A7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1365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11.1.</w:t>
                  </w:r>
                </w:p>
              </w:tc>
              <w:tc>
                <w:tcPr>
                  <w:tcW w:w="7654" w:type="dxa"/>
                  <w:gridSpan w:val="2"/>
                  <w:hideMark/>
                </w:tcPr>
                <w:p w14:paraId="279268A2" w14:textId="77777777" w:rsidR="00513C18" w:rsidRDefault="00513C18" w:rsidP="00513C18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513C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Lai nodrošinātu pašvaldību aizņēmumu un galvojumu Investīciju projektiem un aizņēmumu budžeta un finanšu vadībai, pieprasījumu izvērtēšanu:</w:t>
                  </w:r>
                </w:p>
                <w:p w14:paraId="6627CAAD" w14:textId="77777777" w:rsidR="00513C18" w:rsidRDefault="00513C18" w:rsidP="00513C18">
                  <w:pPr>
                    <w:pStyle w:val="ListParagraph"/>
                    <w:numPr>
                      <w:ilvl w:val="0"/>
                      <w:numId w:val="5"/>
                    </w:num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513C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izvērtēt pašvaldību iesniegto pieprasījumu aizņēmumu un galvojumu saņemšanai atbilstību normatīvo aktu prasībām, tajā skaitā izvērtēt iespējamos riskus un pašvaldības finanšu situāciju kopumā;</w:t>
                  </w:r>
                </w:p>
                <w:p w14:paraId="647734D7" w14:textId="77777777" w:rsidR="00513C18" w:rsidRDefault="00513C18" w:rsidP="00513C18">
                  <w:pPr>
                    <w:pStyle w:val="ListParagraph"/>
                    <w:numPr>
                      <w:ilvl w:val="0"/>
                      <w:numId w:val="5"/>
                    </w:num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513C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sagatavot Pašvaldību aizņēmumu un galvojumu kontroles un pārraudzības padomei (turpmāk – Padome) detalizētu vērtējumu par pašvaldības katru aizņēmuma vai galvojuma pieprasījumu, norādot uz konstatētajām problēmām, riskiem  attiecīgajā jautājumā;</w:t>
                  </w:r>
                </w:p>
                <w:p w14:paraId="3E36CF27" w14:textId="77777777" w:rsidR="00513C18" w:rsidRDefault="00513C18" w:rsidP="00513C18">
                  <w:pPr>
                    <w:pStyle w:val="ListParagraph"/>
                    <w:numPr>
                      <w:ilvl w:val="0"/>
                      <w:numId w:val="5"/>
                    </w:num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513C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 xml:space="preserve">sniegt pašvaldībām un pašvaldību kapitālsabiedrībām konsultācijas par normatīvo aktu nosacījumiem aizņēmumiem un galvojumiem Investīciju projektu finansēšanai un skaidrojumus pieprasījumu </w:t>
                  </w:r>
                  <w:r w:rsidRPr="00513C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lastRenderedPageBreak/>
                    <w:t xml:space="preserve">iesniegšanai </w:t>
                  </w:r>
                  <w:proofErr w:type="spellStart"/>
                  <w:r w:rsidRPr="00513C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eAizņēmumu</w:t>
                  </w:r>
                  <w:proofErr w:type="spellEnd"/>
                  <w:r w:rsidRPr="00513C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sistēmā. Nepieciešamības gadījumā sniegt risinājuma variantus attiecīgā jautājuma sakārtošanai;</w:t>
                  </w:r>
                </w:p>
                <w:p w14:paraId="62440B0C" w14:textId="71DE2DCF" w:rsidR="00513C18" w:rsidRDefault="00513C18" w:rsidP="00513C18">
                  <w:pPr>
                    <w:pStyle w:val="ListParagraph"/>
                    <w:numPr>
                      <w:ilvl w:val="0"/>
                      <w:numId w:val="5"/>
                    </w:num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513C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pēc katras Padomes sēdes noteiktajos termiņos sagatavot attiecīgās protokola sadaļas un lēmumus. Informēt pašvaldības par pieņemtajiem lēmumiem;</w:t>
                  </w:r>
                </w:p>
                <w:p w14:paraId="73904812" w14:textId="59F30B27" w:rsidR="00F04BB8" w:rsidRPr="009F156F" w:rsidRDefault="00E36E28" w:rsidP="00513C18">
                  <w:pPr>
                    <w:pStyle w:val="ListParagraph"/>
                    <w:numPr>
                      <w:ilvl w:val="0"/>
                      <w:numId w:val="5"/>
                    </w:num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F15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u</w:t>
                  </w:r>
                  <w:r w:rsidR="00F04BB8" w:rsidRPr="009F15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 xml:space="preserve">z katru Padomes sēdi sagatavot </w:t>
                  </w:r>
                  <w:r w:rsidR="00811A3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 xml:space="preserve">detalizētu </w:t>
                  </w:r>
                  <w:r w:rsidR="00F04BB8" w:rsidRPr="009F15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 xml:space="preserve">darba kārtību par iekļaujamiem jautājumiem, </w:t>
                  </w:r>
                  <w:r w:rsidR="009F156F" w:rsidRPr="009F15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 xml:space="preserve">sniegt priekšlikumus tās  pilnveidošanai. </w:t>
                  </w:r>
                </w:p>
                <w:p w14:paraId="077350C1" w14:textId="77777777" w:rsidR="00513C18" w:rsidRDefault="00513C18" w:rsidP="00513C18">
                  <w:pPr>
                    <w:pStyle w:val="ListParagraph"/>
                    <w:numPr>
                      <w:ilvl w:val="0"/>
                      <w:numId w:val="5"/>
                    </w:num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513C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 xml:space="preserve">sanāksmēm ar pašvaldībām sagatavot informāciju par būtiskākajām pašvaldību kļūdām aizņēmumu un galvojumu pieprasījumos un sniegt priekšlikumus aizņēmuma, galvojuma pieprasījuma izvērtēšanas un lēmumu sagatavošanas  procesa </w:t>
                  </w:r>
                  <w:proofErr w:type="spellStart"/>
                  <w:r w:rsidRPr="00513C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efektivizēšanai</w:t>
                  </w:r>
                  <w:proofErr w:type="spellEnd"/>
                  <w:r w:rsidRPr="00513C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;</w:t>
                  </w:r>
                </w:p>
                <w:p w14:paraId="401B13A7" w14:textId="1FDD4A2D" w:rsidR="008C2A73" w:rsidRPr="00513C18" w:rsidRDefault="00513C18" w:rsidP="00513C18">
                  <w:pPr>
                    <w:pStyle w:val="ListParagraph"/>
                    <w:numPr>
                      <w:ilvl w:val="0"/>
                      <w:numId w:val="5"/>
                    </w:num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513C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izvērtēt fizisku un juridisku personu iesniegumus, vēstules  par pašvaldību aizņēmumiem un galvojumiem, un sagatavot attiecīgas atbildes vēstules, e-pastus.</w:t>
                  </w:r>
                </w:p>
              </w:tc>
              <w:tc>
                <w:tcPr>
                  <w:tcW w:w="1423" w:type="dxa"/>
                  <w:hideMark/>
                </w:tcPr>
                <w:p w14:paraId="69CDC123" w14:textId="4569CF1A" w:rsidR="008C2A73" w:rsidRPr="00F8191D" w:rsidRDefault="00323489" w:rsidP="008C2A7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lastRenderedPageBreak/>
                    <w:t>40</w:t>
                  </w:r>
                </w:p>
              </w:tc>
            </w:tr>
            <w:tr w:rsidR="008C2A73" w:rsidRPr="00F8191D" w14:paraId="01C8E950" w14:textId="77777777" w:rsidTr="00886181">
              <w:trPr>
                <w:trHeight w:val="1292"/>
              </w:trPr>
              <w:tc>
                <w:tcPr>
                  <w:tcW w:w="914" w:type="dxa"/>
                  <w:hideMark/>
                </w:tcPr>
                <w:p w14:paraId="1B4E033E" w14:textId="77777777" w:rsidR="008C2A73" w:rsidRPr="001365B7" w:rsidRDefault="00200871" w:rsidP="008C2A7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1365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11.2</w:t>
                  </w:r>
                  <w:r w:rsidR="008C2A73" w:rsidRPr="001365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.</w:t>
                  </w:r>
                </w:p>
              </w:tc>
              <w:tc>
                <w:tcPr>
                  <w:tcW w:w="7654" w:type="dxa"/>
                  <w:gridSpan w:val="2"/>
                  <w:hideMark/>
                </w:tcPr>
                <w:p w14:paraId="147DE185" w14:textId="77777777" w:rsidR="00513C18" w:rsidRDefault="00513C18" w:rsidP="00513C1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</w:t>
                  </w:r>
                  <w:r w:rsidRPr="00E75C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ai nodrošinātu dalību pašvaldību aizņēmumu un galvojumu Investīciju projektiem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politikas </w:t>
                  </w:r>
                  <w:r w:rsidRPr="00E75C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izstrādē:</w:t>
                  </w:r>
                </w:p>
                <w:p w14:paraId="3C4178DE" w14:textId="77777777" w:rsidR="00513C18" w:rsidRPr="00953C71" w:rsidRDefault="00513C18" w:rsidP="00513C18">
                  <w:pPr>
                    <w:pStyle w:val="ListParagraph"/>
                    <w:numPr>
                      <w:ilvl w:val="0"/>
                      <w:numId w:val="7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1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piedalīties </w:t>
                  </w:r>
                  <w:r w:rsidRPr="00F91E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gadskārtējā budžeta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projekta </w:t>
                  </w:r>
                  <w:r w:rsidRPr="00F91E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 xml:space="preserve">izstrādes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 xml:space="preserve">un Ministru kabineta un Latvijas Pašvaldību savienības domstarpību un vienošanās protokola projekta izstrādes </w:t>
                  </w:r>
                  <w:r w:rsidRPr="00F91E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 xml:space="preserve">procesā un sagatavot nepieciešamās analīzes un prezentācijas sadaļas par piešķirto aizņēmumu un galvojumu </w:t>
                  </w:r>
                  <w:r w:rsidRPr="00953C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kopējiem apjomiem un tendencēm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;</w:t>
                  </w:r>
                </w:p>
                <w:p w14:paraId="36C6B66A" w14:textId="77777777" w:rsidR="00513C18" w:rsidRPr="00953C71" w:rsidRDefault="00513C18" w:rsidP="00513C18">
                  <w:pPr>
                    <w:pStyle w:val="ListParagraph"/>
                    <w:numPr>
                      <w:ilvl w:val="0"/>
                      <w:numId w:val="6"/>
                    </w:num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53C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atbilstoši izstrādātajiem nosacījumiem, pilnveidot vadlīnijas (ieteikumus) pašvaldībām aizņēmumu un galvojumu pieprasījumu  sagatavošanai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;</w:t>
                  </w:r>
                </w:p>
                <w:p w14:paraId="1ADF0FE8" w14:textId="6A172526" w:rsidR="008C2A73" w:rsidRPr="001365B7" w:rsidRDefault="008C2A73" w:rsidP="00513C18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423" w:type="dxa"/>
                  <w:hideMark/>
                </w:tcPr>
                <w:p w14:paraId="7A71FB76" w14:textId="6C771D62" w:rsidR="008C2A73" w:rsidRPr="00F8191D" w:rsidRDefault="00513C18" w:rsidP="008C2A7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15</w:t>
                  </w:r>
                </w:p>
              </w:tc>
            </w:tr>
            <w:tr w:rsidR="00200871" w:rsidRPr="00F8191D" w14:paraId="4AE7D33E" w14:textId="77777777" w:rsidTr="005E39AE">
              <w:trPr>
                <w:trHeight w:val="818"/>
              </w:trPr>
              <w:tc>
                <w:tcPr>
                  <w:tcW w:w="914" w:type="dxa"/>
                </w:tcPr>
                <w:p w14:paraId="13AB56E4" w14:textId="77777777" w:rsidR="00200871" w:rsidRPr="001365B7" w:rsidRDefault="00200871" w:rsidP="008C2A7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1365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11.3.</w:t>
                  </w:r>
                </w:p>
              </w:tc>
              <w:tc>
                <w:tcPr>
                  <w:tcW w:w="7654" w:type="dxa"/>
                  <w:gridSpan w:val="2"/>
                </w:tcPr>
                <w:p w14:paraId="2E5C0B60" w14:textId="77777777" w:rsidR="00F04BB8" w:rsidRPr="00323489" w:rsidRDefault="00F04BB8" w:rsidP="00F04BB8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323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Lai nodrošinātu pašvaldību finansiālās darbības analīzi </w:t>
                  </w:r>
                  <w:r w:rsidRPr="0032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atbilstoši Nodaļas kompetencei:</w:t>
                  </w:r>
                </w:p>
                <w:p w14:paraId="138C2EA0" w14:textId="25C40CB4" w:rsidR="00F04BB8" w:rsidRPr="00323489" w:rsidRDefault="00F04BB8" w:rsidP="00F04BB8">
                  <w:pPr>
                    <w:pStyle w:val="ListParagraph"/>
                    <w:numPr>
                      <w:ilvl w:val="0"/>
                      <w:numId w:val="5"/>
                    </w:num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32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 xml:space="preserve">pēc katras Padomes sēdes sagatavot analītiskos materiālus par  atbalstītajiem aizņēmumiem un galvojumiem, tajā skaitā sadalījumā pa </w:t>
                  </w:r>
                  <w:r w:rsidR="006223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 xml:space="preserve">projektiem, </w:t>
                  </w:r>
                  <w:r w:rsidRPr="0032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mērķiem, funkcijām, reģioniem. Nodrošināt tā pieejamību sabiedrībai;</w:t>
                  </w:r>
                </w:p>
                <w:p w14:paraId="2F311E7B" w14:textId="427648E6" w:rsidR="00200871" w:rsidRPr="00F04BB8" w:rsidRDefault="00F04BB8" w:rsidP="00F04BB8">
                  <w:pPr>
                    <w:pStyle w:val="ListParagraph"/>
                    <w:numPr>
                      <w:ilvl w:val="0"/>
                      <w:numId w:val="5"/>
                    </w:num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32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sagatavot ministram, premjeram, Saeimai, Ministru kabinetam,</w:t>
                  </w:r>
                  <w:r w:rsidR="00E36E28" w:rsidRPr="0032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Latvijas pašvaldību savienībai,  Latvijas Lielo pilsētu asociācijai </w:t>
                  </w:r>
                  <w:r w:rsidRPr="0032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</w:t>
                  </w:r>
                  <w:r w:rsidR="00323489" w:rsidRPr="0032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 xml:space="preserve">un citām institūcijām </w:t>
                  </w:r>
                  <w:r w:rsidRPr="0032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analītiskos un prezentācijas materiālus par pašvaldīb</w:t>
                  </w:r>
                  <w:r w:rsidR="00E36E28" w:rsidRPr="0032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ām piešķirtajiem aizņēmumiem, galvojumiem.</w:t>
                  </w:r>
                  <w:r w:rsidR="00E36E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</w:t>
                  </w:r>
                </w:p>
              </w:tc>
              <w:tc>
                <w:tcPr>
                  <w:tcW w:w="1423" w:type="dxa"/>
                </w:tcPr>
                <w:p w14:paraId="0A6B2144" w14:textId="6E3C9290" w:rsidR="00200871" w:rsidRPr="00F8191D" w:rsidRDefault="00323489" w:rsidP="008C2A7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2</w:t>
                  </w:r>
                  <w:r w:rsidR="006223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5</w:t>
                  </w:r>
                </w:p>
              </w:tc>
            </w:tr>
            <w:tr w:rsidR="00200871" w:rsidRPr="00F8191D" w14:paraId="575D3BF5" w14:textId="77777777" w:rsidTr="0032183D">
              <w:trPr>
                <w:trHeight w:val="798"/>
              </w:trPr>
              <w:tc>
                <w:tcPr>
                  <w:tcW w:w="914" w:type="dxa"/>
                </w:tcPr>
                <w:p w14:paraId="205C97FF" w14:textId="1A1CE519" w:rsidR="00200871" w:rsidRPr="001365B7" w:rsidRDefault="00E36E28" w:rsidP="0020087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11.4.</w:t>
                  </w:r>
                </w:p>
              </w:tc>
              <w:tc>
                <w:tcPr>
                  <w:tcW w:w="7654" w:type="dxa"/>
                  <w:gridSpan w:val="2"/>
                </w:tcPr>
                <w:p w14:paraId="1C9C2CEF" w14:textId="77777777" w:rsidR="00E36E28" w:rsidRDefault="00E36E28" w:rsidP="00E36E28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E36E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Veikt citus pienākumus, kas saistīti ar Nodaļas funkciju izpildi:</w:t>
                  </w:r>
                </w:p>
                <w:p w14:paraId="0CB9A207" w14:textId="77777777" w:rsidR="00811A30" w:rsidRDefault="00E36E28" w:rsidP="00811A30">
                  <w:pPr>
                    <w:pStyle w:val="ListParagraph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E36E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izvērtēt fizisku un juridisku personu iesniegumus par jautājumiem, kas saistīti ar pašvaldību finansiālo darbību, pašvaldību budžetu jautājumu reglamentējošo normatīvo aktu piemērošanu un sagatavot attiecīgas atbildes vēstules;</w:t>
                  </w:r>
                </w:p>
                <w:p w14:paraId="74D95FFA" w14:textId="56B8DB15" w:rsidR="00811A30" w:rsidRPr="00811A30" w:rsidRDefault="00811A30" w:rsidP="00811A30">
                  <w:pPr>
                    <w:pStyle w:val="ListParagraph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811A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piedalīties ministriju iesniegto politikas plānošanas dokumentu un tiesību aktu projektu izvērtēšanā un atzinuma sagatavošanā, izvērtējot to ietekmi uz pašvaldību aizņēmumu un galvojumu jautājumiem,</w:t>
                  </w:r>
                </w:p>
                <w:p w14:paraId="3F35403D" w14:textId="77777777" w:rsidR="00E36E28" w:rsidRDefault="00E36E28" w:rsidP="00811A30">
                  <w:pPr>
                    <w:pStyle w:val="ListParagraph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E36E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nepieciešamības gadījumā veikt iepriekš minētos pienākumus arī saistībā ar aizņēmumiem un galvojumiem Eiropas Savienības un citas ārvalstu finanšu palīdzības  līdzfinansētiem projektiem atbilstoši nodaļas kompetencei;</w:t>
                  </w:r>
                </w:p>
                <w:p w14:paraId="7769998C" w14:textId="3FF1269C" w:rsidR="00E36E28" w:rsidRDefault="00E36E28" w:rsidP="00811A30">
                  <w:pPr>
                    <w:pStyle w:val="ListParagraph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E36E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 xml:space="preserve">piedalīties </w:t>
                  </w:r>
                  <w:proofErr w:type="spellStart"/>
                  <w:r w:rsidRPr="00E36E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eAizņēmumu</w:t>
                  </w:r>
                  <w:proofErr w:type="spellEnd"/>
                  <w:r w:rsidRPr="00E36E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sistēmas  </w:t>
                  </w:r>
                  <w:proofErr w:type="spellStart"/>
                  <w:r w:rsidRPr="00E36E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digitalizācijas</w:t>
                  </w:r>
                  <w:proofErr w:type="spellEnd"/>
                  <w:r w:rsidRPr="00E36E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procesa pilnveidošanā, sniedzot priekšlikumus sistēmas pilnveidei;</w:t>
                  </w:r>
                </w:p>
                <w:p w14:paraId="259E5AC9" w14:textId="77777777" w:rsidR="00E36E28" w:rsidRDefault="00E36E28" w:rsidP="00811A30">
                  <w:pPr>
                    <w:pStyle w:val="ListParagraph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E36E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 xml:space="preserve">pēc attiecīga pilnvarojuma savas kompetences ietvaros pārstāvēt ministriju vai Departamentu citās valsts iestādēs un organizācijās. </w:t>
                  </w:r>
                </w:p>
                <w:p w14:paraId="7C73DB3D" w14:textId="77777777" w:rsidR="00E36E28" w:rsidRDefault="00E36E28" w:rsidP="00811A30">
                  <w:pPr>
                    <w:pStyle w:val="ListParagraph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E36E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lastRenderedPageBreak/>
                    <w:t>saskaņā ar nodaļas vadītāja norādījumiem piedalīties likumdošanas iniciatīvu un politikas plānošanas dokumentu izstrādes darba grupās par kompetencē ietilpstošajiem jautājumiem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,</w:t>
                  </w:r>
                </w:p>
                <w:p w14:paraId="04D7243B" w14:textId="77777777" w:rsidR="00E36E28" w:rsidRDefault="00E36E28" w:rsidP="00811A30">
                  <w:pPr>
                    <w:pStyle w:val="ListParagraph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E36E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nodaļas vadītāja uzdevumā izskatīt citus jautājumus atbilstoši savai kompetencei;</w:t>
                  </w:r>
                </w:p>
                <w:p w14:paraId="6BBA2394" w14:textId="77777777" w:rsidR="00E36E28" w:rsidRDefault="00E36E28" w:rsidP="00811A30">
                  <w:pPr>
                    <w:pStyle w:val="ListParagraph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E36E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departamenta direktora vai nodaļas vadītāja uzdevumā pildīt citus līdzīga rakstura un kvalifikācijas uzdevumus sadarbībā ar pārējām departamenta nodaļām;</w:t>
                  </w:r>
                </w:p>
                <w:p w14:paraId="209B33F8" w14:textId="77777777" w:rsidR="00E36E28" w:rsidRDefault="00E36E28" w:rsidP="00811A30">
                  <w:pPr>
                    <w:pStyle w:val="ListParagraph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E36E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informēt nodaļas vadītāju par uzticēto darba pienākumu izpildes gaitu un problēmām;</w:t>
                  </w:r>
                </w:p>
                <w:p w14:paraId="4FA75752" w14:textId="77777777" w:rsidR="00E36E28" w:rsidRDefault="00E36E28" w:rsidP="00811A30">
                  <w:pPr>
                    <w:pStyle w:val="ListParagraph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E36E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periodiski paaugstināt profesionālās zināšanas, piedaloties semināros, kursos u.c. pasākumos;</w:t>
                  </w:r>
                </w:p>
                <w:p w14:paraId="6274BA5D" w14:textId="77777777" w:rsidR="00E36E28" w:rsidRDefault="00E36E28" w:rsidP="00811A30">
                  <w:pPr>
                    <w:pStyle w:val="ListParagraph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E36E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veikt jaunāko speciālistu apmācību un konsultēšanu;</w:t>
                  </w:r>
                </w:p>
                <w:p w14:paraId="1B3FC903" w14:textId="20B53310" w:rsidR="00200871" w:rsidRPr="00E36E28" w:rsidRDefault="00E36E28" w:rsidP="00811A30">
                  <w:pPr>
                    <w:pStyle w:val="ListParagraph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E36E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kompetences jomā pārzināt un sistemātiski sekot līdzi likumdošanas un citu normatīvo aktu izmaiņām</w:t>
                  </w:r>
                </w:p>
              </w:tc>
              <w:tc>
                <w:tcPr>
                  <w:tcW w:w="1423" w:type="dxa"/>
                </w:tcPr>
                <w:p w14:paraId="790F347B" w14:textId="11F0B4D0" w:rsidR="00200871" w:rsidRPr="00F8191D" w:rsidRDefault="00E36E28" w:rsidP="0020087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lastRenderedPageBreak/>
                    <w:t>20</w:t>
                  </w:r>
                </w:p>
              </w:tc>
            </w:tr>
          </w:tbl>
          <w:p w14:paraId="52BEC0E9" w14:textId="77777777" w:rsidR="0076656C" w:rsidRPr="00F8191D" w:rsidRDefault="0076656C" w:rsidP="0069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2"/>
              <w:gridCol w:w="9214"/>
            </w:tblGrid>
            <w:tr w:rsidR="00105AF9" w14:paraId="0ACE1ABB" w14:textId="77777777" w:rsidTr="00450E72">
              <w:tc>
                <w:tcPr>
                  <w:tcW w:w="9986" w:type="dxa"/>
                  <w:gridSpan w:val="2"/>
                </w:tcPr>
                <w:p w14:paraId="7A041CB4" w14:textId="77777777" w:rsidR="00105AF9" w:rsidRDefault="00105AF9" w:rsidP="00105A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12.KOMPETENCES</w:t>
                  </w:r>
                </w:p>
              </w:tc>
            </w:tr>
            <w:tr w:rsidR="00105AF9" w:rsidRPr="00FC268B" w14:paraId="342E1DF3" w14:textId="77777777" w:rsidTr="00450E72">
              <w:tc>
                <w:tcPr>
                  <w:tcW w:w="772" w:type="dxa"/>
                </w:tcPr>
                <w:p w14:paraId="1FE43CCC" w14:textId="77777777" w:rsidR="00105AF9" w:rsidRDefault="00105AF9" w:rsidP="00105A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12.1.</w:t>
                  </w:r>
                </w:p>
              </w:tc>
              <w:tc>
                <w:tcPr>
                  <w:tcW w:w="9214" w:type="dxa"/>
                </w:tcPr>
                <w:p w14:paraId="11FD0ED1" w14:textId="77777777" w:rsidR="00105AF9" w:rsidRPr="00FC268B" w:rsidRDefault="00105AF9" w:rsidP="00105A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Analītiska</w:t>
                  </w:r>
                  <w:r w:rsidRPr="00FC26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domāšana</w:t>
                  </w:r>
                </w:p>
              </w:tc>
            </w:tr>
            <w:tr w:rsidR="00105AF9" w:rsidRPr="00FC268B" w14:paraId="3A83E382" w14:textId="77777777" w:rsidTr="00450E72">
              <w:tc>
                <w:tcPr>
                  <w:tcW w:w="772" w:type="dxa"/>
                </w:tcPr>
                <w:p w14:paraId="683FCBB1" w14:textId="77777777" w:rsidR="00105AF9" w:rsidRDefault="00105AF9" w:rsidP="00105A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12.2.</w:t>
                  </w:r>
                </w:p>
              </w:tc>
              <w:tc>
                <w:tcPr>
                  <w:tcW w:w="9214" w:type="dxa"/>
                </w:tcPr>
                <w:p w14:paraId="72762C06" w14:textId="77777777" w:rsidR="00105AF9" w:rsidRPr="00FC268B" w:rsidRDefault="00105AF9" w:rsidP="00105A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FC26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niciatīva</w:t>
                  </w:r>
                </w:p>
              </w:tc>
            </w:tr>
            <w:tr w:rsidR="00105AF9" w:rsidRPr="00FC268B" w14:paraId="4068BE7D" w14:textId="77777777" w:rsidTr="00450E72">
              <w:tc>
                <w:tcPr>
                  <w:tcW w:w="772" w:type="dxa"/>
                </w:tcPr>
                <w:p w14:paraId="70BBB97B" w14:textId="77777777" w:rsidR="00105AF9" w:rsidRDefault="00105AF9" w:rsidP="00105A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12.3.</w:t>
                  </w:r>
                </w:p>
              </w:tc>
              <w:tc>
                <w:tcPr>
                  <w:tcW w:w="9214" w:type="dxa"/>
                </w:tcPr>
                <w:p w14:paraId="6CC799EB" w14:textId="77777777" w:rsidR="00105AF9" w:rsidRPr="00FC268B" w:rsidRDefault="00105AF9" w:rsidP="00105A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Plānošana un organizēšana</w:t>
                  </w:r>
                </w:p>
              </w:tc>
            </w:tr>
            <w:tr w:rsidR="00105AF9" w:rsidRPr="00FC268B" w14:paraId="7B70963D" w14:textId="77777777" w:rsidTr="00450E72">
              <w:tc>
                <w:tcPr>
                  <w:tcW w:w="772" w:type="dxa"/>
                </w:tcPr>
                <w:p w14:paraId="0D608D77" w14:textId="77777777" w:rsidR="00105AF9" w:rsidRDefault="00105AF9" w:rsidP="00105A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12.6.</w:t>
                  </w:r>
                </w:p>
              </w:tc>
              <w:tc>
                <w:tcPr>
                  <w:tcW w:w="9214" w:type="dxa"/>
                </w:tcPr>
                <w:p w14:paraId="4C1FCFB8" w14:textId="77777777" w:rsidR="00105AF9" w:rsidRPr="00FC268B" w:rsidRDefault="00105AF9" w:rsidP="00105A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Ē</w:t>
                  </w:r>
                  <w:r w:rsidRPr="00FC26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tiskums.</w:t>
                  </w:r>
                </w:p>
              </w:tc>
            </w:tr>
          </w:tbl>
          <w:p w14:paraId="3755D5B1" w14:textId="77777777" w:rsidR="00105AF9" w:rsidRPr="00F8191D" w:rsidRDefault="00105AF9" w:rsidP="0069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56"/>
              <w:gridCol w:w="7230"/>
            </w:tblGrid>
            <w:tr w:rsidR="00FA5808" w:rsidRPr="00F8191D" w14:paraId="4EAFEDC5" w14:textId="77777777" w:rsidTr="001B1F78">
              <w:tc>
                <w:tcPr>
                  <w:tcW w:w="9986" w:type="dxa"/>
                  <w:gridSpan w:val="2"/>
                </w:tcPr>
                <w:p w14:paraId="505E5A02" w14:textId="77777777" w:rsidR="00FA5808" w:rsidRPr="00F8191D" w:rsidRDefault="00FA5808" w:rsidP="00FA580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9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13.PROFESIONĀLĀ KVALIFIKĀCIJA</w:t>
                  </w:r>
                </w:p>
              </w:tc>
            </w:tr>
            <w:tr w:rsidR="00FA5808" w:rsidRPr="00F8191D" w14:paraId="31AD67D1" w14:textId="77777777" w:rsidTr="00FA5808">
              <w:tc>
                <w:tcPr>
                  <w:tcW w:w="2756" w:type="dxa"/>
                </w:tcPr>
                <w:p w14:paraId="4E417FBF" w14:textId="77777777" w:rsidR="00FA5808" w:rsidRPr="00F8191D" w:rsidRDefault="00FA5808" w:rsidP="00FA580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9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13.1.IZGLĪTĪBA</w:t>
                  </w:r>
                </w:p>
              </w:tc>
              <w:tc>
                <w:tcPr>
                  <w:tcW w:w="7230" w:type="dxa"/>
                </w:tcPr>
                <w:p w14:paraId="41CEB2C8" w14:textId="77777777" w:rsidR="00FA5808" w:rsidRPr="00F8191D" w:rsidRDefault="00851BEF" w:rsidP="00FA580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65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Augstākā akadēmiskā vai augstākā profesionāla izglītība ekonomikā, vadības zinātnēs vai finanšu jomā</w:t>
                  </w:r>
                </w:p>
              </w:tc>
            </w:tr>
            <w:tr w:rsidR="00FA5808" w:rsidRPr="00F8191D" w14:paraId="0E05D98B" w14:textId="77777777" w:rsidTr="00FA5808">
              <w:tc>
                <w:tcPr>
                  <w:tcW w:w="2756" w:type="dxa"/>
                </w:tcPr>
                <w:p w14:paraId="64748980" w14:textId="77777777" w:rsidR="00FA5808" w:rsidRPr="00F8191D" w:rsidRDefault="00FA5808" w:rsidP="00FA580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9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13.2.PROFESIONĀLĀ PIEREDZE</w:t>
                  </w:r>
                </w:p>
              </w:tc>
              <w:tc>
                <w:tcPr>
                  <w:tcW w:w="7230" w:type="dxa"/>
                </w:tcPr>
                <w:p w14:paraId="7C258274" w14:textId="77777777" w:rsidR="00105AF9" w:rsidRPr="007C0C9E" w:rsidRDefault="00105AF9" w:rsidP="00105AF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C9E">
                    <w:rPr>
                      <w:rFonts w:ascii="Times New Roman" w:hAnsi="Times New Roman"/>
                      <w:sz w:val="24"/>
                      <w:szCs w:val="24"/>
                    </w:rPr>
                    <w:t>Pieredze valsts pārvaldes institūcijās ilgāka par 3 gadiem pēdējo 5 gadu laikā.</w:t>
                  </w:r>
                </w:p>
                <w:p w14:paraId="5A3A6A1E" w14:textId="460A8497" w:rsidR="00851BEF" w:rsidRPr="001365B7" w:rsidRDefault="00105AF9" w:rsidP="00105AF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0C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Vismaz trīs gadu darba pieredze</w:t>
                  </w:r>
                  <w:r w:rsidRPr="007C0C9E">
                    <w:rPr>
                      <w:rFonts w:ascii="Times New Roman" w:hAnsi="Times New Roman"/>
                      <w:sz w:val="24"/>
                      <w:szCs w:val="24"/>
                    </w:rPr>
                    <w:t xml:space="preserve"> pēdējo 5 gadu laikā </w:t>
                  </w:r>
                  <w:r w:rsidRPr="007C0C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pašvaldību finanšu jomā, tajā skaitā pieredze pašvaldību aizņēmumu  un galvojumu jautājumos.</w:t>
                  </w:r>
                </w:p>
              </w:tc>
            </w:tr>
            <w:tr w:rsidR="00FA5808" w:rsidRPr="00F8191D" w14:paraId="5B03F261" w14:textId="77777777" w:rsidTr="00FA5808">
              <w:tc>
                <w:tcPr>
                  <w:tcW w:w="2756" w:type="dxa"/>
                </w:tcPr>
                <w:p w14:paraId="11775868" w14:textId="77777777" w:rsidR="00FA5808" w:rsidRPr="00F8191D" w:rsidRDefault="00FA5808" w:rsidP="00FA58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9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13.3.PROFESIONĀLĀS ZINĀŠANAS UN PRASMES</w:t>
                  </w:r>
                </w:p>
              </w:tc>
              <w:tc>
                <w:tcPr>
                  <w:tcW w:w="7230" w:type="dxa"/>
                </w:tcPr>
                <w:p w14:paraId="2A873605" w14:textId="77777777" w:rsidR="00773177" w:rsidRPr="001365B7" w:rsidRDefault="003624C5" w:rsidP="003624C5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Zināšanas</w:t>
                  </w:r>
                  <w:r w:rsidR="004C5606" w:rsidRPr="00136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un izpratne </w:t>
                  </w:r>
                  <w:r w:rsidRPr="00136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</w:t>
                  </w:r>
                  <w:r w:rsidR="00773177" w:rsidRPr="00136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</w:t>
                  </w:r>
                  <w:r w:rsidR="004C5606" w:rsidRPr="00136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 pašvaldību finanšu jautājumiem.</w:t>
                  </w:r>
                </w:p>
                <w:p w14:paraId="2030260D" w14:textId="77777777" w:rsidR="003624C5" w:rsidRPr="001365B7" w:rsidRDefault="00773177" w:rsidP="00851BEF">
                  <w:pPr>
                    <w:pStyle w:val="Default"/>
                    <w:jc w:val="both"/>
                    <w:rPr>
                      <w:rFonts w:eastAsia="Times New Roman"/>
                    </w:rPr>
                  </w:pPr>
                  <w:r w:rsidRPr="001365B7">
                    <w:rPr>
                      <w:rFonts w:eastAsia="Times New Roman"/>
                    </w:rPr>
                    <w:t>Z</w:t>
                  </w:r>
                  <w:r w:rsidR="003624C5" w:rsidRPr="001365B7">
                    <w:rPr>
                      <w:rFonts w:eastAsia="Times New Roman"/>
                    </w:rPr>
                    <w:t xml:space="preserve">ināšanas </w:t>
                  </w:r>
                  <w:r w:rsidR="004C5606" w:rsidRPr="001365B7">
                    <w:rPr>
                      <w:rFonts w:eastAsia="Times New Roman"/>
                    </w:rPr>
                    <w:t xml:space="preserve">un izpratne </w:t>
                  </w:r>
                  <w:r w:rsidR="003624C5" w:rsidRPr="001365B7">
                    <w:rPr>
                      <w:rFonts w:eastAsia="Times New Roman"/>
                    </w:rPr>
                    <w:t>par valst</w:t>
                  </w:r>
                  <w:r w:rsidRPr="001365B7">
                    <w:rPr>
                      <w:rFonts w:eastAsia="Times New Roman"/>
                    </w:rPr>
                    <w:t>s</w:t>
                  </w:r>
                  <w:r w:rsidR="004C5606" w:rsidRPr="001365B7">
                    <w:rPr>
                      <w:rFonts w:eastAsia="Times New Roman"/>
                    </w:rPr>
                    <w:t xml:space="preserve"> pārvaldes darbības principiem.</w:t>
                  </w:r>
                </w:p>
                <w:p w14:paraId="72307818" w14:textId="77777777" w:rsidR="004C5606" w:rsidRPr="001365B7" w:rsidRDefault="004C5606" w:rsidP="00851BEF">
                  <w:pPr>
                    <w:pStyle w:val="Default"/>
                    <w:jc w:val="both"/>
                    <w:rPr>
                      <w:rFonts w:eastAsia="Times New Roman"/>
                    </w:rPr>
                  </w:pPr>
                  <w:r w:rsidRPr="001365B7">
                    <w:rPr>
                      <w:rFonts w:eastAsia="Times New Roman"/>
                    </w:rPr>
                    <w:t>Zināšanas investīciju projektu vērtēšanas un uzraudzības jautājumos.</w:t>
                  </w:r>
                </w:p>
                <w:p w14:paraId="487C1379" w14:textId="77777777" w:rsidR="004C5606" w:rsidRPr="001365B7" w:rsidRDefault="004C5606" w:rsidP="00851BEF">
                  <w:pPr>
                    <w:pStyle w:val="Default"/>
                    <w:jc w:val="both"/>
                    <w:rPr>
                      <w:rFonts w:eastAsia="Times New Roman"/>
                    </w:rPr>
                  </w:pPr>
                  <w:r w:rsidRPr="001365B7">
                    <w:rPr>
                      <w:rFonts w:eastAsia="Times New Roman"/>
                    </w:rPr>
                    <w:t>Prasmes tiesību aktu projektu izstrādē.</w:t>
                  </w:r>
                </w:p>
              </w:tc>
            </w:tr>
            <w:tr w:rsidR="00FA5808" w:rsidRPr="00F8191D" w14:paraId="1C520E4C" w14:textId="77777777" w:rsidTr="00FA5808">
              <w:tc>
                <w:tcPr>
                  <w:tcW w:w="2756" w:type="dxa"/>
                </w:tcPr>
                <w:p w14:paraId="417662E2" w14:textId="77777777" w:rsidR="00FA5808" w:rsidRPr="00F8191D" w:rsidRDefault="00FA5808" w:rsidP="00FA58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9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13.4.VISPĀRĒJĀS ZINĀŠANAS UN PRASMES</w:t>
                  </w:r>
                </w:p>
              </w:tc>
              <w:tc>
                <w:tcPr>
                  <w:tcW w:w="7230" w:type="dxa"/>
                </w:tcPr>
                <w:p w14:paraId="75BC444D" w14:textId="77777777" w:rsidR="003624C5" w:rsidRPr="001365B7" w:rsidRDefault="005E39AE" w:rsidP="003624C5">
                  <w:pPr>
                    <w:pStyle w:val="Default"/>
                    <w:jc w:val="both"/>
                    <w:rPr>
                      <w:rFonts w:eastAsia="Times New Roman"/>
                    </w:rPr>
                  </w:pPr>
                  <w:r w:rsidRPr="001365B7">
                    <w:rPr>
                      <w:rFonts w:eastAsia="Times New Roman"/>
                    </w:rPr>
                    <w:t>A</w:t>
                  </w:r>
                  <w:r w:rsidR="003624C5" w:rsidRPr="001365B7">
                    <w:rPr>
                      <w:rFonts w:eastAsia="Times New Roman"/>
                    </w:rPr>
                    <w:t>ngļu</w:t>
                  </w:r>
                  <w:r w:rsidR="00773177" w:rsidRPr="001365B7">
                    <w:rPr>
                      <w:rFonts w:eastAsia="Times New Roman"/>
                    </w:rPr>
                    <w:t xml:space="preserve"> valodas zināšanas</w:t>
                  </w:r>
                  <w:r w:rsidR="004C5606" w:rsidRPr="001365B7">
                    <w:rPr>
                      <w:rFonts w:eastAsia="Times New Roman"/>
                    </w:rPr>
                    <w:t>.</w:t>
                  </w:r>
                </w:p>
                <w:p w14:paraId="529533C2" w14:textId="77777777" w:rsidR="00851BEF" w:rsidRPr="001365B7" w:rsidRDefault="008C2A73" w:rsidP="003624C5">
                  <w:pPr>
                    <w:pStyle w:val="Default"/>
                    <w:jc w:val="both"/>
                    <w:rPr>
                      <w:rFonts w:eastAsia="Times New Roman"/>
                    </w:rPr>
                  </w:pPr>
                  <w:r w:rsidRPr="001365B7">
                    <w:rPr>
                      <w:rFonts w:eastAsia="Times New Roman"/>
                    </w:rPr>
                    <w:t>L</w:t>
                  </w:r>
                  <w:r w:rsidR="00851BEF" w:rsidRPr="001365B7">
                    <w:rPr>
                      <w:rFonts w:eastAsia="Times New Roman"/>
                    </w:rPr>
                    <w:t>abas datora lietotāja līmeņa prasmes</w:t>
                  </w:r>
                  <w:r w:rsidR="004C5606" w:rsidRPr="001365B7">
                    <w:rPr>
                      <w:rFonts w:eastAsia="Times New Roman"/>
                    </w:rPr>
                    <w:t>.</w:t>
                  </w:r>
                </w:p>
                <w:p w14:paraId="40EF87FF" w14:textId="77777777" w:rsidR="003624C5" w:rsidRPr="001365B7" w:rsidRDefault="003624C5" w:rsidP="003624C5">
                  <w:pPr>
                    <w:pStyle w:val="Default"/>
                    <w:jc w:val="both"/>
                    <w:rPr>
                      <w:rFonts w:eastAsia="Times New Roman"/>
                    </w:rPr>
                  </w:pPr>
                  <w:r w:rsidRPr="001365B7">
                    <w:rPr>
                      <w:rFonts w:eastAsia="Times New Roman"/>
                    </w:rPr>
                    <w:t>A</w:t>
                  </w:r>
                  <w:r w:rsidR="00773177" w:rsidRPr="001365B7">
                    <w:rPr>
                      <w:rFonts w:eastAsia="Times New Roman"/>
                    </w:rPr>
                    <w:t>nalītiskas spējas</w:t>
                  </w:r>
                  <w:r w:rsidR="004C5606" w:rsidRPr="001365B7">
                    <w:rPr>
                      <w:rFonts w:eastAsia="Times New Roman"/>
                    </w:rPr>
                    <w:t>.</w:t>
                  </w:r>
                </w:p>
                <w:p w14:paraId="40411867" w14:textId="77777777" w:rsidR="00851BEF" w:rsidRPr="001365B7" w:rsidRDefault="003624C5" w:rsidP="003624C5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Darba racionālas orga</w:t>
                  </w:r>
                  <w:r w:rsidR="00773177" w:rsidRPr="00136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nizācijas principu pārvaldīšana</w:t>
                  </w:r>
                  <w:r w:rsidR="004C5606" w:rsidRPr="00136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12FB3C26" w14:textId="77777777" w:rsidR="00FA5808" w:rsidRPr="00F8191D" w:rsidRDefault="00FA5808" w:rsidP="0069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56"/>
              <w:gridCol w:w="7230"/>
            </w:tblGrid>
            <w:tr w:rsidR="00FA5808" w:rsidRPr="00F8191D" w14:paraId="385B45C9" w14:textId="77777777" w:rsidTr="001B1F78">
              <w:tc>
                <w:tcPr>
                  <w:tcW w:w="2756" w:type="dxa"/>
                </w:tcPr>
                <w:p w14:paraId="4B3F3CAB" w14:textId="77777777" w:rsidR="00FA5808" w:rsidRPr="00F8191D" w:rsidRDefault="00FA5808" w:rsidP="00FA580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9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14.AMATA ATBILDĪBA</w:t>
                  </w:r>
                </w:p>
              </w:tc>
              <w:tc>
                <w:tcPr>
                  <w:tcW w:w="7230" w:type="dxa"/>
                </w:tcPr>
                <w:p w14:paraId="5407552B" w14:textId="77777777" w:rsidR="00FA5808" w:rsidRPr="00F8191D" w:rsidRDefault="003624C5" w:rsidP="00FA580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6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Atbild par tam tieši uzdoto uzdevumu profesionālu,  kv</w:t>
                  </w:r>
                  <w:r w:rsidR="00773177" w:rsidRPr="00136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alitatīvu un savlaicīgu izpildi</w:t>
                  </w:r>
                </w:p>
              </w:tc>
            </w:tr>
            <w:tr w:rsidR="00FA5808" w:rsidRPr="00F8191D" w14:paraId="401AC7E8" w14:textId="77777777" w:rsidTr="001B1F78">
              <w:tc>
                <w:tcPr>
                  <w:tcW w:w="2756" w:type="dxa"/>
                </w:tcPr>
                <w:p w14:paraId="209110D4" w14:textId="77777777" w:rsidR="00FA5808" w:rsidRPr="00F8191D" w:rsidRDefault="00FA5808" w:rsidP="00FA58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9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15.AMATA TIESĪBAS</w:t>
                  </w:r>
                </w:p>
              </w:tc>
              <w:tc>
                <w:tcPr>
                  <w:tcW w:w="7230" w:type="dxa"/>
                </w:tcPr>
                <w:p w14:paraId="2F6741F1" w14:textId="77777777" w:rsidR="00105AF9" w:rsidRPr="007C0C9E" w:rsidRDefault="00105AF9" w:rsidP="00105A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Savlaicīgi saņemt amata pienākumu veikšanai nepieciešamo informāciju no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departamenta direktora vietnieka - </w:t>
                  </w:r>
                  <w:r w:rsidRPr="007C0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nodaļas vadītāja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75998D0" w14:textId="77777777" w:rsidR="00105AF9" w:rsidRPr="007C0C9E" w:rsidRDefault="00105AF9" w:rsidP="00105A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Pieprasīt un saņemt nepieciešamo informāciju un skaidrojumus no citām institūcijām amata pienākumu veikšanai;</w:t>
                  </w:r>
                </w:p>
                <w:p w14:paraId="43A8DC5E" w14:textId="33482A5F" w:rsidR="00FA5808" w:rsidRPr="00F8191D" w:rsidRDefault="00105AF9" w:rsidP="00105A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Sniegt ierosinājumus un priekšlikumus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departamenta direktora vietniekam -</w:t>
                  </w:r>
                  <w:r w:rsidRPr="007C0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nodaļas vadītājam nodaļas darba kvalitātes un efektivitātes uzlabošanai.</w:t>
                  </w:r>
                </w:p>
              </w:tc>
            </w:tr>
            <w:tr w:rsidR="00FA5808" w:rsidRPr="00F8191D" w14:paraId="4C343933" w14:textId="77777777" w:rsidTr="001B1F78">
              <w:tc>
                <w:tcPr>
                  <w:tcW w:w="2756" w:type="dxa"/>
                </w:tcPr>
                <w:p w14:paraId="5E73ED3D" w14:textId="77777777" w:rsidR="00FA5808" w:rsidRPr="00F8191D" w:rsidRDefault="00FA5808" w:rsidP="00FA58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9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16.CITA INFORMĀCIJA</w:t>
                  </w:r>
                </w:p>
              </w:tc>
              <w:tc>
                <w:tcPr>
                  <w:tcW w:w="7230" w:type="dxa"/>
                </w:tcPr>
                <w:p w14:paraId="206134D3" w14:textId="0C32D862" w:rsidR="00FA5808" w:rsidRPr="00F8191D" w:rsidRDefault="00105AF9" w:rsidP="00FA580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Darbs prasa jaunus, oriģinālus risinājumus un ne vienmēr darba uzdevumu izpildei ir noteikta metodika. Jāveic liela apjoma dažādas informācijas vienlaicīga analīze, labāko risinājumu un ekspertu sniegtā </w:t>
                  </w:r>
                  <w:proofErr w:type="spellStart"/>
                  <w:r w:rsidRPr="007C0C9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izvērtējuma</w:t>
                  </w:r>
                  <w:proofErr w:type="spellEnd"/>
                  <w:r w:rsidRPr="007C0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izmantošana amata pienākumu veikšanai. Nepieciešams dziļi pārzināt kompetences jomu un ar to saistītos jautājumus, kā arī spēt saskatīt sakarības vai atrast vispārinājuma modeļus situācijās un procesos, kas nav acīmredzami saistīti. </w:t>
                  </w:r>
                  <w:r w:rsidRPr="007C0C9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Nepieciešama spēja patstāvīgi organizēt savu darbu, izvirzīt darba mērķus un uzdevumus un plānot to sasniegšanai nepieciešamo rīcību. </w:t>
                  </w:r>
                  <w:r w:rsidRPr="007C0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Nepieciešama </w:t>
                  </w:r>
                  <w:r w:rsidRPr="007C0C9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spēja regulāri strādāt paaugstināta stresa apstākļos.</w:t>
                  </w:r>
                </w:p>
              </w:tc>
            </w:tr>
          </w:tbl>
          <w:p w14:paraId="0A833C5D" w14:textId="77777777" w:rsidR="00693281" w:rsidRPr="001365B7" w:rsidRDefault="00693281" w:rsidP="006932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DE7EA8F" w14:textId="77777777" w:rsidR="008C2A73" w:rsidRPr="00F8191D" w:rsidRDefault="008C2A73" w:rsidP="00877F7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9923" w:type="dxa"/>
        <w:tblInd w:w="137" w:type="dxa"/>
        <w:tblLook w:val="04A0" w:firstRow="1" w:lastRow="0" w:firstColumn="1" w:lastColumn="0" w:noHBand="0" w:noVBand="1"/>
      </w:tblPr>
      <w:tblGrid>
        <w:gridCol w:w="2681"/>
        <w:gridCol w:w="1938"/>
        <w:gridCol w:w="3603"/>
        <w:gridCol w:w="1701"/>
      </w:tblGrid>
      <w:tr w:rsidR="00105AF9" w:rsidRPr="00F73893" w14:paraId="25D52F60" w14:textId="77777777" w:rsidTr="00450E72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C5799D" w14:textId="77777777" w:rsidR="00105AF9" w:rsidRPr="00F73893" w:rsidRDefault="00105AF9" w:rsidP="00450E72">
            <w:pPr>
              <w:rPr>
                <w:rFonts w:ascii="Times New Roman" w:eastAsia="Calibri" w:hAnsi="Times New Roman"/>
              </w:rPr>
            </w:pPr>
            <w:bookmarkStart w:id="0" w:name="_Hlk101178081"/>
            <w:r w:rsidRPr="00F73893">
              <w:rPr>
                <w:rFonts w:ascii="Times New Roman" w:eastAsia="Calibri" w:hAnsi="Times New Roman"/>
              </w:rPr>
              <w:t xml:space="preserve">STRUKTŪRVIENĪBAS 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14:paraId="6ED77A5D" w14:textId="77777777" w:rsidR="00105AF9" w:rsidRPr="00F73893" w:rsidRDefault="00105AF9" w:rsidP="00450E72">
            <w:pPr>
              <w:rPr>
                <w:rFonts w:ascii="Times New Roman" w:eastAsia="Calibri" w:hAnsi="Times New Roman"/>
              </w:rPr>
            </w:pPr>
            <w:r w:rsidRPr="00F73893">
              <w:rPr>
                <w:rFonts w:ascii="Times New Roman" w:eastAsia="Calibri" w:hAnsi="Times New Roman"/>
              </w:rPr>
              <w:t>Saskaņots ALS</w:t>
            </w:r>
          </w:p>
        </w:tc>
        <w:tc>
          <w:tcPr>
            <w:tcW w:w="3603" w:type="dxa"/>
          </w:tcPr>
          <w:p w14:paraId="5B7E2537" w14:textId="77777777" w:rsidR="00105AF9" w:rsidRPr="00F73893" w:rsidRDefault="00105AF9" w:rsidP="00450E7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Baiba Tisenkopfa </w:t>
            </w:r>
            <w:r w:rsidRPr="00A97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1668A52" w14:textId="77777777" w:rsidR="00105AF9" w:rsidRPr="00F73893" w:rsidRDefault="00105AF9" w:rsidP="00450E72">
            <w:pPr>
              <w:rPr>
                <w:rFonts w:ascii="Times New Roman" w:eastAsia="Calibri" w:hAnsi="Times New Roman"/>
              </w:rPr>
            </w:pPr>
          </w:p>
        </w:tc>
      </w:tr>
      <w:tr w:rsidR="00105AF9" w:rsidRPr="00F73893" w14:paraId="38BA07D8" w14:textId="77777777" w:rsidTr="00450E72">
        <w:tc>
          <w:tcPr>
            <w:tcW w:w="2681" w:type="dxa"/>
            <w:tcBorders>
              <w:top w:val="nil"/>
              <w:bottom w:val="single" w:sz="4" w:space="0" w:color="auto"/>
            </w:tcBorders>
          </w:tcPr>
          <w:p w14:paraId="7E874991" w14:textId="77777777" w:rsidR="00105AF9" w:rsidRPr="00F73893" w:rsidRDefault="00105AF9" w:rsidP="00450E72">
            <w:pPr>
              <w:rPr>
                <w:rFonts w:ascii="Times New Roman" w:eastAsia="Calibri" w:hAnsi="Times New Roman"/>
              </w:rPr>
            </w:pPr>
            <w:r w:rsidRPr="00F73893">
              <w:rPr>
                <w:rFonts w:ascii="Times New Roman" w:eastAsia="Calibri" w:hAnsi="Times New Roman"/>
              </w:rPr>
              <w:t>VADĪTĀJS</w:t>
            </w:r>
          </w:p>
        </w:tc>
        <w:tc>
          <w:tcPr>
            <w:tcW w:w="1938" w:type="dxa"/>
          </w:tcPr>
          <w:p w14:paraId="271E3BC2" w14:textId="77777777" w:rsidR="00105AF9" w:rsidRPr="00426CE4" w:rsidRDefault="00105AF9" w:rsidP="00450E72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42B81">
              <w:rPr>
                <w:rFonts w:ascii="Times New Roman" w:eastAsia="Calibri" w:hAnsi="Times New Roman"/>
                <w:i/>
                <w:sz w:val="24"/>
                <w:szCs w:val="24"/>
              </w:rPr>
              <w:t>(paraksts)*</w:t>
            </w:r>
          </w:p>
        </w:tc>
        <w:tc>
          <w:tcPr>
            <w:tcW w:w="3603" w:type="dxa"/>
          </w:tcPr>
          <w:p w14:paraId="4DE75386" w14:textId="77777777" w:rsidR="00105AF9" w:rsidRPr="00426CE4" w:rsidRDefault="00105AF9" w:rsidP="00450E72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26CE4">
              <w:rPr>
                <w:rFonts w:ascii="Times New Roman" w:eastAsia="Calibri" w:hAnsi="Times New Roman"/>
                <w:sz w:val="24"/>
                <w:szCs w:val="24"/>
              </w:rPr>
              <w:t xml:space="preserve">               </w:t>
            </w:r>
            <w:r w:rsidRPr="00426CE4">
              <w:rPr>
                <w:rFonts w:ascii="Times New Roman" w:eastAsia="Calibri" w:hAnsi="Times New Roman"/>
                <w:i/>
                <w:sz w:val="24"/>
                <w:szCs w:val="24"/>
              </w:rPr>
              <w:t>vārds, uzvārds</w:t>
            </w:r>
          </w:p>
        </w:tc>
        <w:tc>
          <w:tcPr>
            <w:tcW w:w="1701" w:type="dxa"/>
          </w:tcPr>
          <w:p w14:paraId="3E7C118C" w14:textId="77777777" w:rsidR="00105AF9" w:rsidRPr="00426CE4" w:rsidRDefault="00105AF9" w:rsidP="00450E72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26CE4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 datums</w:t>
            </w:r>
          </w:p>
        </w:tc>
      </w:tr>
      <w:tr w:rsidR="00105AF9" w:rsidRPr="00F73893" w14:paraId="463A6A0C" w14:textId="77777777" w:rsidTr="00450E72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CBB718" w14:textId="77777777" w:rsidR="00105AF9" w:rsidRPr="00F73893" w:rsidRDefault="00105AF9" w:rsidP="00450E7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893">
              <w:rPr>
                <w:rFonts w:ascii="Times New Roman" w:eastAsia="Calibri" w:hAnsi="Times New Roman"/>
                <w:sz w:val="24"/>
                <w:szCs w:val="24"/>
              </w:rPr>
              <w:t>DARBINIEKS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14:paraId="493BF473" w14:textId="77777777" w:rsidR="00105AF9" w:rsidRPr="00F73893" w:rsidRDefault="00105AF9" w:rsidP="00450E7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3893">
              <w:rPr>
                <w:rFonts w:ascii="Times New Roman" w:eastAsia="Calibri" w:hAnsi="Times New Roman"/>
                <w:i/>
                <w:sz w:val="24"/>
                <w:szCs w:val="24"/>
              </w:rPr>
              <w:t>(paraksts)*</w:t>
            </w:r>
          </w:p>
        </w:tc>
        <w:tc>
          <w:tcPr>
            <w:tcW w:w="3603" w:type="dxa"/>
          </w:tcPr>
          <w:p w14:paraId="1C1DCCBA" w14:textId="77777777" w:rsidR="00105AF9" w:rsidRPr="00F73893" w:rsidRDefault="00105AF9" w:rsidP="00450E7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43B318" w14:textId="77777777" w:rsidR="00105AF9" w:rsidRPr="00F73893" w:rsidRDefault="00105AF9" w:rsidP="00450E7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05AF9" w:rsidRPr="00F73893" w14:paraId="364848A1" w14:textId="77777777" w:rsidTr="00450E72">
        <w:tc>
          <w:tcPr>
            <w:tcW w:w="2681" w:type="dxa"/>
            <w:tcBorders>
              <w:top w:val="nil"/>
            </w:tcBorders>
          </w:tcPr>
          <w:p w14:paraId="4A032F64" w14:textId="77777777" w:rsidR="00105AF9" w:rsidRPr="00F73893" w:rsidRDefault="00105AF9" w:rsidP="00450E7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773DF1C8" w14:textId="77777777" w:rsidR="00105AF9" w:rsidRPr="00F73893" w:rsidRDefault="00105AF9" w:rsidP="00450E7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893">
              <w:rPr>
                <w:rFonts w:ascii="Times New Roman" w:eastAsia="Calibri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603" w:type="dxa"/>
          </w:tcPr>
          <w:p w14:paraId="1E71796C" w14:textId="77777777" w:rsidR="00105AF9" w:rsidRPr="00F73893" w:rsidRDefault="00105AF9" w:rsidP="00450E72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F73893">
              <w:rPr>
                <w:rFonts w:ascii="Times New Roman" w:eastAsia="Calibri" w:hAnsi="Times New Roman"/>
                <w:sz w:val="24"/>
                <w:szCs w:val="24"/>
              </w:rPr>
              <w:t xml:space="preserve">              </w:t>
            </w:r>
            <w:r w:rsidRPr="00F73893">
              <w:rPr>
                <w:rFonts w:ascii="Times New Roman" w:eastAsia="Calibri" w:hAnsi="Times New Roman"/>
                <w:i/>
                <w:sz w:val="24"/>
                <w:szCs w:val="24"/>
              </w:rPr>
              <w:t>vārds, uzvārds</w:t>
            </w:r>
          </w:p>
        </w:tc>
        <w:tc>
          <w:tcPr>
            <w:tcW w:w="1701" w:type="dxa"/>
          </w:tcPr>
          <w:p w14:paraId="024BF024" w14:textId="77777777" w:rsidR="00105AF9" w:rsidRPr="00F73893" w:rsidRDefault="00105AF9" w:rsidP="00450E72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</w:tbl>
    <w:p w14:paraId="0E172122" w14:textId="77777777" w:rsidR="00105AF9" w:rsidRPr="00F73893" w:rsidRDefault="00105AF9" w:rsidP="00105AF9">
      <w:pPr>
        <w:spacing w:before="120"/>
        <w:rPr>
          <w:rFonts w:ascii="Times New Roman" w:eastAsia="Calibri" w:hAnsi="Times New Roman" w:cs="Times New Roman"/>
          <w:sz w:val="24"/>
          <w:szCs w:val="24"/>
        </w:rPr>
      </w:pPr>
      <w:r w:rsidRPr="00F73893">
        <w:rPr>
          <w:rFonts w:ascii="Times New Roman" w:eastAsia="Calibri" w:hAnsi="Times New Roman" w:cs="Times New Roman"/>
          <w:sz w:val="24"/>
          <w:szCs w:val="24"/>
        </w:rPr>
        <w:t>*Dokuments parakstīts ar drošu elektronisko parakstu un satur laika zīmogu.</w:t>
      </w:r>
    </w:p>
    <w:bookmarkEnd w:id="0"/>
    <w:p w14:paraId="4F75E10C" w14:textId="77777777" w:rsidR="00877F7B" w:rsidRPr="00877F7B" w:rsidRDefault="00877F7B" w:rsidP="00877F7B">
      <w:pPr>
        <w:rPr>
          <w:rFonts w:ascii="Times New Roman" w:hAnsi="Times New Roman" w:cs="Times New Roman"/>
          <w:sz w:val="24"/>
          <w:szCs w:val="24"/>
        </w:rPr>
      </w:pPr>
    </w:p>
    <w:sectPr w:rsidR="00877F7B" w:rsidRPr="00877F7B" w:rsidSect="00105AF9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3DD91" w14:textId="77777777" w:rsidR="00105AF9" w:rsidRDefault="00105AF9" w:rsidP="00105AF9">
      <w:pPr>
        <w:spacing w:after="0" w:line="240" w:lineRule="auto"/>
      </w:pPr>
      <w:r>
        <w:separator/>
      </w:r>
    </w:p>
  </w:endnote>
  <w:endnote w:type="continuationSeparator" w:id="0">
    <w:p w14:paraId="0D0A7008" w14:textId="77777777" w:rsidR="00105AF9" w:rsidRDefault="00105AF9" w:rsidP="0010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83346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ADA954" w14:textId="5FF1A669" w:rsidR="00105AF9" w:rsidRDefault="00105A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F20420" w14:textId="77777777" w:rsidR="00105AF9" w:rsidRDefault="00105A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75F9F" w14:textId="77777777" w:rsidR="00105AF9" w:rsidRDefault="00105AF9" w:rsidP="00105AF9">
      <w:pPr>
        <w:spacing w:after="0" w:line="240" w:lineRule="auto"/>
      </w:pPr>
      <w:r>
        <w:separator/>
      </w:r>
    </w:p>
  </w:footnote>
  <w:footnote w:type="continuationSeparator" w:id="0">
    <w:p w14:paraId="64985604" w14:textId="77777777" w:rsidR="00105AF9" w:rsidRDefault="00105AF9" w:rsidP="00105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0CC"/>
    <w:multiLevelType w:val="multilevel"/>
    <w:tmpl w:val="92AE8F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B46CEE"/>
    <w:multiLevelType w:val="hybridMultilevel"/>
    <w:tmpl w:val="85048E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B55C4"/>
    <w:multiLevelType w:val="multilevel"/>
    <w:tmpl w:val="52005B4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  <w:sz w:val="20"/>
      </w:rPr>
    </w:lvl>
  </w:abstractNum>
  <w:abstractNum w:abstractNumId="3" w15:restartNumberingAfterBreak="0">
    <w:nsid w:val="1AC8122E"/>
    <w:multiLevelType w:val="hybridMultilevel"/>
    <w:tmpl w:val="3C340DC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40634C6"/>
    <w:multiLevelType w:val="hybridMultilevel"/>
    <w:tmpl w:val="889C6C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B289B"/>
    <w:multiLevelType w:val="hybridMultilevel"/>
    <w:tmpl w:val="F4C6F0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E4CF8"/>
    <w:multiLevelType w:val="multilevel"/>
    <w:tmpl w:val="090A15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A4B05CA"/>
    <w:multiLevelType w:val="hybridMultilevel"/>
    <w:tmpl w:val="9D7046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375FA"/>
    <w:multiLevelType w:val="multilevel"/>
    <w:tmpl w:val="F02EB648"/>
    <w:lvl w:ilvl="0">
      <w:start w:val="1"/>
      <w:numFmt w:val="decimal"/>
      <w:lvlText w:val="5.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7CC31194"/>
    <w:multiLevelType w:val="hybridMultilevel"/>
    <w:tmpl w:val="F7F40B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231665">
    <w:abstractNumId w:val="8"/>
  </w:num>
  <w:num w:numId="2" w16cid:durableId="1063219498">
    <w:abstractNumId w:val="2"/>
    <w:lvlOverride w:ilvl="0">
      <w:startOverride w:val="1"/>
    </w:lvlOverride>
  </w:num>
  <w:num w:numId="3" w16cid:durableId="1361660120">
    <w:abstractNumId w:val="6"/>
  </w:num>
  <w:num w:numId="4" w16cid:durableId="1173490498">
    <w:abstractNumId w:val="0"/>
  </w:num>
  <w:num w:numId="5" w16cid:durableId="1046880215">
    <w:abstractNumId w:val="4"/>
  </w:num>
  <w:num w:numId="6" w16cid:durableId="2039962075">
    <w:abstractNumId w:val="5"/>
  </w:num>
  <w:num w:numId="7" w16cid:durableId="1995333909">
    <w:abstractNumId w:val="9"/>
  </w:num>
  <w:num w:numId="8" w16cid:durableId="554004702">
    <w:abstractNumId w:val="3"/>
  </w:num>
  <w:num w:numId="9" w16cid:durableId="453864745">
    <w:abstractNumId w:val="1"/>
  </w:num>
  <w:num w:numId="10" w16cid:durableId="2998419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FFD"/>
    <w:rsid w:val="00036B3B"/>
    <w:rsid w:val="00061D3B"/>
    <w:rsid w:val="000F5CF7"/>
    <w:rsid w:val="001035AB"/>
    <w:rsid w:val="00105AF9"/>
    <w:rsid w:val="00134228"/>
    <w:rsid w:val="001365B7"/>
    <w:rsid w:val="001368AA"/>
    <w:rsid w:val="00200871"/>
    <w:rsid w:val="00213B30"/>
    <w:rsid w:val="00257620"/>
    <w:rsid w:val="00271752"/>
    <w:rsid w:val="002C3C29"/>
    <w:rsid w:val="0032183D"/>
    <w:rsid w:val="00323489"/>
    <w:rsid w:val="00334913"/>
    <w:rsid w:val="003365AF"/>
    <w:rsid w:val="00343FB8"/>
    <w:rsid w:val="003624C5"/>
    <w:rsid w:val="003C12CD"/>
    <w:rsid w:val="00474375"/>
    <w:rsid w:val="00485FFD"/>
    <w:rsid w:val="004A074A"/>
    <w:rsid w:val="004C5606"/>
    <w:rsid w:val="004E610C"/>
    <w:rsid w:val="00512D0C"/>
    <w:rsid w:val="00513C18"/>
    <w:rsid w:val="00517373"/>
    <w:rsid w:val="00540FC8"/>
    <w:rsid w:val="00541DF6"/>
    <w:rsid w:val="00574CA5"/>
    <w:rsid w:val="005A2459"/>
    <w:rsid w:val="005A482B"/>
    <w:rsid w:val="005C098F"/>
    <w:rsid w:val="005C253B"/>
    <w:rsid w:val="005C2988"/>
    <w:rsid w:val="005E39AE"/>
    <w:rsid w:val="005E5CA1"/>
    <w:rsid w:val="005F18F8"/>
    <w:rsid w:val="006223B8"/>
    <w:rsid w:val="006533B2"/>
    <w:rsid w:val="00693281"/>
    <w:rsid w:val="006C0896"/>
    <w:rsid w:val="00711B1E"/>
    <w:rsid w:val="007635D6"/>
    <w:rsid w:val="0076656C"/>
    <w:rsid w:val="00773177"/>
    <w:rsid w:val="007E2CAE"/>
    <w:rsid w:val="007E36F2"/>
    <w:rsid w:val="00811A30"/>
    <w:rsid w:val="00851BEF"/>
    <w:rsid w:val="00877F7B"/>
    <w:rsid w:val="008843C2"/>
    <w:rsid w:val="00885370"/>
    <w:rsid w:val="00886181"/>
    <w:rsid w:val="0089582A"/>
    <w:rsid w:val="008C2A73"/>
    <w:rsid w:val="008D60E2"/>
    <w:rsid w:val="008E221E"/>
    <w:rsid w:val="00915E91"/>
    <w:rsid w:val="00937885"/>
    <w:rsid w:val="00944A65"/>
    <w:rsid w:val="009A736D"/>
    <w:rsid w:val="009B3077"/>
    <w:rsid w:val="009F156F"/>
    <w:rsid w:val="009F3DEB"/>
    <w:rsid w:val="00A41E38"/>
    <w:rsid w:val="00A47653"/>
    <w:rsid w:val="00A80379"/>
    <w:rsid w:val="00AB59F5"/>
    <w:rsid w:val="00AB6EE7"/>
    <w:rsid w:val="00AC0EF1"/>
    <w:rsid w:val="00B26DB6"/>
    <w:rsid w:val="00BB3033"/>
    <w:rsid w:val="00BD67F6"/>
    <w:rsid w:val="00BD6DEE"/>
    <w:rsid w:val="00C1299F"/>
    <w:rsid w:val="00C14E85"/>
    <w:rsid w:val="00C15DDE"/>
    <w:rsid w:val="00C250AC"/>
    <w:rsid w:val="00C40CB5"/>
    <w:rsid w:val="00C531DC"/>
    <w:rsid w:val="00C55F5C"/>
    <w:rsid w:val="00C63155"/>
    <w:rsid w:val="00C9377D"/>
    <w:rsid w:val="00CE7ED7"/>
    <w:rsid w:val="00CF4098"/>
    <w:rsid w:val="00D800B8"/>
    <w:rsid w:val="00DA31E5"/>
    <w:rsid w:val="00E36E28"/>
    <w:rsid w:val="00E572EB"/>
    <w:rsid w:val="00E65C7A"/>
    <w:rsid w:val="00EE466C"/>
    <w:rsid w:val="00F04BB8"/>
    <w:rsid w:val="00F30DBC"/>
    <w:rsid w:val="00F43854"/>
    <w:rsid w:val="00F53359"/>
    <w:rsid w:val="00F8191D"/>
    <w:rsid w:val="00FA02A1"/>
    <w:rsid w:val="00FA5808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1CF6"/>
  <w15:docId w15:val="{BF0217AE-222E-40B8-901F-FD0A3A38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D3B"/>
  </w:style>
  <w:style w:type="paragraph" w:styleId="Heading1">
    <w:name w:val="heading 1"/>
    <w:basedOn w:val="Normal"/>
    <w:next w:val="Normal"/>
    <w:link w:val="Heading1Char"/>
    <w:uiPriority w:val="99"/>
    <w:qFormat/>
    <w:rsid w:val="00061D3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D3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D3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D3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D3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D3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D3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D3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D3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1D3B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D3B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D3B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D3B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D3B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D3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D3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D3B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D3B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061D3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061D3B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D3B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D3B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061D3B"/>
    <w:rPr>
      <w:b/>
      <w:bCs/>
    </w:rPr>
  </w:style>
  <w:style w:type="character" w:styleId="Emphasis">
    <w:name w:val="Emphasis"/>
    <w:uiPriority w:val="20"/>
    <w:qFormat/>
    <w:rsid w:val="00061D3B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061D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1D3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61D3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61D3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D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D3B"/>
    <w:rPr>
      <w:i/>
      <w:iCs/>
    </w:rPr>
  </w:style>
  <w:style w:type="character" w:styleId="SubtleEmphasis">
    <w:name w:val="Subtle Emphasis"/>
    <w:uiPriority w:val="19"/>
    <w:qFormat/>
    <w:rsid w:val="00061D3B"/>
    <w:rPr>
      <w:i/>
      <w:iCs/>
    </w:rPr>
  </w:style>
  <w:style w:type="character" w:styleId="IntenseEmphasis">
    <w:name w:val="Intense Emphasis"/>
    <w:uiPriority w:val="21"/>
    <w:qFormat/>
    <w:rsid w:val="00061D3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1D3B"/>
    <w:rPr>
      <w:smallCaps/>
    </w:rPr>
  </w:style>
  <w:style w:type="character" w:styleId="IntenseReference">
    <w:name w:val="Intense Reference"/>
    <w:uiPriority w:val="32"/>
    <w:qFormat/>
    <w:rsid w:val="00061D3B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061D3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1D3B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CE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2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05AF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5A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AF9"/>
  </w:style>
  <w:style w:type="paragraph" w:styleId="Footer">
    <w:name w:val="footer"/>
    <w:basedOn w:val="Normal"/>
    <w:link w:val="FooterChar"/>
    <w:uiPriority w:val="99"/>
    <w:unhideWhenUsed/>
    <w:rsid w:val="00105A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5187</Words>
  <Characters>2958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Finanšu ministrija</Company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pn-krisa</dc:creator>
  <cp:keywords/>
  <dc:description/>
  <cp:lastModifiedBy>Baiba Tisenkopfa</cp:lastModifiedBy>
  <cp:revision>8</cp:revision>
  <cp:lastPrinted>2018-06-12T08:02:00Z</cp:lastPrinted>
  <dcterms:created xsi:type="dcterms:W3CDTF">2018-05-30T09:46:00Z</dcterms:created>
  <dcterms:modified xsi:type="dcterms:W3CDTF">2022-07-13T10:26:00Z</dcterms:modified>
</cp:coreProperties>
</file>