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51250" w14:textId="082B4143" w:rsidR="00136FF3" w:rsidRDefault="007D42C0" w:rsidP="007D42C0">
      <w:pPr>
        <w:jc w:val="center"/>
        <w:rPr>
          <w:b/>
          <w:bCs/>
        </w:rPr>
      </w:pPr>
      <w:r w:rsidRPr="007D42C0">
        <w:rPr>
          <w:b/>
          <w:bCs/>
        </w:rPr>
        <w:t>Finansējuma pārdales  - iesaistīt</w:t>
      </w:r>
      <w:r w:rsidR="00747DD7">
        <w:rPr>
          <w:b/>
          <w:bCs/>
        </w:rPr>
        <w:t>ā</w:t>
      </w:r>
      <w:r w:rsidRPr="007D42C0">
        <w:rPr>
          <w:b/>
          <w:bCs/>
        </w:rPr>
        <w:t>s puses (no 2027.gada)</w:t>
      </w:r>
    </w:p>
    <w:p w14:paraId="3198FF8F" w14:textId="6262FCD9" w:rsidR="006A31F4" w:rsidRPr="00747DD7" w:rsidRDefault="006A31F4" w:rsidP="007D42C0">
      <w:pPr>
        <w:jc w:val="center"/>
        <w:rPr>
          <w:i/>
          <w:iCs/>
        </w:rPr>
      </w:pPr>
      <w:r w:rsidRPr="00747DD7">
        <w:rPr>
          <w:i/>
          <w:iCs/>
        </w:rPr>
        <w:t xml:space="preserve">Lietota pašreizējā LBFV </w:t>
      </w:r>
      <w:r w:rsidR="0065182A">
        <w:rPr>
          <w:i/>
          <w:iCs/>
        </w:rPr>
        <w:t>izmantotā</w:t>
      </w:r>
      <w:r w:rsidRPr="00747DD7">
        <w:rPr>
          <w:i/>
          <w:iCs/>
        </w:rPr>
        <w:t xml:space="preserve"> terminoloģija – jomas, programmas/apak</w:t>
      </w:r>
      <w:r>
        <w:rPr>
          <w:i/>
          <w:iCs/>
        </w:rPr>
        <w:t>š</w:t>
      </w:r>
      <w:r w:rsidRPr="00747DD7">
        <w:rPr>
          <w:i/>
          <w:iCs/>
        </w:rPr>
        <w:t>programmas</w:t>
      </w:r>
    </w:p>
    <w:tbl>
      <w:tblPr>
        <w:tblStyle w:val="TableGrid"/>
        <w:tblW w:w="15497" w:type="dxa"/>
        <w:tblInd w:w="-760" w:type="dxa"/>
        <w:tblLook w:val="04A0" w:firstRow="1" w:lastRow="0" w:firstColumn="1" w:lastColumn="0" w:noHBand="0" w:noVBand="1"/>
      </w:tblPr>
      <w:tblGrid>
        <w:gridCol w:w="1827"/>
        <w:gridCol w:w="1264"/>
        <w:gridCol w:w="986"/>
        <w:gridCol w:w="1379"/>
        <w:gridCol w:w="965"/>
        <w:gridCol w:w="1129"/>
        <w:gridCol w:w="1171"/>
        <w:gridCol w:w="6776"/>
      </w:tblGrid>
      <w:tr w:rsidR="00E03429" w:rsidRPr="001D3077" w14:paraId="2EC2C2F3" w14:textId="1F1D1AF0" w:rsidTr="00BC21DD">
        <w:trPr>
          <w:tblHeader/>
        </w:trPr>
        <w:tc>
          <w:tcPr>
            <w:tcW w:w="1827" w:type="dxa"/>
            <w:vAlign w:val="center"/>
          </w:tcPr>
          <w:p w14:paraId="7602DB5E" w14:textId="344CD2A0" w:rsidR="00E03429" w:rsidRPr="00747DD7" w:rsidRDefault="00E03429" w:rsidP="00136FF3">
            <w:pPr>
              <w:rPr>
                <w:b/>
                <w:bCs/>
              </w:rPr>
            </w:pPr>
            <w:r w:rsidRPr="00747DD7">
              <w:rPr>
                <w:b/>
                <w:bCs/>
                <w:sz w:val="20"/>
                <w:szCs w:val="20"/>
              </w:rPr>
              <w:t> </w:t>
            </w:r>
            <w:r w:rsidR="0065182A">
              <w:rPr>
                <w:b/>
                <w:bCs/>
                <w:sz w:val="20"/>
                <w:szCs w:val="20"/>
              </w:rPr>
              <w:t>Veids</w:t>
            </w:r>
          </w:p>
        </w:tc>
        <w:tc>
          <w:tcPr>
            <w:tcW w:w="1264" w:type="dxa"/>
            <w:vAlign w:val="center"/>
          </w:tcPr>
          <w:p w14:paraId="66A6AC04" w14:textId="246E5665" w:rsidR="00E03429" w:rsidRPr="00747DD7" w:rsidRDefault="00E03429" w:rsidP="00747DD7">
            <w:pPr>
              <w:jc w:val="center"/>
              <w:rPr>
                <w:b/>
                <w:bCs/>
              </w:rPr>
            </w:pPr>
            <w:r w:rsidRPr="00747DD7">
              <w:rPr>
                <w:b/>
                <w:bCs/>
                <w:sz w:val="20"/>
                <w:szCs w:val="20"/>
              </w:rPr>
              <w:t>Saeima</w:t>
            </w:r>
          </w:p>
        </w:tc>
        <w:tc>
          <w:tcPr>
            <w:tcW w:w="986" w:type="dxa"/>
            <w:vAlign w:val="center"/>
          </w:tcPr>
          <w:p w14:paraId="232213DC" w14:textId="37F534E9" w:rsidR="00E03429" w:rsidRPr="00747DD7" w:rsidRDefault="00E03429" w:rsidP="00747DD7">
            <w:pPr>
              <w:jc w:val="center"/>
              <w:rPr>
                <w:b/>
                <w:bCs/>
              </w:rPr>
            </w:pPr>
            <w:r w:rsidRPr="00747DD7">
              <w:rPr>
                <w:b/>
                <w:bCs/>
                <w:sz w:val="20"/>
                <w:szCs w:val="20"/>
              </w:rPr>
              <w:t>Budžeta komisija</w:t>
            </w:r>
          </w:p>
        </w:tc>
        <w:tc>
          <w:tcPr>
            <w:tcW w:w="1379" w:type="dxa"/>
            <w:vAlign w:val="center"/>
          </w:tcPr>
          <w:p w14:paraId="6D60A2CE" w14:textId="54FBAEC7" w:rsidR="00E03429" w:rsidRPr="00747DD7" w:rsidRDefault="00E03429" w:rsidP="00747DD7">
            <w:pPr>
              <w:jc w:val="center"/>
              <w:rPr>
                <w:b/>
                <w:bCs/>
              </w:rPr>
            </w:pPr>
            <w:r w:rsidRPr="00747DD7">
              <w:rPr>
                <w:b/>
                <w:bCs/>
                <w:sz w:val="20"/>
                <w:szCs w:val="20"/>
              </w:rPr>
              <w:t>Ministru kabinets</w:t>
            </w:r>
          </w:p>
        </w:tc>
        <w:tc>
          <w:tcPr>
            <w:tcW w:w="965" w:type="dxa"/>
            <w:vAlign w:val="center"/>
          </w:tcPr>
          <w:p w14:paraId="2F52A868" w14:textId="566CE3DB" w:rsidR="00E03429" w:rsidRPr="00747DD7" w:rsidRDefault="00E03429" w:rsidP="00747DD7">
            <w:pPr>
              <w:jc w:val="center"/>
              <w:rPr>
                <w:b/>
                <w:bCs/>
              </w:rPr>
            </w:pPr>
            <w:r w:rsidRPr="00747DD7">
              <w:rPr>
                <w:b/>
                <w:bCs/>
                <w:sz w:val="20"/>
                <w:szCs w:val="20"/>
              </w:rPr>
              <w:t>Finanšu ministrs</w:t>
            </w:r>
          </w:p>
        </w:tc>
        <w:tc>
          <w:tcPr>
            <w:tcW w:w="1129" w:type="dxa"/>
            <w:vAlign w:val="center"/>
          </w:tcPr>
          <w:p w14:paraId="11136318" w14:textId="2A6E210D" w:rsidR="00E03429" w:rsidRPr="00747DD7" w:rsidRDefault="00E03429" w:rsidP="00747DD7">
            <w:pPr>
              <w:jc w:val="center"/>
              <w:rPr>
                <w:b/>
                <w:bCs/>
              </w:rPr>
            </w:pPr>
            <w:r w:rsidRPr="00747DD7">
              <w:rPr>
                <w:b/>
                <w:bCs/>
                <w:sz w:val="20"/>
                <w:szCs w:val="20"/>
              </w:rPr>
              <w:t>Nozares ministrs</w:t>
            </w:r>
          </w:p>
        </w:tc>
        <w:tc>
          <w:tcPr>
            <w:tcW w:w="1171" w:type="dxa"/>
          </w:tcPr>
          <w:p w14:paraId="012BA93F" w14:textId="18888D41" w:rsidR="00E03429" w:rsidRPr="00747DD7" w:rsidRDefault="00E03429" w:rsidP="00136FF3">
            <w:pPr>
              <w:rPr>
                <w:b/>
                <w:bCs/>
                <w:sz w:val="20"/>
                <w:szCs w:val="20"/>
              </w:rPr>
            </w:pPr>
            <w:r w:rsidRPr="00747DD7">
              <w:rPr>
                <w:b/>
                <w:bCs/>
                <w:sz w:val="20"/>
                <w:szCs w:val="20"/>
              </w:rPr>
              <w:t>LBFV pants</w:t>
            </w:r>
          </w:p>
        </w:tc>
        <w:tc>
          <w:tcPr>
            <w:tcW w:w="6776" w:type="dxa"/>
          </w:tcPr>
          <w:p w14:paraId="3A9F2EF2" w14:textId="71E0CDE9" w:rsidR="00E03429" w:rsidRPr="00747DD7" w:rsidRDefault="007D42C0" w:rsidP="00136FF3">
            <w:pPr>
              <w:rPr>
                <w:b/>
                <w:bCs/>
                <w:color w:val="FF0000"/>
                <w:sz w:val="20"/>
                <w:szCs w:val="20"/>
              </w:rPr>
            </w:pPr>
            <w:r w:rsidRPr="00747DD7">
              <w:rPr>
                <w:b/>
                <w:bCs/>
                <w:sz w:val="20"/>
                <w:szCs w:val="20"/>
              </w:rPr>
              <w:t>Panta/daļas teksts</w:t>
            </w:r>
          </w:p>
        </w:tc>
      </w:tr>
      <w:tr w:rsidR="00E03429" w14:paraId="1C0F2CF6" w14:textId="07D8D7E1" w:rsidTr="00BC21DD">
        <w:tc>
          <w:tcPr>
            <w:tcW w:w="1827" w:type="dxa"/>
            <w:vAlign w:val="center"/>
          </w:tcPr>
          <w:p w14:paraId="70B185AB" w14:textId="5DF6B70E" w:rsidR="00E03429" w:rsidRDefault="00E03429" w:rsidP="00136FF3">
            <w:r w:rsidRPr="00577569">
              <w:rPr>
                <w:sz w:val="20"/>
                <w:szCs w:val="20"/>
              </w:rPr>
              <w:t>Līdzekļu sadale pa resoriem un jomām un izmaiņas</w:t>
            </w:r>
          </w:p>
        </w:tc>
        <w:tc>
          <w:tcPr>
            <w:tcW w:w="1264" w:type="dxa"/>
            <w:vAlign w:val="center"/>
          </w:tcPr>
          <w:p w14:paraId="6561F225" w14:textId="5CD96AED" w:rsidR="00E03429" w:rsidRDefault="00E03429" w:rsidP="00747DD7">
            <w:pPr>
              <w:jc w:val="center"/>
            </w:pPr>
            <w:r w:rsidRPr="00577569">
              <w:rPr>
                <w:sz w:val="20"/>
                <w:szCs w:val="20"/>
              </w:rPr>
              <w:t>x</w:t>
            </w:r>
          </w:p>
        </w:tc>
        <w:tc>
          <w:tcPr>
            <w:tcW w:w="986" w:type="dxa"/>
            <w:vAlign w:val="center"/>
          </w:tcPr>
          <w:p w14:paraId="79936D8C" w14:textId="677F3EBC" w:rsidR="00E03429" w:rsidRDefault="00E03429" w:rsidP="00747DD7">
            <w:pPr>
              <w:jc w:val="center"/>
            </w:pPr>
          </w:p>
        </w:tc>
        <w:tc>
          <w:tcPr>
            <w:tcW w:w="1379" w:type="dxa"/>
            <w:vAlign w:val="center"/>
          </w:tcPr>
          <w:p w14:paraId="27DE9A95" w14:textId="2C864955" w:rsidR="00E03429" w:rsidRDefault="00E03429" w:rsidP="00747DD7">
            <w:pPr>
              <w:jc w:val="center"/>
            </w:pPr>
            <w:r w:rsidRPr="00577569">
              <w:rPr>
                <w:sz w:val="20"/>
                <w:szCs w:val="20"/>
              </w:rPr>
              <w:t>x</w:t>
            </w:r>
          </w:p>
        </w:tc>
        <w:tc>
          <w:tcPr>
            <w:tcW w:w="965" w:type="dxa"/>
            <w:vAlign w:val="center"/>
          </w:tcPr>
          <w:p w14:paraId="21DD1063" w14:textId="1796AA43" w:rsidR="00E03429" w:rsidRDefault="00E03429" w:rsidP="00747DD7">
            <w:pPr>
              <w:jc w:val="center"/>
            </w:pPr>
          </w:p>
        </w:tc>
        <w:tc>
          <w:tcPr>
            <w:tcW w:w="1129" w:type="dxa"/>
            <w:vAlign w:val="center"/>
          </w:tcPr>
          <w:p w14:paraId="38CA59AB" w14:textId="0A0E7867" w:rsidR="00E03429" w:rsidRDefault="00E03429" w:rsidP="00747DD7">
            <w:pPr>
              <w:jc w:val="center"/>
            </w:pPr>
          </w:p>
        </w:tc>
        <w:tc>
          <w:tcPr>
            <w:tcW w:w="1171" w:type="dxa"/>
          </w:tcPr>
          <w:p w14:paraId="4B913D8B" w14:textId="77777777" w:rsidR="007D42C0" w:rsidRDefault="007D42C0" w:rsidP="00E03429">
            <w:pPr>
              <w:rPr>
                <w:sz w:val="20"/>
                <w:szCs w:val="20"/>
              </w:rPr>
            </w:pPr>
            <w:r>
              <w:rPr>
                <w:sz w:val="20"/>
                <w:szCs w:val="20"/>
              </w:rPr>
              <w:t>9.(1)</w:t>
            </w:r>
          </w:p>
          <w:p w14:paraId="4496D3D7" w14:textId="77777777" w:rsidR="007D42C0" w:rsidRDefault="007D42C0" w:rsidP="00E03429">
            <w:pPr>
              <w:rPr>
                <w:sz w:val="20"/>
                <w:szCs w:val="20"/>
              </w:rPr>
            </w:pPr>
          </w:p>
          <w:p w14:paraId="4E0F8591" w14:textId="77777777" w:rsidR="007D42C0" w:rsidRDefault="007D42C0" w:rsidP="00E03429">
            <w:pPr>
              <w:rPr>
                <w:sz w:val="20"/>
                <w:szCs w:val="20"/>
              </w:rPr>
            </w:pPr>
          </w:p>
          <w:p w14:paraId="745507E9" w14:textId="77777777" w:rsidR="007D42C0" w:rsidRDefault="007D42C0" w:rsidP="00E03429">
            <w:pPr>
              <w:rPr>
                <w:sz w:val="20"/>
                <w:szCs w:val="20"/>
              </w:rPr>
            </w:pPr>
          </w:p>
          <w:p w14:paraId="602C0F53" w14:textId="77777777" w:rsidR="007D42C0" w:rsidRDefault="007D42C0" w:rsidP="00E03429">
            <w:pPr>
              <w:rPr>
                <w:sz w:val="20"/>
                <w:szCs w:val="20"/>
              </w:rPr>
            </w:pPr>
          </w:p>
          <w:p w14:paraId="5C9F9235" w14:textId="26F7F9C3" w:rsidR="007D42C0" w:rsidRDefault="007D42C0" w:rsidP="00E03429">
            <w:pPr>
              <w:rPr>
                <w:sz w:val="20"/>
                <w:szCs w:val="20"/>
              </w:rPr>
            </w:pPr>
            <w:r>
              <w:rPr>
                <w:sz w:val="20"/>
                <w:szCs w:val="20"/>
              </w:rPr>
              <w:t>9.(15)</w:t>
            </w:r>
          </w:p>
          <w:p w14:paraId="79E68251" w14:textId="2473B1A1" w:rsidR="00E03429" w:rsidRPr="00136FF3" w:rsidRDefault="00E03429" w:rsidP="00E03429">
            <w:pPr>
              <w:rPr>
                <w:sz w:val="20"/>
                <w:szCs w:val="20"/>
              </w:rPr>
            </w:pPr>
          </w:p>
        </w:tc>
        <w:tc>
          <w:tcPr>
            <w:tcW w:w="6776" w:type="dxa"/>
          </w:tcPr>
          <w:p w14:paraId="4F908897" w14:textId="3F6B5C57" w:rsidR="007D42C0" w:rsidRDefault="007D42C0" w:rsidP="00B837D8">
            <w:pPr>
              <w:rPr>
                <w:sz w:val="20"/>
                <w:szCs w:val="20"/>
              </w:rPr>
            </w:pPr>
            <w:r w:rsidRPr="007D42C0">
              <w:rPr>
                <w:sz w:val="20"/>
                <w:szCs w:val="20"/>
              </w:rPr>
              <w:t xml:space="preserve">(1) Valsts budžeta apropriācijas nosaka valsts budžeta likums. Valsts budžeta likumā apropriācijas iedala (strukturē) atbilstoši ministriju un citu centrālo valsts iestāžu politikas un darbības jomām. Politikas un darbības jomu sadala valsts pamatfunkciju īstenošanas daļā un Eiropas Savienības politiku instrumentu un pārējās ārvalstu finanšu palīdzības līdzfinansēto projektu un pasākumu īstenošanas daļā. </w:t>
            </w:r>
          </w:p>
          <w:p w14:paraId="24DE7DAD" w14:textId="720EFEE7" w:rsidR="00E03429" w:rsidRDefault="007D42C0" w:rsidP="00B837D8">
            <w:pPr>
              <w:rPr>
                <w:sz w:val="20"/>
                <w:szCs w:val="20"/>
              </w:rPr>
            </w:pPr>
            <w:r w:rsidRPr="007D42C0">
              <w:rPr>
                <w:sz w:val="20"/>
                <w:szCs w:val="20"/>
              </w:rPr>
              <w:t>(15) Finanšu ministram ir tiesības veikt apropriācijas pārdali starp ministrijām un citām centrālajām valsts iestādēm, tai skaitā funkciju pārdales vai strukturālo reformu gadījumos, kā arī starp vienas ministrijas vai citas centrālās valsts iestādes politikas un darbības jomām, ja ir pieņemts Ministru kabineta lēmums un Saeima ar atsevišķu lēmumu piekritusi šādai pārdalei.</w:t>
            </w:r>
          </w:p>
        </w:tc>
      </w:tr>
      <w:tr w:rsidR="00E03429" w14:paraId="2C251FBD" w14:textId="06880C66" w:rsidTr="00BC21DD">
        <w:tc>
          <w:tcPr>
            <w:tcW w:w="1827" w:type="dxa"/>
            <w:vAlign w:val="center"/>
          </w:tcPr>
          <w:p w14:paraId="0BDF7146" w14:textId="137C5129" w:rsidR="00E03429" w:rsidRDefault="00E03429" w:rsidP="00136FF3">
            <w:r w:rsidRPr="00577569">
              <w:rPr>
                <w:sz w:val="20"/>
                <w:szCs w:val="20"/>
              </w:rPr>
              <w:t>Līdzekļu pārdale jomas ietvaros no I uz II bloku</w:t>
            </w:r>
          </w:p>
        </w:tc>
        <w:tc>
          <w:tcPr>
            <w:tcW w:w="1264" w:type="dxa"/>
            <w:vAlign w:val="center"/>
          </w:tcPr>
          <w:p w14:paraId="1609336B" w14:textId="682DB366" w:rsidR="00E03429" w:rsidRDefault="00E03429" w:rsidP="00747DD7">
            <w:pPr>
              <w:jc w:val="center"/>
            </w:pPr>
            <w:r w:rsidRPr="00577569">
              <w:rPr>
                <w:sz w:val="20"/>
                <w:szCs w:val="20"/>
              </w:rPr>
              <w:t>informē</w:t>
            </w:r>
          </w:p>
        </w:tc>
        <w:tc>
          <w:tcPr>
            <w:tcW w:w="986" w:type="dxa"/>
            <w:vAlign w:val="center"/>
          </w:tcPr>
          <w:p w14:paraId="7A06510E" w14:textId="77777777" w:rsidR="00E03429" w:rsidRDefault="00E03429" w:rsidP="00747DD7">
            <w:pPr>
              <w:jc w:val="center"/>
            </w:pPr>
          </w:p>
        </w:tc>
        <w:tc>
          <w:tcPr>
            <w:tcW w:w="1379" w:type="dxa"/>
            <w:vAlign w:val="center"/>
          </w:tcPr>
          <w:p w14:paraId="5F608756" w14:textId="77777777" w:rsidR="00E03429" w:rsidRDefault="00E03429" w:rsidP="00747DD7">
            <w:pPr>
              <w:jc w:val="center"/>
            </w:pPr>
          </w:p>
        </w:tc>
        <w:tc>
          <w:tcPr>
            <w:tcW w:w="965" w:type="dxa"/>
            <w:vAlign w:val="center"/>
          </w:tcPr>
          <w:p w14:paraId="1534D4D2" w14:textId="41BF4FEC" w:rsidR="00E03429" w:rsidRDefault="00E03429" w:rsidP="00747DD7">
            <w:pPr>
              <w:jc w:val="center"/>
            </w:pPr>
            <w:r w:rsidRPr="00577569">
              <w:rPr>
                <w:sz w:val="20"/>
                <w:szCs w:val="20"/>
              </w:rPr>
              <w:t>x</w:t>
            </w:r>
          </w:p>
        </w:tc>
        <w:tc>
          <w:tcPr>
            <w:tcW w:w="1129" w:type="dxa"/>
            <w:vAlign w:val="center"/>
          </w:tcPr>
          <w:p w14:paraId="26D54951" w14:textId="3C4841CC" w:rsidR="00E03429" w:rsidRDefault="00E03429" w:rsidP="00747DD7">
            <w:pPr>
              <w:jc w:val="center"/>
            </w:pPr>
          </w:p>
        </w:tc>
        <w:tc>
          <w:tcPr>
            <w:tcW w:w="1171" w:type="dxa"/>
          </w:tcPr>
          <w:p w14:paraId="0F92BE17" w14:textId="3321F9D3" w:rsidR="00E03429" w:rsidRPr="00577569" w:rsidRDefault="00EC3611" w:rsidP="00136FF3">
            <w:pPr>
              <w:rPr>
                <w:sz w:val="20"/>
                <w:szCs w:val="20"/>
              </w:rPr>
            </w:pPr>
            <w:r w:rsidRPr="00B837D8">
              <w:rPr>
                <w:sz w:val="20"/>
                <w:szCs w:val="20"/>
              </w:rPr>
              <w:t>9.(</w:t>
            </w:r>
            <w:r w:rsidR="006A31F4">
              <w:rPr>
                <w:sz w:val="20"/>
                <w:szCs w:val="20"/>
              </w:rPr>
              <w:t>1</w:t>
            </w:r>
            <w:r w:rsidRPr="00B837D8">
              <w:rPr>
                <w:sz w:val="20"/>
                <w:szCs w:val="20"/>
              </w:rPr>
              <w:t>3</w:t>
            </w:r>
            <w:r w:rsidR="006A31F4">
              <w:rPr>
                <w:sz w:val="20"/>
                <w:szCs w:val="20"/>
                <w:vertAlign w:val="superscript"/>
              </w:rPr>
              <w:t>5</w:t>
            </w:r>
            <w:r w:rsidR="006A31F4">
              <w:rPr>
                <w:sz w:val="20"/>
                <w:szCs w:val="20"/>
              </w:rPr>
              <w:t xml:space="preserve"> 5.p</w:t>
            </w:r>
            <w:r w:rsidRPr="00B837D8">
              <w:rPr>
                <w:sz w:val="20"/>
                <w:szCs w:val="20"/>
              </w:rPr>
              <w:t>)</w:t>
            </w:r>
          </w:p>
        </w:tc>
        <w:tc>
          <w:tcPr>
            <w:tcW w:w="6776" w:type="dxa"/>
          </w:tcPr>
          <w:p w14:paraId="2C178C2F" w14:textId="77777777" w:rsidR="006A31F4" w:rsidRDefault="006A31F4" w:rsidP="00136FF3">
            <w:pPr>
              <w:rPr>
                <w:sz w:val="20"/>
                <w:szCs w:val="20"/>
              </w:rPr>
            </w:pPr>
            <w:r w:rsidRPr="006A31F4">
              <w:rPr>
                <w:sz w:val="20"/>
                <w:szCs w:val="20"/>
              </w:rPr>
              <w:t>(13</w:t>
            </w:r>
            <w:r w:rsidRPr="006A31F4">
              <w:rPr>
                <w:sz w:val="20"/>
                <w:szCs w:val="20"/>
                <w:vertAlign w:val="superscript"/>
              </w:rPr>
              <w:t>5</w:t>
            </w:r>
            <w:r w:rsidRPr="006A31F4">
              <w:rPr>
                <w:sz w:val="20"/>
                <w:szCs w:val="20"/>
              </w:rPr>
              <w:t xml:space="preserve">) Finanšu ministram ir tiesības Ministru kabineta noteiktajā kārtībā, informējot par to Saeimu, veikt šādas apropriācijas pārdales un izmaiņas: </w:t>
            </w:r>
          </w:p>
          <w:p w14:paraId="0F8B68D0" w14:textId="77777777" w:rsidR="006A31F4" w:rsidRDefault="006A31F4" w:rsidP="00136FF3">
            <w:pPr>
              <w:rPr>
                <w:sz w:val="20"/>
                <w:szCs w:val="20"/>
              </w:rPr>
            </w:pPr>
            <w:r w:rsidRPr="006A31F4">
              <w:rPr>
                <w:sz w:val="20"/>
                <w:szCs w:val="20"/>
              </w:rPr>
              <w:t xml:space="preserve">5) no valsts pamatfunkciju īstenošanas daļas uz Eiropas Savienības politiku instrumentu un pārējās ārvalstu finanšu palīdzības līdzfinansēto projektu un pasākumu īstenošanas daļu; </w:t>
            </w:r>
          </w:p>
          <w:p w14:paraId="2C506186" w14:textId="3977FD94" w:rsidR="00E03429" w:rsidRPr="00577569" w:rsidRDefault="00E03429" w:rsidP="00136FF3">
            <w:pPr>
              <w:rPr>
                <w:sz w:val="20"/>
                <w:szCs w:val="20"/>
              </w:rPr>
            </w:pPr>
          </w:p>
        </w:tc>
      </w:tr>
      <w:tr w:rsidR="00E03429" w14:paraId="466B4088" w14:textId="22BA1B90" w:rsidTr="00BC21DD">
        <w:tc>
          <w:tcPr>
            <w:tcW w:w="1827" w:type="dxa"/>
            <w:vAlign w:val="center"/>
          </w:tcPr>
          <w:p w14:paraId="1281CE7C" w14:textId="7324C661" w:rsidR="00E03429" w:rsidRDefault="00E03429" w:rsidP="00136FF3">
            <w:r w:rsidRPr="00577569">
              <w:rPr>
                <w:sz w:val="20"/>
                <w:szCs w:val="20"/>
              </w:rPr>
              <w:t>Līdzekļu pārdale jomas ietvaros no II bloka citiem mērķiem, un no vienas jomas II bloka uz citas jomas II bloku</w:t>
            </w:r>
          </w:p>
        </w:tc>
        <w:tc>
          <w:tcPr>
            <w:tcW w:w="1264" w:type="dxa"/>
            <w:vAlign w:val="center"/>
          </w:tcPr>
          <w:p w14:paraId="18DB1F93" w14:textId="3B10FE9C" w:rsidR="00E03429" w:rsidRDefault="00E03429" w:rsidP="00747DD7">
            <w:pPr>
              <w:jc w:val="center"/>
            </w:pPr>
          </w:p>
        </w:tc>
        <w:tc>
          <w:tcPr>
            <w:tcW w:w="986" w:type="dxa"/>
            <w:vAlign w:val="center"/>
          </w:tcPr>
          <w:p w14:paraId="29570A8B" w14:textId="160475CD" w:rsidR="00E03429" w:rsidRDefault="00E03429" w:rsidP="00747DD7">
            <w:pPr>
              <w:jc w:val="center"/>
            </w:pPr>
            <w:r w:rsidRPr="00577569">
              <w:rPr>
                <w:sz w:val="20"/>
                <w:szCs w:val="20"/>
              </w:rPr>
              <w:t>nav iebildusi</w:t>
            </w:r>
          </w:p>
        </w:tc>
        <w:tc>
          <w:tcPr>
            <w:tcW w:w="1379" w:type="dxa"/>
            <w:vAlign w:val="center"/>
          </w:tcPr>
          <w:p w14:paraId="0B3C3C8F" w14:textId="6F97709E" w:rsidR="00E03429" w:rsidRDefault="00E03429" w:rsidP="00747DD7">
            <w:pPr>
              <w:jc w:val="center"/>
            </w:pPr>
            <w:r w:rsidRPr="00577569">
              <w:rPr>
                <w:sz w:val="20"/>
                <w:szCs w:val="20"/>
              </w:rPr>
              <w:t>x</w:t>
            </w:r>
          </w:p>
        </w:tc>
        <w:tc>
          <w:tcPr>
            <w:tcW w:w="965" w:type="dxa"/>
            <w:vAlign w:val="center"/>
          </w:tcPr>
          <w:p w14:paraId="20EBE70F" w14:textId="4427E5C1" w:rsidR="00E03429" w:rsidRDefault="00E03429" w:rsidP="00747DD7">
            <w:pPr>
              <w:jc w:val="center"/>
            </w:pPr>
          </w:p>
        </w:tc>
        <w:tc>
          <w:tcPr>
            <w:tcW w:w="1129" w:type="dxa"/>
            <w:vAlign w:val="center"/>
          </w:tcPr>
          <w:p w14:paraId="150BEB44" w14:textId="49A6045D" w:rsidR="00E03429" w:rsidRDefault="00E03429" w:rsidP="00747DD7">
            <w:pPr>
              <w:jc w:val="center"/>
            </w:pPr>
          </w:p>
        </w:tc>
        <w:tc>
          <w:tcPr>
            <w:tcW w:w="1171" w:type="dxa"/>
          </w:tcPr>
          <w:p w14:paraId="2B1618BF" w14:textId="60BAED98" w:rsidR="00E03429" w:rsidRPr="00577569" w:rsidRDefault="00EC3611" w:rsidP="00136FF3">
            <w:pPr>
              <w:rPr>
                <w:sz w:val="20"/>
                <w:szCs w:val="20"/>
              </w:rPr>
            </w:pPr>
            <w:r w:rsidRPr="00B837D8">
              <w:rPr>
                <w:sz w:val="20"/>
                <w:szCs w:val="20"/>
              </w:rPr>
              <w:t>9.(</w:t>
            </w:r>
            <w:r w:rsidR="006A31F4">
              <w:rPr>
                <w:sz w:val="20"/>
                <w:szCs w:val="20"/>
              </w:rPr>
              <w:t>1</w:t>
            </w:r>
            <w:r w:rsidRPr="00B837D8">
              <w:rPr>
                <w:sz w:val="20"/>
                <w:szCs w:val="20"/>
              </w:rPr>
              <w:t>3</w:t>
            </w:r>
            <w:r w:rsidR="006A31F4">
              <w:rPr>
                <w:sz w:val="20"/>
                <w:szCs w:val="20"/>
                <w:vertAlign w:val="superscript"/>
              </w:rPr>
              <w:t>6</w:t>
            </w:r>
            <w:r w:rsidR="006A31F4">
              <w:rPr>
                <w:sz w:val="20"/>
                <w:szCs w:val="20"/>
              </w:rPr>
              <w:t xml:space="preserve"> 1. un 5.pt</w:t>
            </w:r>
            <w:r w:rsidRPr="00B837D8">
              <w:rPr>
                <w:sz w:val="20"/>
                <w:szCs w:val="20"/>
              </w:rPr>
              <w:t>)</w:t>
            </w:r>
          </w:p>
        </w:tc>
        <w:tc>
          <w:tcPr>
            <w:tcW w:w="6776" w:type="dxa"/>
          </w:tcPr>
          <w:p w14:paraId="2AF00FC2" w14:textId="77777777" w:rsidR="006A31F4" w:rsidRDefault="006A31F4" w:rsidP="00136FF3">
            <w:pPr>
              <w:rPr>
                <w:sz w:val="20"/>
                <w:szCs w:val="20"/>
              </w:rPr>
            </w:pPr>
            <w:r w:rsidRPr="006A31F4">
              <w:rPr>
                <w:sz w:val="20"/>
                <w:szCs w:val="20"/>
              </w:rPr>
              <w:t>(13</w:t>
            </w:r>
            <w:r w:rsidRPr="006A31F4">
              <w:rPr>
                <w:sz w:val="20"/>
                <w:szCs w:val="20"/>
                <w:vertAlign w:val="superscript"/>
              </w:rPr>
              <w:t>6</w:t>
            </w:r>
            <w:r w:rsidRPr="006A31F4">
              <w:rPr>
                <w:sz w:val="20"/>
                <w:szCs w:val="20"/>
              </w:rPr>
              <w:t>) Finanšu ministram ir tiesības veikt šādas apropriācijas pārdales un izmaiņas, ja ir pieņemts attiecīgs Ministru kabineta lēmums un Saeimas Budžeta un finanšu (nodokļu) komisija piecu darba dienu laikā no attiecīgās informācijas saņemšanas dienas ir izskatījusi to un nav iebildusi pret:</w:t>
            </w:r>
            <w:r w:rsidRPr="006A31F4" w:rsidDel="006A31F4">
              <w:rPr>
                <w:sz w:val="20"/>
                <w:szCs w:val="20"/>
              </w:rPr>
              <w:t xml:space="preserve"> </w:t>
            </w:r>
          </w:p>
          <w:p w14:paraId="2E418F83" w14:textId="7641588F" w:rsidR="006A31F4" w:rsidRDefault="006A31F4" w:rsidP="00136FF3">
            <w:pPr>
              <w:rPr>
                <w:sz w:val="20"/>
                <w:szCs w:val="20"/>
              </w:rPr>
            </w:pPr>
            <w:r w:rsidRPr="006A31F4">
              <w:rPr>
                <w:sz w:val="20"/>
                <w:szCs w:val="20"/>
              </w:rPr>
              <w:t>1) apropriācijas pārdali no izdevumiem Eiropas Savienības politiku instrumentu un pārējās ārvalstu finanšu palīdzības, emisijas kvotu izsoļu ieņēmumu un Klimata pārmaiņu finanšu instrumenta projektu un pasākumu īstenošanai uz citiem izdevumiem;</w:t>
            </w:r>
          </w:p>
          <w:p w14:paraId="58C01A89" w14:textId="4D14F155" w:rsidR="00E03429" w:rsidRPr="00577569" w:rsidRDefault="006A31F4" w:rsidP="00136FF3">
            <w:pPr>
              <w:rPr>
                <w:sz w:val="20"/>
                <w:szCs w:val="20"/>
              </w:rPr>
            </w:pPr>
            <w:r w:rsidRPr="006A31F4">
              <w:rPr>
                <w:sz w:val="20"/>
                <w:szCs w:val="20"/>
              </w:rPr>
              <w:t>5) apropriācijas pārdali no vienas politikas un darbības jomas Eiropas Savienības politiku instrumentu un pārējās ārvalstu finanšu palīdzības līdzfinansēto projektu un pasākumu īstenošanas daļas uz citu politikas un darbības jomas Eiropas Savienības politiku instrumentu un pārējās ārvalstu finanšu palīdzības līdzfinansēto projektu un pasākumu īstenošanas daļu.</w:t>
            </w:r>
          </w:p>
        </w:tc>
      </w:tr>
      <w:tr w:rsidR="00E03429" w14:paraId="5EFF4BE6" w14:textId="5CC6CE96" w:rsidTr="00BC21DD">
        <w:tc>
          <w:tcPr>
            <w:tcW w:w="1827" w:type="dxa"/>
            <w:vAlign w:val="center"/>
          </w:tcPr>
          <w:p w14:paraId="00C66580" w14:textId="75F39366" w:rsidR="00E03429" w:rsidRDefault="00E03429" w:rsidP="00136FF3">
            <w:r w:rsidRPr="00577569">
              <w:rPr>
                <w:sz w:val="20"/>
                <w:szCs w:val="20"/>
              </w:rPr>
              <w:t xml:space="preserve">Līdzekļu sadale pa programmām un </w:t>
            </w:r>
            <w:r w:rsidRPr="00577569">
              <w:rPr>
                <w:sz w:val="20"/>
                <w:szCs w:val="20"/>
              </w:rPr>
              <w:lastRenderedPageBreak/>
              <w:t>EKK un izmaiņas (jomas ietvaros)</w:t>
            </w:r>
          </w:p>
        </w:tc>
        <w:tc>
          <w:tcPr>
            <w:tcW w:w="1264" w:type="dxa"/>
            <w:vAlign w:val="center"/>
          </w:tcPr>
          <w:p w14:paraId="56307D52" w14:textId="0102492B" w:rsidR="00E03429" w:rsidRDefault="00E03429" w:rsidP="00747DD7">
            <w:pPr>
              <w:jc w:val="center"/>
            </w:pPr>
          </w:p>
        </w:tc>
        <w:tc>
          <w:tcPr>
            <w:tcW w:w="986" w:type="dxa"/>
            <w:vAlign w:val="center"/>
          </w:tcPr>
          <w:p w14:paraId="1D4497DF" w14:textId="4FBDA0E1" w:rsidR="00E03429" w:rsidRDefault="00E03429" w:rsidP="00747DD7">
            <w:pPr>
              <w:jc w:val="center"/>
            </w:pPr>
          </w:p>
        </w:tc>
        <w:tc>
          <w:tcPr>
            <w:tcW w:w="1379" w:type="dxa"/>
            <w:vAlign w:val="center"/>
          </w:tcPr>
          <w:p w14:paraId="6B830639" w14:textId="38D1C2AA" w:rsidR="00E03429" w:rsidRDefault="00E03429" w:rsidP="00747DD7">
            <w:pPr>
              <w:jc w:val="center"/>
            </w:pPr>
          </w:p>
        </w:tc>
        <w:tc>
          <w:tcPr>
            <w:tcW w:w="965" w:type="dxa"/>
            <w:vAlign w:val="center"/>
          </w:tcPr>
          <w:p w14:paraId="1C92AC19" w14:textId="6225BA6A" w:rsidR="00E03429" w:rsidRDefault="00E03429" w:rsidP="00747DD7">
            <w:pPr>
              <w:jc w:val="center"/>
            </w:pPr>
          </w:p>
        </w:tc>
        <w:tc>
          <w:tcPr>
            <w:tcW w:w="1129" w:type="dxa"/>
            <w:vAlign w:val="center"/>
          </w:tcPr>
          <w:p w14:paraId="41E10A6E" w14:textId="42E6F164" w:rsidR="00E03429" w:rsidRDefault="00E03429" w:rsidP="00747DD7">
            <w:pPr>
              <w:jc w:val="center"/>
            </w:pPr>
            <w:r w:rsidRPr="00577569">
              <w:rPr>
                <w:sz w:val="20"/>
                <w:szCs w:val="20"/>
              </w:rPr>
              <w:t>x</w:t>
            </w:r>
          </w:p>
        </w:tc>
        <w:tc>
          <w:tcPr>
            <w:tcW w:w="1171" w:type="dxa"/>
          </w:tcPr>
          <w:p w14:paraId="2B3C061E" w14:textId="5E1C9863" w:rsidR="00E03429" w:rsidRPr="00577569" w:rsidRDefault="00EC3611" w:rsidP="00136FF3">
            <w:pPr>
              <w:rPr>
                <w:sz w:val="20"/>
                <w:szCs w:val="20"/>
              </w:rPr>
            </w:pPr>
            <w:r w:rsidRPr="00B837D8">
              <w:rPr>
                <w:sz w:val="20"/>
                <w:szCs w:val="20"/>
              </w:rPr>
              <w:t>9.(3</w:t>
            </w:r>
            <w:r w:rsidRPr="00B837D8">
              <w:rPr>
                <w:sz w:val="20"/>
                <w:szCs w:val="20"/>
                <w:vertAlign w:val="superscript"/>
              </w:rPr>
              <w:t>1</w:t>
            </w:r>
            <w:r w:rsidRPr="00B837D8">
              <w:rPr>
                <w:sz w:val="20"/>
                <w:szCs w:val="20"/>
              </w:rPr>
              <w:t>)</w:t>
            </w:r>
          </w:p>
        </w:tc>
        <w:tc>
          <w:tcPr>
            <w:tcW w:w="6776" w:type="dxa"/>
          </w:tcPr>
          <w:p w14:paraId="51F04202" w14:textId="26096676" w:rsidR="00E03429" w:rsidRPr="00577569" w:rsidRDefault="00EC3611" w:rsidP="00136FF3">
            <w:pPr>
              <w:rPr>
                <w:sz w:val="20"/>
                <w:szCs w:val="20"/>
              </w:rPr>
            </w:pPr>
            <w:r w:rsidRPr="00EC3611">
              <w:rPr>
                <w:sz w:val="20"/>
                <w:szCs w:val="20"/>
              </w:rPr>
              <w:t>(3</w:t>
            </w:r>
            <w:r w:rsidRPr="00EC3611">
              <w:rPr>
                <w:sz w:val="20"/>
                <w:szCs w:val="20"/>
                <w:vertAlign w:val="superscript"/>
              </w:rPr>
              <w:t>1</w:t>
            </w:r>
            <w:r w:rsidRPr="00EC3611">
              <w:rPr>
                <w:sz w:val="20"/>
                <w:szCs w:val="20"/>
              </w:rPr>
              <w:t xml:space="preserve">) Nozares ministrs un citas centrālās valsts iestādes vadītājs sadala valsts budžeta likumā noteiktās apropriācijas pa budžeta programmām, apakšprogrammām un budžeta klasifikāciju kodiem atbilstoši </w:t>
            </w:r>
            <w:r w:rsidRPr="00EC3611">
              <w:rPr>
                <w:sz w:val="20"/>
                <w:szCs w:val="20"/>
              </w:rPr>
              <w:lastRenderedPageBreak/>
              <w:t>ekonomiskajām kategorijām (un valsts budžeta izpildes procesā veic nepieciešamās izmaiņas), ievērojot valsts budžeta likumā ministrijām un citām centrālajām valsts iestādēm noteiktās politikas un darbības jomas.</w:t>
            </w:r>
          </w:p>
        </w:tc>
      </w:tr>
      <w:tr w:rsidR="00E03429" w14:paraId="32E1620F" w14:textId="092127B0" w:rsidTr="00BC21DD">
        <w:tc>
          <w:tcPr>
            <w:tcW w:w="1827" w:type="dxa"/>
            <w:vAlign w:val="center"/>
          </w:tcPr>
          <w:p w14:paraId="25924D7B" w14:textId="30C7609F" w:rsidR="00E03429" w:rsidRDefault="00E03429" w:rsidP="00136FF3">
            <w:r w:rsidRPr="00577569">
              <w:rPr>
                <w:sz w:val="20"/>
                <w:szCs w:val="20"/>
              </w:rPr>
              <w:lastRenderedPageBreak/>
              <w:t>Apropriācijas palielināšana transfertiem pamatbudžeta ietvaros, saņemamajiem transfertiem no pašvaldībām, APP un BNI, pašu ieņēmumiem (un atlikumiem) un ārvalstu finanšu palīdzībai (un atlikumiem)</w:t>
            </w:r>
          </w:p>
        </w:tc>
        <w:tc>
          <w:tcPr>
            <w:tcW w:w="1264" w:type="dxa"/>
            <w:vAlign w:val="center"/>
          </w:tcPr>
          <w:p w14:paraId="6BD27EB0" w14:textId="5C6D595C" w:rsidR="00E03429" w:rsidRPr="00577569" w:rsidRDefault="00E03429" w:rsidP="00747DD7">
            <w:pPr>
              <w:jc w:val="center"/>
              <w:rPr>
                <w:sz w:val="20"/>
                <w:szCs w:val="20"/>
              </w:rPr>
            </w:pPr>
          </w:p>
          <w:p w14:paraId="78B327E5" w14:textId="0553185B" w:rsidR="00E03429" w:rsidRDefault="00E03429" w:rsidP="00747DD7">
            <w:pPr>
              <w:jc w:val="center"/>
            </w:pPr>
            <w:r w:rsidRPr="00577569">
              <w:rPr>
                <w:sz w:val="20"/>
                <w:szCs w:val="20"/>
              </w:rPr>
              <w:t>informē</w:t>
            </w:r>
          </w:p>
        </w:tc>
        <w:tc>
          <w:tcPr>
            <w:tcW w:w="986" w:type="dxa"/>
            <w:vAlign w:val="center"/>
          </w:tcPr>
          <w:p w14:paraId="0C0E6F96" w14:textId="6A0A0AFE" w:rsidR="00E03429" w:rsidRDefault="00E03429" w:rsidP="00747DD7">
            <w:pPr>
              <w:jc w:val="center"/>
            </w:pPr>
          </w:p>
        </w:tc>
        <w:tc>
          <w:tcPr>
            <w:tcW w:w="1379" w:type="dxa"/>
            <w:vAlign w:val="center"/>
          </w:tcPr>
          <w:p w14:paraId="20DB767B" w14:textId="1E5493AF" w:rsidR="00E03429" w:rsidRDefault="00E03429" w:rsidP="00747DD7">
            <w:pPr>
              <w:jc w:val="center"/>
            </w:pPr>
          </w:p>
        </w:tc>
        <w:tc>
          <w:tcPr>
            <w:tcW w:w="965" w:type="dxa"/>
            <w:vAlign w:val="center"/>
          </w:tcPr>
          <w:p w14:paraId="15B1DEE3" w14:textId="2DB25926" w:rsidR="00E03429" w:rsidRPr="00577569" w:rsidRDefault="00E03429" w:rsidP="00747DD7">
            <w:pPr>
              <w:jc w:val="center"/>
              <w:rPr>
                <w:sz w:val="20"/>
                <w:szCs w:val="20"/>
              </w:rPr>
            </w:pPr>
          </w:p>
          <w:p w14:paraId="1E5D0DE0" w14:textId="63C07265" w:rsidR="00E03429" w:rsidRDefault="00E03429" w:rsidP="00747DD7">
            <w:pPr>
              <w:jc w:val="center"/>
            </w:pPr>
            <w:r w:rsidRPr="00577569">
              <w:rPr>
                <w:sz w:val="20"/>
                <w:szCs w:val="20"/>
              </w:rPr>
              <w:t>x</w:t>
            </w:r>
          </w:p>
        </w:tc>
        <w:tc>
          <w:tcPr>
            <w:tcW w:w="1129" w:type="dxa"/>
            <w:vAlign w:val="center"/>
          </w:tcPr>
          <w:p w14:paraId="72E9FEE6" w14:textId="2E12BF9A" w:rsidR="00E03429" w:rsidRDefault="00E03429" w:rsidP="00747DD7">
            <w:pPr>
              <w:jc w:val="center"/>
            </w:pPr>
          </w:p>
        </w:tc>
        <w:tc>
          <w:tcPr>
            <w:tcW w:w="1171" w:type="dxa"/>
          </w:tcPr>
          <w:p w14:paraId="3D9F4EA8" w14:textId="2669EB95" w:rsidR="00E03429" w:rsidRPr="00EC3611" w:rsidRDefault="00EC3611" w:rsidP="00136FF3">
            <w:pPr>
              <w:rPr>
                <w:sz w:val="20"/>
                <w:szCs w:val="20"/>
              </w:rPr>
            </w:pPr>
            <w:r>
              <w:rPr>
                <w:sz w:val="20"/>
                <w:szCs w:val="20"/>
              </w:rPr>
              <w:t>9.(13</w:t>
            </w:r>
            <w:r>
              <w:rPr>
                <w:sz w:val="20"/>
                <w:szCs w:val="20"/>
                <w:vertAlign w:val="superscript"/>
              </w:rPr>
              <w:t>5</w:t>
            </w:r>
            <w:r w:rsidR="001D3077">
              <w:rPr>
                <w:sz w:val="20"/>
                <w:szCs w:val="20"/>
              </w:rPr>
              <w:t xml:space="preserve"> 2., 3. un 4.pt.</w:t>
            </w:r>
            <w:r>
              <w:rPr>
                <w:sz w:val="20"/>
                <w:szCs w:val="20"/>
              </w:rPr>
              <w:t>)</w:t>
            </w:r>
          </w:p>
        </w:tc>
        <w:tc>
          <w:tcPr>
            <w:tcW w:w="6776" w:type="dxa"/>
          </w:tcPr>
          <w:p w14:paraId="069E6573" w14:textId="77777777" w:rsidR="00EC3611" w:rsidRPr="00EC3611" w:rsidRDefault="00EC3611" w:rsidP="00EC3611">
            <w:pPr>
              <w:rPr>
                <w:sz w:val="20"/>
                <w:szCs w:val="20"/>
              </w:rPr>
            </w:pPr>
            <w:r w:rsidRPr="00EC3611">
              <w:rPr>
                <w:sz w:val="20"/>
                <w:szCs w:val="20"/>
              </w:rPr>
              <w:t>(13</w:t>
            </w:r>
            <w:r w:rsidRPr="00EC3611">
              <w:rPr>
                <w:sz w:val="20"/>
                <w:szCs w:val="20"/>
                <w:vertAlign w:val="superscript"/>
              </w:rPr>
              <w:t>5</w:t>
            </w:r>
            <w:r w:rsidRPr="00EC3611">
              <w:rPr>
                <w:sz w:val="20"/>
                <w:szCs w:val="20"/>
              </w:rPr>
              <w:t>) Finanšu ministram ir tiesības Ministru kabineta noteiktajā kārtībā, informējot par to Saeimu, veikt šādas apropriācijas pārdales un izmaiņas:</w:t>
            </w:r>
          </w:p>
          <w:p w14:paraId="61C0ED6B" w14:textId="1FBE77B0" w:rsidR="00EC3611" w:rsidRPr="00EC3611" w:rsidRDefault="00EC3611" w:rsidP="00EC3611">
            <w:pPr>
              <w:rPr>
                <w:sz w:val="20"/>
                <w:szCs w:val="20"/>
              </w:rPr>
            </w:pPr>
            <w:r w:rsidRPr="00EC3611">
              <w:rPr>
                <w:sz w:val="20"/>
                <w:szCs w:val="20"/>
              </w:rPr>
              <w:t>2) valsts budžeta iestādēm piešķirto ārvalstu finanšu palīdzības līdzekļu izmantošanai un ārvalstu finanšu palīdzības līdzekļu atlikumu saimnieciskā gada sākumā izmantošanai;</w:t>
            </w:r>
          </w:p>
          <w:p w14:paraId="4160FC62" w14:textId="77777777" w:rsidR="00EC3611" w:rsidRPr="00EC3611" w:rsidRDefault="00EC3611" w:rsidP="00EC3611">
            <w:pPr>
              <w:rPr>
                <w:sz w:val="20"/>
                <w:szCs w:val="20"/>
              </w:rPr>
            </w:pPr>
            <w:r w:rsidRPr="00EC3611">
              <w:rPr>
                <w:sz w:val="20"/>
                <w:szCs w:val="20"/>
              </w:rPr>
              <w:t>3) valsts budžeta iestāžu ieņēmumu par sniegtajiem maksas pakalpojumiem un citu pašu ieņēmumu izmantošanai, kā arī valsts budžeta iestāžu ieņēmumu par sniegtajiem maksas pakalpojumiem un citu pašu ieņēmumu atlikumu saimnieciskā gada sākumā izmantošanai;</w:t>
            </w:r>
          </w:p>
          <w:p w14:paraId="57FC400F" w14:textId="5A62A2D0" w:rsidR="00E03429" w:rsidRPr="00577569" w:rsidRDefault="00EC3611" w:rsidP="00136FF3">
            <w:pPr>
              <w:rPr>
                <w:sz w:val="20"/>
                <w:szCs w:val="20"/>
              </w:rPr>
            </w:pPr>
            <w:r w:rsidRPr="00EC3611">
              <w:rPr>
                <w:sz w:val="20"/>
                <w:szCs w:val="20"/>
              </w:rPr>
              <w:t>4) starp ministrijām un citām centrālajām valsts iestādēm transfertu veikšanai valsts budžeta izpildes procesā, kā arī valsts budžeta saņemamiem transfertiem no pašvaldību budžetiem, no valsts budžeta daļēji finansēto atvasinātu publisku personu budžetiem un budžeta nefinansēto iestāžu budžetiem</w:t>
            </w:r>
            <w:r w:rsidR="00747DD7">
              <w:rPr>
                <w:sz w:val="20"/>
                <w:szCs w:val="20"/>
              </w:rPr>
              <w:t>;</w:t>
            </w:r>
          </w:p>
        </w:tc>
      </w:tr>
      <w:tr w:rsidR="001D3077" w14:paraId="51F54C14" w14:textId="77777777" w:rsidTr="00BC21DD">
        <w:tc>
          <w:tcPr>
            <w:tcW w:w="1827" w:type="dxa"/>
            <w:vAlign w:val="center"/>
          </w:tcPr>
          <w:p w14:paraId="3DAA9EA1" w14:textId="2F1440AF" w:rsidR="001D3077" w:rsidRPr="00577569" w:rsidRDefault="001D3077" w:rsidP="00136FF3">
            <w:pPr>
              <w:rPr>
                <w:sz w:val="20"/>
                <w:szCs w:val="20"/>
              </w:rPr>
            </w:pPr>
            <w:r>
              <w:rPr>
                <w:sz w:val="20"/>
                <w:szCs w:val="20"/>
              </w:rPr>
              <w:t>Līdzekļu pārdalei no 74.resora uz ministrijas budžetu</w:t>
            </w:r>
          </w:p>
        </w:tc>
        <w:tc>
          <w:tcPr>
            <w:tcW w:w="1264" w:type="dxa"/>
            <w:vAlign w:val="center"/>
          </w:tcPr>
          <w:p w14:paraId="55946725" w14:textId="6368627D" w:rsidR="001D3077" w:rsidRPr="00577569" w:rsidRDefault="001D3077" w:rsidP="00747DD7">
            <w:pPr>
              <w:jc w:val="center"/>
              <w:rPr>
                <w:sz w:val="20"/>
                <w:szCs w:val="20"/>
              </w:rPr>
            </w:pPr>
            <w:r>
              <w:rPr>
                <w:sz w:val="20"/>
                <w:szCs w:val="20"/>
              </w:rPr>
              <w:t>informē</w:t>
            </w:r>
          </w:p>
        </w:tc>
        <w:tc>
          <w:tcPr>
            <w:tcW w:w="986" w:type="dxa"/>
            <w:vAlign w:val="center"/>
          </w:tcPr>
          <w:p w14:paraId="3945DC6B" w14:textId="77777777" w:rsidR="001D3077" w:rsidRPr="00577569" w:rsidRDefault="001D3077" w:rsidP="00747DD7">
            <w:pPr>
              <w:jc w:val="center"/>
              <w:rPr>
                <w:sz w:val="20"/>
                <w:szCs w:val="20"/>
              </w:rPr>
            </w:pPr>
          </w:p>
        </w:tc>
        <w:tc>
          <w:tcPr>
            <w:tcW w:w="1379" w:type="dxa"/>
            <w:vAlign w:val="center"/>
          </w:tcPr>
          <w:p w14:paraId="4825D6E1" w14:textId="7529827B" w:rsidR="001D3077" w:rsidRPr="00577569" w:rsidRDefault="001D3077" w:rsidP="00747DD7">
            <w:pPr>
              <w:jc w:val="center"/>
              <w:rPr>
                <w:sz w:val="20"/>
                <w:szCs w:val="20"/>
              </w:rPr>
            </w:pPr>
          </w:p>
        </w:tc>
        <w:tc>
          <w:tcPr>
            <w:tcW w:w="965" w:type="dxa"/>
            <w:vAlign w:val="center"/>
          </w:tcPr>
          <w:p w14:paraId="6EB13FB1" w14:textId="78A58D72" w:rsidR="001D3077" w:rsidRPr="00577569" w:rsidRDefault="001D3077" w:rsidP="00747DD7">
            <w:pPr>
              <w:jc w:val="center"/>
              <w:rPr>
                <w:sz w:val="20"/>
                <w:szCs w:val="20"/>
              </w:rPr>
            </w:pPr>
            <w:r>
              <w:rPr>
                <w:sz w:val="20"/>
                <w:szCs w:val="20"/>
              </w:rPr>
              <w:t>x</w:t>
            </w:r>
          </w:p>
        </w:tc>
        <w:tc>
          <w:tcPr>
            <w:tcW w:w="1129" w:type="dxa"/>
            <w:vAlign w:val="center"/>
          </w:tcPr>
          <w:p w14:paraId="20E54DDB" w14:textId="77777777" w:rsidR="001D3077" w:rsidRPr="00577569" w:rsidRDefault="001D3077" w:rsidP="00747DD7">
            <w:pPr>
              <w:jc w:val="center"/>
              <w:rPr>
                <w:sz w:val="20"/>
                <w:szCs w:val="20"/>
              </w:rPr>
            </w:pPr>
          </w:p>
        </w:tc>
        <w:tc>
          <w:tcPr>
            <w:tcW w:w="1171" w:type="dxa"/>
          </w:tcPr>
          <w:p w14:paraId="17E89B69" w14:textId="050B4770" w:rsidR="001D3077" w:rsidRDefault="001D3077" w:rsidP="00136FF3">
            <w:pPr>
              <w:rPr>
                <w:sz w:val="20"/>
                <w:szCs w:val="20"/>
              </w:rPr>
            </w:pPr>
            <w:r>
              <w:rPr>
                <w:sz w:val="20"/>
                <w:szCs w:val="20"/>
              </w:rPr>
              <w:t>9.(13</w:t>
            </w:r>
            <w:r>
              <w:rPr>
                <w:sz w:val="20"/>
                <w:szCs w:val="20"/>
                <w:vertAlign w:val="superscript"/>
              </w:rPr>
              <w:t>5</w:t>
            </w:r>
            <w:r>
              <w:rPr>
                <w:sz w:val="20"/>
                <w:szCs w:val="20"/>
              </w:rPr>
              <w:t xml:space="preserve"> 1.pt.)</w:t>
            </w:r>
          </w:p>
        </w:tc>
        <w:tc>
          <w:tcPr>
            <w:tcW w:w="6776" w:type="dxa"/>
          </w:tcPr>
          <w:p w14:paraId="5F6C4348" w14:textId="77777777" w:rsidR="001D3077" w:rsidRPr="00EC3611" w:rsidRDefault="001D3077" w:rsidP="001D3077">
            <w:pPr>
              <w:rPr>
                <w:sz w:val="20"/>
                <w:szCs w:val="20"/>
              </w:rPr>
            </w:pPr>
            <w:r w:rsidRPr="00EC3611">
              <w:rPr>
                <w:sz w:val="20"/>
                <w:szCs w:val="20"/>
              </w:rPr>
              <w:t>(13</w:t>
            </w:r>
            <w:r w:rsidRPr="00EC3611">
              <w:rPr>
                <w:sz w:val="20"/>
                <w:szCs w:val="20"/>
                <w:vertAlign w:val="superscript"/>
              </w:rPr>
              <w:t>5</w:t>
            </w:r>
            <w:r w:rsidRPr="00EC3611">
              <w:rPr>
                <w:sz w:val="20"/>
                <w:szCs w:val="20"/>
              </w:rPr>
              <w:t>) Finanšu ministram ir tiesības Ministru kabineta noteiktajā kārtībā, informējot par to Saeimu, veikt šādas apropriācijas pārdales un izmaiņas:</w:t>
            </w:r>
          </w:p>
          <w:p w14:paraId="139BD700" w14:textId="77777777" w:rsidR="001D3077" w:rsidRDefault="001D3077" w:rsidP="00136FF3">
            <w:pPr>
              <w:rPr>
                <w:sz w:val="20"/>
                <w:szCs w:val="20"/>
              </w:rPr>
            </w:pPr>
            <w:r w:rsidRPr="00EC3611">
              <w:rPr>
                <w:sz w:val="20"/>
                <w:szCs w:val="20"/>
              </w:rPr>
              <w:t>1) no atsevišķā budžeta resorā plānotās apropriācijas valsts budžeta izpildes procesā pārdalāmajam finansējumam uz ministrijām un citām centrālajām valsts iestādēm, kā arī no ministrijām un citām centrālajām valsts iestādēm uz atsevišķā budžeta resorā plānoto apropriāciju valsts budžeta izpildes procesā pārdalāmajam finansējumam, ievērojot valsts budžeta likuma nosacījumus kārtējam gadam;</w:t>
            </w:r>
          </w:p>
          <w:p w14:paraId="519EBE3F" w14:textId="08442C99" w:rsidR="005E67EB" w:rsidRPr="00747DD7" w:rsidRDefault="005E67EB" w:rsidP="00136FF3">
            <w:pPr>
              <w:rPr>
                <w:i/>
                <w:iCs/>
                <w:sz w:val="20"/>
                <w:szCs w:val="20"/>
              </w:rPr>
            </w:pPr>
            <w:r w:rsidRPr="00747DD7">
              <w:rPr>
                <w:i/>
                <w:iCs/>
                <w:sz w:val="20"/>
                <w:szCs w:val="20"/>
              </w:rPr>
              <w:t>(ja vien valsts budžeta likumā nav noteikti citi nosacījumi)</w:t>
            </w:r>
          </w:p>
        </w:tc>
      </w:tr>
      <w:tr w:rsidR="009D3601" w14:paraId="5E8FE744" w14:textId="77777777" w:rsidTr="00BC21DD">
        <w:tc>
          <w:tcPr>
            <w:tcW w:w="1827" w:type="dxa"/>
            <w:vAlign w:val="center"/>
          </w:tcPr>
          <w:p w14:paraId="7F3D3A33" w14:textId="7029785A" w:rsidR="009D3601" w:rsidRDefault="009D3601" w:rsidP="00136FF3">
            <w:pPr>
              <w:rPr>
                <w:sz w:val="20"/>
                <w:szCs w:val="20"/>
              </w:rPr>
            </w:pPr>
            <w:r>
              <w:rPr>
                <w:sz w:val="20"/>
                <w:szCs w:val="20"/>
              </w:rPr>
              <w:t>Līdzekļu pārdalei no 74.resora 80.programmas</w:t>
            </w:r>
          </w:p>
        </w:tc>
        <w:tc>
          <w:tcPr>
            <w:tcW w:w="1264" w:type="dxa"/>
            <w:vAlign w:val="center"/>
          </w:tcPr>
          <w:p w14:paraId="6AEEADA9" w14:textId="7E4EDBB3" w:rsidR="009D3601" w:rsidRDefault="009D3601" w:rsidP="00747DD7">
            <w:pPr>
              <w:jc w:val="center"/>
              <w:rPr>
                <w:sz w:val="20"/>
                <w:szCs w:val="20"/>
              </w:rPr>
            </w:pPr>
            <w:r>
              <w:rPr>
                <w:sz w:val="20"/>
                <w:szCs w:val="20"/>
              </w:rPr>
              <w:t>informē</w:t>
            </w:r>
          </w:p>
        </w:tc>
        <w:tc>
          <w:tcPr>
            <w:tcW w:w="986" w:type="dxa"/>
            <w:vAlign w:val="center"/>
          </w:tcPr>
          <w:p w14:paraId="61892567" w14:textId="77777777" w:rsidR="009D3601" w:rsidRPr="00577569" w:rsidRDefault="009D3601" w:rsidP="00747DD7">
            <w:pPr>
              <w:jc w:val="center"/>
              <w:rPr>
                <w:sz w:val="20"/>
                <w:szCs w:val="20"/>
              </w:rPr>
            </w:pPr>
          </w:p>
        </w:tc>
        <w:tc>
          <w:tcPr>
            <w:tcW w:w="1379" w:type="dxa"/>
            <w:vAlign w:val="center"/>
          </w:tcPr>
          <w:p w14:paraId="656CC7BE" w14:textId="3415E7EA" w:rsidR="009D3601" w:rsidRPr="00577569" w:rsidRDefault="009D3601" w:rsidP="00747DD7">
            <w:pPr>
              <w:jc w:val="center"/>
              <w:rPr>
                <w:sz w:val="20"/>
                <w:szCs w:val="20"/>
              </w:rPr>
            </w:pPr>
            <w:r w:rsidRPr="00577569">
              <w:rPr>
                <w:sz w:val="20"/>
                <w:szCs w:val="20"/>
              </w:rPr>
              <w:t>x (ja kopā ar MK lēmumu par saistību uzņemšanos)</w:t>
            </w:r>
          </w:p>
        </w:tc>
        <w:tc>
          <w:tcPr>
            <w:tcW w:w="965" w:type="dxa"/>
            <w:vAlign w:val="center"/>
          </w:tcPr>
          <w:p w14:paraId="1937B05F" w14:textId="1418834A" w:rsidR="009D3601" w:rsidRDefault="009D3601" w:rsidP="00747DD7">
            <w:pPr>
              <w:jc w:val="center"/>
              <w:rPr>
                <w:sz w:val="20"/>
                <w:szCs w:val="20"/>
              </w:rPr>
            </w:pPr>
            <w:r>
              <w:rPr>
                <w:sz w:val="20"/>
                <w:szCs w:val="20"/>
              </w:rPr>
              <w:t>x</w:t>
            </w:r>
          </w:p>
        </w:tc>
        <w:tc>
          <w:tcPr>
            <w:tcW w:w="1129" w:type="dxa"/>
            <w:vAlign w:val="center"/>
          </w:tcPr>
          <w:p w14:paraId="0875F904" w14:textId="77777777" w:rsidR="009D3601" w:rsidRPr="00577569" w:rsidRDefault="009D3601" w:rsidP="00747DD7">
            <w:pPr>
              <w:jc w:val="center"/>
              <w:rPr>
                <w:sz w:val="20"/>
                <w:szCs w:val="20"/>
              </w:rPr>
            </w:pPr>
          </w:p>
        </w:tc>
        <w:tc>
          <w:tcPr>
            <w:tcW w:w="1171" w:type="dxa"/>
          </w:tcPr>
          <w:p w14:paraId="30DED363" w14:textId="5C8BE1DC" w:rsidR="009D3601" w:rsidRDefault="009D3601" w:rsidP="00136FF3">
            <w:pPr>
              <w:rPr>
                <w:sz w:val="20"/>
                <w:szCs w:val="20"/>
              </w:rPr>
            </w:pPr>
            <w:r>
              <w:rPr>
                <w:sz w:val="20"/>
                <w:szCs w:val="20"/>
              </w:rPr>
              <w:t>9.(13</w:t>
            </w:r>
            <w:r>
              <w:rPr>
                <w:sz w:val="20"/>
                <w:szCs w:val="20"/>
                <w:vertAlign w:val="superscript"/>
              </w:rPr>
              <w:t>5</w:t>
            </w:r>
            <w:r>
              <w:rPr>
                <w:sz w:val="20"/>
                <w:szCs w:val="20"/>
              </w:rPr>
              <w:t xml:space="preserve"> 1.pt.)</w:t>
            </w:r>
          </w:p>
        </w:tc>
        <w:tc>
          <w:tcPr>
            <w:tcW w:w="6776" w:type="dxa"/>
          </w:tcPr>
          <w:p w14:paraId="4EFE1525" w14:textId="77777777" w:rsidR="009D3601" w:rsidRPr="00EC3611" w:rsidRDefault="009D3601" w:rsidP="009D3601">
            <w:pPr>
              <w:rPr>
                <w:sz w:val="20"/>
                <w:szCs w:val="20"/>
              </w:rPr>
            </w:pPr>
            <w:r w:rsidRPr="00EC3611">
              <w:rPr>
                <w:sz w:val="20"/>
                <w:szCs w:val="20"/>
              </w:rPr>
              <w:t>(13</w:t>
            </w:r>
            <w:r w:rsidRPr="00EC3611">
              <w:rPr>
                <w:sz w:val="20"/>
                <w:szCs w:val="20"/>
                <w:vertAlign w:val="superscript"/>
              </w:rPr>
              <w:t>5</w:t>
            </w:r>
            <w:r w:rsidRPr="00EC3611">
              <w:rPr>
                <w:sz w:val="20"/>
                <w:szCs w:val="20"/>
              </w:rPr>
              <w:t>) Finanšu ministram ir tiesības Ministru kabineta noteiktajā kārtībā, informējot par to Saeimu, veikt šādas apropriācijas pārdales un izmaiņas:</w:t>
            </w:r>
          </w:p>
          <w:p w14:paraId="6F605AFF" w14:textId="047E1E69" w:rsidR="009D3601" w:rsidRPr="00EC3611" w:rsidRDefault="009D3601" w:rsidP="009D3601">
            <w:pPr>
              <w:rPr>
                <w:sz w:val="20"/>
                <w:szCs w:val="20"/>
              </w:rPr>
            </w:pPr>
            <w:r w:rsidRPr="00EC3611">
              <w:rPr>
                <w:sz w:val="20"/>
                <w:szCs w:val="20"/>
              </w:rPr>
              <w:t>1) no atsevišķā budžeta resorā plānotās apropriācijas valsts budžeta izpildes procesā pārdalāmajam finansējumam uz ministrijām un citām centrālajām valsts iestādēm, kā arī no ministrijām un citām centrālajām valsts iestādēm uz atsevišķā budžeta resorā plānoto apropriāciju valsts budžeta izpildes procesā pārdalāmajam finansējumam, ievērojot valsts budžeta likuma nosacījumus kārtējam gadam;</w:t>
            </w:r>
          </w:p>
        </w:tc>
      </w:tr>
      <w:tr w:rsidR="001D3077" w14:paraId="32AEA722" w14:textId="77777777" w:rsidTr="00BC21DD">
        <w:tc>
          <w:tcPr>
            <w:tcW w:w="1827" w:type="dxa"/>
            <w:vAlign w:val="center"/>
          </w:tcPr>
          <w:p w14:paraId="35E05E2A" w14:textId="5DC098E9" w:rsidR="001D3077" w:rsidRPr="00577569" w:rsidRDefault="001D3077" w:rsidP="00136FF3">
            <w:pPr>
              <w:rPr>
                <w:sz w:val="20"/>
                <w:szCs w:val="20"/>
              </w:rPr>
            </w:pPr>
            <w:r>
              <w:rPr>
                <w:sz w:val="20"/>
                <w:szCs w:val="20"/>
              </w:rPr>
              <w:t>VSAA ieņēmumu atlikumi par administrēšanu</w:t>
            </w:r>
          </w:p>
        </w:tc>
        <w:tc>
          <w:tcPr>
            <w:tcW w:w="1264" w:type="dxa"/>
            <w:vAlign w:val="center"/>
          </w:tcPr>
          <w:p w14:paraId="7B894579" w14:textId="07A997E8" w:rsidR="001D3077" w:rsidRPr="00577569" w:rsidRDefault="001D3077" w:rsidP="00747DD7">
            <w:pPr>
              <w:jc w:val="center"/>
              <w:rPr>
                <w:sz w:val="20"/>
                <w:szCs w:val="20"/>
              </w:rPr>
            </w:pPr>
            <w:r>
              <w:rPr>
                <w:sz w:val="20"/>
                <w:szCs w:val="20"/>
              </w:rPr>
              <w:t>informē</w:t>
            </w:r>
          </w:p>
        </w:tc>
        <w:tc>
          <w:tcPr>
            <w:tcW w:w="986" w:type="dxa"/>
            <w:vAlign w:val="center"/>
          </w:tcPr>
          <w:p w14:paraId="5C3B3974" w14:textId="77777777" w:rsidR="001D3077" w:rsidRPr="00577569" w:rsidRDefault="001D3077" w:rsidP="00747DD7">
            <w:pPr>
              <w:jc w:val="center"/>
              <w:rPr>
                <w:sz w:val="20"/>
                <w:szCs w:val="20"/>
              </w:rPr>
            </w:pPr>
          </w:p>
        </w:tc>
        <w:tc>
          <w:tcPr>
            <w:tcW w:w="1379" w:type="dxa"/>
            <w:vAlign w:val="center"/>
          </w:tcPr>
          <w:p w14:paraId="6717F2C7" w14:textId="77777777" w:rsidR="001D3077" w:rsidRPr="00577569" w:rsidRDefault="001D3077" w:rsidP="00747DD7">
            <w:pPr>
              <w:jc w:val="center"/>
              <w:rPr>
                <w:sz w:val="20"/>
                <w:szCs w:val="20"/>
              </w:rPr>
            </w:pPr>
          </w:p>
        </w:tc>
        <w:tc>
          <w:tcPr>
            <w:tcW w:w="965" w:type="dxa"/>
            <w:vAlign w:val="center"/>
          </w:tcPr>
          <w:p w14:paraId="1CC99BC1" w14:textId="1AD18FA9" w:rsidR="001D3077" w:rsidRPr="00577569" w:rsidRDefault="001D3077" w:rsidP="00747DD7">
            <w:pPr>
              <w:jc w:val="center"/>
              <w:rPr>
                <w:sz w:val="20"/>
                <w:szCs w:val="20"/>
              </w:rPr>
            </w:pPr>
            <w:r>
              <w:rPr>
                <w:sz w:val="20"/>
                <w:szCs w:val="20"/>
              </w:rPr>
              <w:t>x</w:t>
            </w:r>
          </w:p>
        </w:tc>
        <w:tc>
          <w:tcPr>
            <w:tcW w:w="1129" w:type="dxa"/>
            <w:vAlign w:val="center"/>
          </w:tcPr>
          <w:p w14:paraId="7D68FE52" w14:textId="77777777" w:rsidR="001D3077" w:rsidRPr="00577569" w:rsidRDefault="001D3077" w:rsidP="00747DD7">
            <w:pPr>
              <w:jc w:val="center"/>
              <w:rPr>
                <w:sz w:val="20"/>
                <w:szCs w:val="20"/>
              </w:rPr>
            </w:pPr>
          </w:p>
        </w:tc>
        <w:tc>
          <w:tcPr>
            <w:tcW w:w="1171" w:type="dxa"/>
          </w:tcPr>
          <w:p w14:paraId="3FF18D5F" w14:textId="798254BD" w:rsidR="001D3077" w:rsidRDefault="001D3077" w:rsidP="00136FF3">
            <w:pPr>
              <w:rPr>
                <w:sz w:val="20"/>
                <w:szCs w:val="20"/>
              </w:rPr>
            </w:pPr>
            <w:r>
              <w:rPr>
                <w:sz w:val="20"/>
                <w:szCs w:val="20"/>
              </w:rPr>
              <w:t>9.(13</w:t>
            </w:r>
            <w:r>
              <w:rPr>
                <w:sz w:val="20"/>
                <w:szCs w:val="20"/>
                <w:vertAlign w:val="superscript"/>
              </w:rPr>
              <w:t>5</w:t>
            </w:r>
            <w:r>
              <w:rPr>
                <w:sz w:val="20"/>
                <w:szCs w:val="20"/>
              </w:rPr>
              <w:t xml:space="preserve"> 6.pt.)</w:t>
            </w:r>
          </w:p>
        </w:tc>
        <w:tc>
          <w:tcPr>
            <w:tcW w:w="6776" w:type="dxa"/>
          </w:tcPr>
          <w:p w14:paraId="7299B91D" w14:textId="77777777" w:rsidR="001D3077" w:rsidRDefault="001D3077" w:rsidP="00136FF3">
            <w:pPr>
              <w:rPr>
                <w:sz w:val="20"/>
                <w:szCs w:val="20"/>
              </w:rPr>
            </w:pPr>
            <w:r w:rsidRPr="00EC3611">
              <w:rPr>
                <w:sz w:val="20"/>
                <w:szCs w:val="20"/>
              </w:rPr>
              <w:t>(13</w:t>
            </w:r>
            <w:r w:rsidRPr="00EC3611">
              <w:rPr>
                <w:sz w:val="20"/>
                <w:szCs w:val="20"/>
                <w:vertAlign w:val="superscript"/>
              </w:rPr>
              <w:t>5</w:t>
            </w:r>
            <w:r w:rsidRPr="00EC3611">
              <w:rPr>
                <w:sz w:val="20"/>
                <w:szCs w:val="20"/>
              </w:rPr>
              <w:t>) Finanšu ministram ir tiesības Ministru kabineta noteiktajā kārtībā, informējot par to Saeimu, veikt šādas apropriācijas pārdales un izmaiņas:</w:t>
            </w:r>
          </w:p>
          <w:p w14:paraId="30C93979" w14:textId="6CB4B730" w:rsidR="001D3077" w:rsidRPr="00EC3611" w:rsidRDefault="001D3077" w:rsidP="00136FF3">
            <w:pPr>
              <w:rPr>
                <w:sz w:val="20"/>
                <w:szCs w:val="20"/>
              </w:rPr>
            </w:pPr>
            <w:r w:rsidRPr="00EC3611">
              <w:rPr>
                <w:sz w:val="20"/>
                <w:szCs w:val="20"/>
              </w:rPr>
              <w:t>6) Valsts sociālās apdrošināšanas aģentūras ieņēmumu par valsts fondēto pensiju shēmas administrēšanu atlikumu saimnieciskā gada sākumā izmantošanai.</w:t>
            </w:r>
          </w:p>
        </w:tc>
      </w:tr>
      <w:tr w:rsidR="00E03429" w14:paraId="6E9E5E44" w14:textId="03327757" w:rsidTr="00BC21DD">
        <w:tc>
          <w:tcPr>
            <w:tcW w:w="1827" w:type="dxa"/>
            <w:vAlign w:val="center"/>
          </w:tcPr>
          <w:p w14:paraId="7F769981" w14:textId="121F2840" w:rsidR="00E03429" w:rsidRDefault="00E03429" w:rsidP="00136FF3">
            <w:r w:rsidRPr="00577569">
              <w:rPr>
                <w:sz w:val="20"/>
                <w:szCs w:val="20"/>
              </w:rPr>
              <w:t xml:space="preserve">Līdzekļu pārdale no izdevumiem transfertu veikšanai pašvaldībām, APP un BNI </w:t>
            </w:r>
          </w:p>
        </w:tc>
        <w:tc>
          <w:tcPr>
            <w:tcW w:w="1264" w:type="dxa"/>
            <w:vAlign w:val="center"/>
          </w:tcPr>
          <w:p w14:paraId="03EBE3B3" w14:textId="204D44A6" w:rsidR="00E03429" w:rsidRDefault="00E03429" w:rsidP="00747DD7">
            <w:pPr>
              <w:jc w:val="center"/>
            </w:pPr>
          </w:p>
        </w:tc>
        <w:tc>
          <w:tcPr>
            <w:tcW w:w="986" w:type="dxa"/>
            <w:vAlign w:val="center"/>
          </w:tcPr>
          <w:p w14:paraId="5652A330" w14:textId="77777777" w:rsidR="00E03429" w:rsidRPr="00577569" w:rsidRDefault="00E03429" w:rsidP="00747DD7">
            <w:pPr>
              <w:jc w:val="center"/>
              <w:rPr>
                <w:sz w:val="20"/>
                <w:szCs w:val="20"/>
              </w:rPr>
            </w:pPr>
            <w:r w:rsidRPr="00577569">
              <w:rPr>
                <w:sz w:val="20"/>
                <w:szCs w:val="20"/>
              </w:rPr>
              <w:t>nav iebildusi</w:t>
            </w:r>
          </w:p>
          <w:p w14:paraId="0B8B0AFE" w14:textId="3B4B4294" w:rsidR="00E03429" w:rsidRDefault="00E03429" w:rsidP="00747DD7">
            <w:pPr>
              <w:jc w:val="center"/>
            </w:pPr>
            <w:r w:rsidRPr="00577569">
              <w:rPr>
                <w:sz w:val="20"/>
                <w:szCs w:val="20"/>
              </w:rPr>
              <w:t>(ja mainās mērķis)</w:t>
            </w:r>
          </w:p>
        </w:tc>
        <w:tc>
          <w:tcPr>
            <w:tcW w:w="1379" w:type="dxa"/>
            <w:vAlign w:val="center"/>
          </w:tcPr>
          <w:p w14:paraId="70317841" w14:textId="5145EEF2" w:rsidR="00E03429" w:rsidRDefault="00E03429" w:rsidP="00747DD7">
            <w:pPr>
              <w:jc w:val="center"/>
            </w:pPr>
            <w:r w:rsidRPr="00577569">
              <w:rPr>
                <w:sz w:val="20"/>
                <w:szCs w:val="20"/>
              </w:rPr>
              <w:t>x (ja mainās mērķis)</w:t>
            </w:r>
          </w:p>
        </w:tc>
        <w:tc>
          <w:tcPr>
            <w:tcW w:w="965" w:type="dxa"/>
            <w:vAlign w:val="center"/>
          </w:tcPr>
          <w:p w14:paraId="34DF487B" w14:textId="4F4F55A4" w:rsidR="00E03429" w:rsidRDefault="00E03429" w:rsidP="00747DD7">
            <w:pPr>
              <w:jc w:val="center"/>
            </w:pPr>
          </w:p>
        </w:tc>
        <w:tc>
          <w:tcPr>
            <w:tcW w:w="1129" w:type="dxa"/>
            <w:vAlign w:val="center"/>
          </w:tcPr>
          <w:p w14:paraId="74EC5BB1" w14:textId="4C233FCC" w:rsidR="00E03429" w:rsidRDefault="00E03429" w:rsidP="00747DD7">
            <w:pPr>
              <w:jc w:val="center"/>
            </w:pPr>
            <w:r w:rsidRPr="00577569">
              <w:rPr>
                <w:sz w:val="20"/>
                <w:szCs w:val="20"/>
              </w:rPr>
              <w:t>x (ja mērķis nemainās)</w:t>
            </w:r>
          </w:p>
        </w:tc>
        <w:tc>
          <w:tcPr>
            <w:tcW w:w="1171" w:type="dxa"/>
          </w:tcPr>
          <w:p w14:paraId="4AC0E8E3" w14:textId="21740C44" w:rsidR="00E03429" w:rsidRPr="00EC3611" w:rsidRDefault="00EC3611" w:rsidP="00136FF3">
            <w:pPr>
              <w:rPr>
                <w:sz w:val="20"/>
                <w:szCs w:val="20"/>
              </w:rPr>
            </w:pPr>
            <w:r>
              <w:rPr>
                <w:sz w:val="20"/>
                <w:szCs w:val="20"/>
              </w:rPr>
              <w:t>9.(13</w:t>
            </w:r>
            <w:r>
              <w:rPr>
                <w:sz w:val="20"/>
                <w:szCs w:val="20"/>
                <w:vertAlign w:val="superscript"/>
              </w:rPr>
              <w:t>7</w:t>
            </w:r>
            <w:r>
              <w:rPr>
                <w:sz w:val="20"/>
                <w:szCs w:val="20"/>
              </w:rPr>
              <w:t>)</w:t>
            </w:r>
          </w:p>
        </w:tc>
        <w:tc>
          <w:tcPr>
            <w:tcW w:w="6776" w:type="dxa"/>
          </w:tcPr>
          <w:p w14:paraId="4218E9B2" w14:textId="24CFAFCE" w:rsidR="00E03429" w:rsidRPr="00577569" w:rsidRDefault="00EC3611" w:rsidP="00136FF3">
            <w:pPr>
              <w:rPr>
                <w:sz w:val="20"/>
                <w:szCs w:val="20"/>
              </w:rPr>
            </w:pPr>
            <w:r w:rsidRPr="00EC3611">
              <w:rPr>
                <w:sz w:val="20"/>
                <w:szCs w:val="20"/>
              </w:rPr>
              <w:t>(13</w:t>
            </w:r>
            <w:r w:rsidRPr="00EC3611">
              <w:rPr>
                <w:sz w:val="20"/>
                <w:szCs w:val="20"/>
                <w:vertAlign w:val="superscript"/>
              </w:rPr>
              <w:t>7</w:t>
            </w:r>
            <w:r w:rsidRPr="00EC3611">
              <w:rPr>
                <w:sz w:val="20"/>
                <w:szCs w:val="20"/>
              </w:rPr>
              <w:t>) Nozares ministram un citas centrālās valsts iestādes vadītājam ir tiesības valsts budžeta izpildes procesā valsts budžeta izdevumu transfertus pašvaldībām, valsts budžeta daļēji finansētām atvasinātām publiskām personām un budžeta nefinansētām iestādēm pārvirzīt citiem mērķiem (ar vai bez izdevumu pārvirzīšanas starp dažādām izdevumu kategorijām) vienas politikas un darbības jomas ietvaros tikai tad, ja ir pieņemts attiecīgs Ministru kabineta lēmums un Saeimas Budžeta un finanšu (nodokļu) komisija piecu darba dienu laikā no attiecīgās informācijas saņemšanas dienas ir izskatījusi to un nav iebildusi pret šīm izmaiņām.</w:t>
            </w:r>
          </w:p>
        </w:tc>
      </w:tr>
      <w:tr w:rsidR="00E03429" w14:paraId="7AC7D162" w14:textId="50CA2822" w:rsidTr="00BC21DD">
        <w:tc>
          <w:tcPr>
            <w:tcW w:w="1827" w:type="dxa"/>
            <w:vAlign w:val="center"/>
          </w:tcPr>
          <w:p w14:paraId="040ED67C" w14:textId="7F535923" w:rsidR="00E03429" w:rsidRDefault="00E03429" w:rsidP="00136FF3">
            <w:r w:rsidRPr="00577569">
              <w:rPr>
                <w:sz w:val="20"/>
                <w:szCs w:val="20"/>
              </w:rPr>
              <w:t>Apropriācijas palielināšana citos gadījumos (spriedumu izpilde, ES pašu resursi, Nodrošinājuma fonds utt.)</w:t>
            </w:r>
          </w:p>
        </w:tc>
        <w:tc>
          <w:tcPr>
            <w:tcW w:w="1264" w:type="dxa"/>
            <w:vAlign w:val="center"/>
          </w:tcPr>
          <w:p w14:paraId="484705D9" w14:textId="31955D67" w:rsidR="00E03429" w:rsidRDefault="00E03429" w:rsidP="00747DD7">
            <w:pPr>
              <w:jc w:val="center"/>
            </w:pPr>
          </w:p>
        </w:tc>
        <w:tc>
          <w:tcPr>
            <w:tcW w:w="986" w:type="dxa"/>
            <w:vAlign w:val="center"/>
          </w:tcPr>
          <w:p w14:paraId="67B83583" w14:textId="0EAEAA2C" w:rsidR="00E03429" w:rsidRDefault="00E03429" w:rsidP="00747DD7">
            <w:pPr>
              <w:jc w:val="center"/>
            </w:pPr>
            <w:r w:rsidRPr="00577569">
              <w:rPr>
                <w:sz w:val="20"/>
                <w:szCs w:val="20"/>
              </w:rPr>
              <w:t>nav iebildusi</w:t>
            </w:r>
          </w:p>
        </w:tc>
        <w:tc>
          <w:tcPr>
            <w:tcW w:w="1379" w:type="dxa"/>
            <w:vAlign w:val="center"/>
          </w:tcPr>
          <w:p w14:paraId="20E9E112" w14:textId="4A2D16AD" w:rsidR="00E03429" w:rsidRDefault="00E03429" w:rsidP="00747DD7">
            <w:pPr>
              <w:jc w:val="center"/>
            </w:pPr>
          </w:p>
        </w:tc>
        <w:tc>
          <w:tcPr>
            <w:tcW w:w="965" w:type="dxa"/>
            <w:vAlign w:val="center"/>
          </w:tcPr>
          <w:p w14:paraId="476C3A64" w14:textId="20388A69" w:rsidR="00E03429" w:rsidRDefault="00E03429" w:rsidP="00747DD7">
            <w:pPr>
              <w:jc w:val="center"/>
            </w:pPr>
            <w:r w:rsidRPr="00577569">
              <w:rPr>
                <w:sz w:val="20"/>
                <w:szCs w:val="20"/>
              </w:rPr>
              <w:t>x</w:t>
            </w:r>
          </w:p>
        </w:tc>
        <w:tc>
          <w:tcPr>
            <w:tcW w:w="1129" w:type="dxa"/>
            <w:vAlign w:val="center"/>
          </w:tcPr>
          <w:p w14:paraId="1E08F9C7" w14:textId="3ECBD805" w:rsidR="00E03429" w:rsidRDefault="00E03429" w:rsidP="00747DD7">
            <w:pPr>
              <w:jc w:val="center"/>
            </w:pPr>
          </w:p>
        </w:tc>
        <w:tc>
          <w:tcPr>
            <w:tcW w:w="1171" w:type="dxa"/>
          </w:tcPr>
          <w:p w14:paraId="234D4178" w14:textId="4233DC03" w:rsidR="00E03429" w:rsidRPr="00577569" w:rsidRDefault="00EC3611" w:rsidP="00136FF3">
            <w:pPr>
              <w:rPr>
                <w:sz w:val="20"/>
                <w:szCs w:val="20"/>
              </w:rPr>
            </w:pPr>
            <w:r>
              <w:rPr>
                <w:sz w:val="20"/>
                <w:szCs w:val="20"/>
              </w:rPr>
              <w:t>9.(14)</w:t>
            </w:r>
          </w:p>
        </w:tc>
        <w:tc>
          <w:tcPr>
            <w:tcW w:w="6776" w:type="dxa"/>
          </w:tcPr>
          <w:p w14:paraId="717C13C9" w14:textId="77777777" w:rsidR="00EC3611" w:rsidRPr="00EC3611" w:rsidRDefault="00EC3611" w:rsidP="00EC3611">
            <w:pPr>
              <w:rPr>
                <w:sz w:val="20"/>
                <w:szCs w:val="20"/>
              </w:rPr>
            </w:pPr>
            <w:r w:rsidRPr="00EC3611">
              <w:rPr>
                <w:sz w:val="20"/>
                <w:szCs w:val="20"/>
              </w:rPr>
              <w:t>(14) Finanšu ministram ir tiesības palielināt valsts budžeta likumā noteikto apropriāciju, ja Saeimas Budžeta un finanšu (nodokļu) komisija piecu darba dienu laikā no attiecīgās informācijas saņemšanas ir izskatījusi to un nav iebildusi pret apropriācijas palielinājumu, tikai šādiem mērķiem:</w:t>
            </w:r>
          </w:p>
          <w:p w14:paraId="400FEB79" w14:textId="77777777" w:rsidR="00EC3611" w:rsidRPr="00EC3611" w:rsidRDefault="00EC3611" w:rsidP="00EC3611">
            <w:pPr>
              <w:rPr>
                <w:sz w:val="20"/>
                <w:szCs w:val="20"/>
              </w:rPr>
            </w:pPr>
            <w:r w:rsidRPr="00EC3611">
              <w:rPr>
                <w:sz w:val="20"/>
                <w:szCs w:val="20"/>
              </w:rPr>
              <w:t>1) </w:t>
            </w:r>
            <w:r w:rsidRPr="00EC3611">
              <w:rPr>
                <w:i/>
                <w:iCs/>
                <w:sz w:val="20"/>
                <w:szCs w:val="20"/>
              </w:rPr>
              <w:t>(izslēgts no </w:t>
            </w:r>
            <w:hyperlink r:id="rId6" w:tgtFrame="_blank" w:history="1">
              <w:r w:rsidRPr="00EC3611">
                <w:rPr>
                  <w:rStyle w:val="Hyperlink"/>
                  <w:i/>
                  <w:iCs/>
                  <w:sz w:val="20"/>
                  <w:szCs w:val="20"/>
                </w:rPr>
                <w:t>01.01.2027.</w:t>
              </w:r>
            </w:hyperlink>
            <w:r w:rsidRPr="00EC3611">
              <w:rPr>
                <w:i/>
                <w:iCs/>
                <w:sz w:val="20"/>
                <w:szCs w:val="20"/>
              </w:rPr>
              <w:t> ar </w:t>
            </w:r>
            <w:hyperlink r:id="rId7" w:tgtFrame="_blank" w:history="1">
              <w:r w:rsidRPr="00EC3611">
                <w:rPr>
                  <w:rStyle w:val="Hyperlink"/>
                  <w:i/>
                  <w:iCs/>
                  <w:sz w:val="20"/>
                  <w:szCs w:val="20"/>
                </w:rPr>
                <w:t>04.12.2024</w:t>
              </w:r>
            </w:hyperlink>
            <w:r w:rsidRPr="00EC3611">
              <w:rPr>
                <w:i/>
                <w:iCs/>
                <w:sz w:val="20"/>
                <w:szCs w:val="20"/>
              </w:rPr>
              <w:t>. likumu. Sk. pārejas noteikumu 112. punktu)</w:t>
            </w:r>
            <w:r w:rsidRPr="00EC3611">
              <w:rPr>
                <w:sz w:val="20"/>
                <w:szCs w:val="20"/>
              </w:rPr>
              <w:t>;</w:t>
            </w:r>
          </w:p>
          <w:p w14:paraId="3DC958B3" w14:textId="77777777" w:rsidR="00EC3611" w:rsidRPr="00EC3611" w:rsidRDefault="00EC3611" w:rsidP="00EC3611">
            <w:pPr>
              <w:rPr>
                <w:sz w:val="20"/>
                <w:szCs w:val="20"/>
              </w:rPr>
            </w:pPr>
            <w:r w:rsidRPr="00EC3611">
              <w:rPr>
                <w:sz w:val="20"/>
                <w:szCs w:val="20"/>
              </w:rPr>
              <w:t>2) Eiropas Savienības pašu resursu palielināšanai un norēķiniem ar Eiropas Savienību;</w:t>
            </w:r>
          </w:p>
          <w:p w14:paraId="705C9966" w14:textId="77777777" w:rsidR="00EC3611" w:rsidRPr="00EC3611" w:rsidRDefault="00EC3611" w:rsidP="00EC3611">
            <w:pPr>
              <w:rPr>
                <w:sz w:val="20"/>
                <w:szCs w:val="20"/>
              </w:rPr>
            </w:pPr>
            <w:r w:rsidRPr="00EC3611">
              <w:rPr>
                <w:sz w:val="20"/>
                <w:szCs w:val="20"/>
              </w:rPr>
              <w:t>3) starptautisko tiesu un Satversmes tiesas spriedumu izpildei;</w:t>
            </w:r>
          </w:p>
          <w:p w14:paraId="2B75DE1C" w14:textId="77777777" w:rsidR="00EC3611" w:rsidRPr="00EC3611" w:rsidRDefault="00EC3611" w:rsidP="00EC3611">
            <w:pPr>
              <w:rPr>
                <w:sz w:val="20"/>
                <w:szCs w:val="20"/>
              </w:rPr>
            </w:pPr>
            <w:r w:rsidRPr="00EC3611">
              <w:rPr>
                <w:sz w:val="20"/>
                <w:szCs w:val="20"/>
              </w:rPr>
              <w:t>4) </w:t>
            </w:r>
            <w:r w:rsidRPr="00EC3611">
              <w:rPr>
                <w:i/>
                <w:iCs/>
                <w:sz w:val="20"/>
                <w:szCs w:val="20"/>
              </w:rPr>
              <w:t>(izslēgts ar </w:t>
            </w:r>
            <w:hyperlink r:id="rId8" w:tgtFrame="_blank" w:history="1">
              <w:r w:rsidRPr="00EC3611">
                <w:rPr>
                  <w:rStyle w:val="Hyperlink"/>
                  <w:i/>
                  <w:iCs/>
                  <w:sz w:val="20"/>
                  <w:szCs w:val="20"/>
                </w:rPr>
                <w:t>06.11.2013</w:t>
              </w:r>
            </w:hyperlink>
            <w:r w:rsidRPr="00EC3611">
              <w:rPr>
                <w:i/>
                <w:iCs/>
                <w:sz w:val="20"/>
                <w:szCs w:val="20"/>
              </w:rPr>
              <w:t>. likumu)</w:t>
            </w:r>
            <w:r w:rsidRPr="00EC3611">
              <w:rPr>
                <w:sz w:val="20"/>
                <w:szCs w:val="20"/>
              </w:rPr>
              <w:t>;</w:t>
            </w:r>
          </w:p>
          <w:p w14:paraId="63D69BFB" w14:textId="77777777" w:rsidR="00EC3611" w:rsidRPr="00EC3611" w:rsidRDefault="00EC3611" w:rsidP="00EC3611">
            <w:pPr>
              <w:rPr>
                <w:sz w:val="20"/>
                <w:szCs w:val="20"/>
              </w:rPr>
            </w:pPr>
            <w:r w:rsidRPr="00EC3611">
              <w:rPr>
                <w:sz w:val="20"/>
                <w:szCs w:val="20"/>
              </w:rPr>
              <w:t>5) Eiropas Savienības politiku instrumentu un citas ārvalstu finanšu palīdzības projektu un pasākumu īstenošanai;</w:t>
            </w:r>
          </w:p>
          <w:p w14:paraId="3B2AD4C9" w14:textId="77777777" w:rsidR="00EC3611" w:rsidRPr="00EC3611" w:rsidRDefault="00EC3611" w:rsidP="00EC3611">
            <w:pPr>
              <w:rPr>
                <w:sz w:val="20"/>
                <w:szCs w:val="20"/>
              </w:rPr>
            </w:pPr>
            <w:r w:rsidRPr="00EC3611">
              <w:rPr>
                <w:sz w:val="20"/>
                <w:szCs w:val="20"/>
              </w:rPr>
              <w:t>6) normatīvajos aktos noteikto speciālā budžeta izdevumu segšanai;</w:t>
            </w:r>
          </w:p>
          <w:p w14:paraId="7531EC5F" w14:textId="77777777" w:rsidR="00EC3611" w:rsidRPr="00EC3611" w:rsidRDefault="00EC3611" w:rsidP="00EC3611">
            <w:pPr>
              <w:rPr>
                <w:sz w:val="20"/>
                <w:szCs w:val="20"/>
              </w:rPr>
            </w:pPr>
            <w:r w:rsidRPr="00EC3611">
              <w:rPr>
                <w:sz w:val="20"/>
                <w:szCs w:val="20"/>
              </w:rPr>
              <w:t>7) likumā noteikto garantēto atlīdzību izmaksai Noguldījumu garantiju fondā trūkstošo līdzekļu nodrošināšanai;</w:t>
            </w:r>
          </w:p>
          <w:p w14:paraId="7672825B" w14:textId="0FE42505" w:rsidR="00E03429" w:rsidRPr="00577569" w:rsidRDefault="00EC3611" w:rsidP="00136FF3">
            <w:pPr>
              <w:rPr>
                <w:sz w:val="20"/>
                <w:szCs w:val="20"/>
              </w:rPr>
            </w:pPr>
            <w:r w:rsidRPr="00EC3611">
              <w:rPr>
                <w:sz w:val="20"/>
                <w:szCs w:val="20"/>
              </w:rPr>
              <w:t>8) iemaksām Eiropas Stabilitātes mehānisma reģistrētajā kapitālā, nepārsniedzot kopējo apmaksāto akciju un kopējo pieprasāmo akciju iegādes saistību apjomu, ja </w:t>
            </w:r>
            <w:r w:rsidRPr="00DD57D7">
              <w:rPr>
                <w:sz w:val="20"/>
                <w:szCs w:val="20"/>
              </w:rPr>
              <w:t>par apropriācijas palielināšanu</w:t>
            </w:r>
            <w:r w:rsidRPr="00EC3611">
              <w:rPr>
                <w:sz w:val="20"/>
                <w:szCs w:val="20"/>
              </w:rPr>
              <w:t> ir pieņemts Ministru kabineta lēmums.</w:t>
            </w:r>
          </w:p>
        </w:tc>
      </w:tr>
      <w:tr w:rsidR="009D3601" w14:paraId="0FA488E7" w14:textId="77777777" w:rsidTr="00BC21DD">
        <w:tc>
          <w:tcPr>
            <w:tcW w:w="1827" w:type="dxa"/>
            <w:vAlign w:val="center"/>
          </w:tcPr>
          <w:p w14:paraId="4BC7D81C" w14:textId="43C3183A" w:rsidR="009D3601" w:rsidRPr="00577569" w:rsidRDefault="009D3601" w:rsidP="00136FF3">
            <w:pPr>
              <w:rPr>
                <w:sz w:val="20"/>
                <w:szCs w:val="20"/>
              </w:rPr>
            </w:pPr>
            <w:r>
              <w:rPr>
                <w:sz w:val="20"/>
                <w:szCs w:val="20"/>
              </w:rPr>
              <w:t>Apro izmaiņas I blokā, kas ietekme max izdevumus nākamajos gados</w:t>
            </w:r>
          </w:p>
        </w:tc>
        <w:tc>
          <w:tcPr>
            <w:tcW w:w="1264" w:type="dxa"/>
            <w:vAlign w:val="center"/>
          </w:tcPr>
          <w:p w14:paraId="4CBA7879" w14:textId="77777777" w:rsidR="009D3601" w:rsidRPr="00577569" w:rsidRDefault="009D3601" w:rsidP="00747DD7">
            <w:pPr>
              <w:jc w:val="center"/>
              <w:rPr>
                <w:sz w:val="20"/>
                <w:szCs w:val="20"/>
              </w:rPr>
            </w:pPr>
          </w:p>
        </w:tc>
        <w:tc>
          <w:tcPr>
            <w:tcW w:w="986" w:type="dxa"/>
            <w:vAlign w:val="center"/>
          </w:tcPr>
          <w:p w14:paraId="28AC8CAE" w14:textId="5014C59A" w:rsidR="009D3601" w:rsidRPr="00577569" w:rsidRDefault="009D3601" w:rsidP="00747DD7">
            <w:pPr>
              <w:jc w:val="center"/>
              <w:rPr>
                <w:sz w:val="20"/>
                <w:szCs w:val="20"/>
              </w:rPr>
            </w:pPr>
            <w:r>
              <w:rPr>
                <w:sz w:val="20"/>
                <w:szCs w:val="20"/>
              </w:rPr>
              <w:t>nav iebildusi</w:t>
            </w:r>
          </w:p>
        </w:tc>
        <w:tc>
          <w:tcPr>
            <w:tcW w:w="1379" w:type="dxa"/>
            <w:vAlign w:val="center"/>
          </w:tcPr>
          <w:p w14:paraId="7E9DB710" w14:textId="0DE57CA9" w:rsidR="009D3601" w:rsidRPr="00577569" w:rsidRDefault="009D3601" w:rsidP="00747DD7">
            <w:pPr>
              <w:jc w:val="center"/>
              <w:rPr>
                <w:sz w:val="20"/>
                <w:szCs w:val="20"/>
              </w:rPr>
            </w:pPr>
            <w:r>
              <w:rPr>
                <w:sz w:val="20"/>
                <w:szCs w:val="20"/>
              </w:rPr>
              <w:t>x</w:t>
            </w:r>
          </w:p>
        </w:tc>
        <w:tc>
          <w:tcPr>
            <w:tcW w:w="965" w:type="dxa"/>
            <w:vAlign w:val="center"/>
          </w:tcPr>
          <w:p w14:paraId="0384E870" w14:textId="77777777" w:rsidR="009D3601" w:rsidRPr="00577569" w:rsidRDefault="009D3601" w:rsidP="00747DD7">
            <w:pPr>
              <w:jc w:val="center"/>
              <w:rPr>
                <w:sz w:val="20"/>
                <w:szCs w:val="20"/>
              </w:rPr>
            </w:pPr>
          </w:p>
        </w:tc>
        <w:tc>
          <w:tcPr>
            <w:tcW w:w="1129" w:type="dxa"/>
            <w:vAlign w:val="center"/>
          </w:tcPr>
          <w:p w14:paraId="1CD5BB79" w14:textId="77777777" w:rsidR="009D3601" w:rsidRPr="00577569" w:rsidRDefault="009D3601" w:rsidP="00747DD7">
            <w:pPr>
              <w:jc w:val="center"/>
              <w:rPr>
                <w:sz w:val="20"/>
                <w:szCs w:val="20"/>
              </w:rPr>
            </w:pPr>
          </w:p>
        </w:tc>
        <w:tc>
          <w:tcPr>
            <w:tcW w:w="1171" w:type="dxa"/>
          </w:tcPr>
          <w:p w14:paraId="4E85DFEE" w14:textId="5F4A5136" w:rsidR="009D3601" w:rsidRDefault="005E67EB" w:rsidP="00136FF3">
            <w:pPr>
              <w:rPr>
                <w:sz w:val="20"/>
                <w:szCs w:val="20"/>
              </w:rPr>
            </w:pPr>
            <w:r w:rsidRPr="00B837D8">
              <w:rPr>
                <w:sz w:val="20"/>
                <w:szCs w:val="20"/>
              </w:rPr>
              <w:t>9.(</w:t>
            </w:r>
            <w:r>
              <w:rPr>
                <w:sz w:val="20"/>
                <w:szCs w:val="20"/>
              </w:rPr>
              <w:t>1</w:t>
            </w:r>
            <w:r w:rsidRPr="00B837D8">
              <w:rPr>
                <w:sz w:val="20"/>
                <w:szCs w:val="20"/>
              </w:rPr>
              <w:t>3</w:t>
            </w:r>
            <w:r>
              <w:rPr>
                <w:sz w:val="20"/>
                <w:szCs w:val="20"/>
                <w:vertAlign w:val="superscript"/>
              </w:rPr>
              <w:t>6</w:t>
            </w:r>
            <w:r>
              <w:rPr>
                <w:sz w:val="20"/>
                <w:szCs w:val="20"/>
              </w:rPr>
              <w:t xml:space="preserve"> 2. pt</w:t>
            </w:r>
            <w:r w:rsidRPr="00B837D8">
              <w:rPr>
                <w:sz w:val="20"/>
                <w:szCs w:val="20"/>
              </w:rPr>
              <w:t>)</w:t>
            </w:r>
          </w:p>
        </w:tc>
        <w:tc>
          <w:tcPr>
            <w:tcW w:w="6776" w:type="dxa"/>
          </w:tcPr>
          <w:p w14:paraId="09789904" w14:textId="77777777" w:rsidR="009D3601" w:rsidRDefault="005E67EB" w:rsidP="00EC3611">
            <w:pPr>
              <w:rPr>
                <w:sz w:val="20"/>
                <w:szCs w:val="20"/>
              </w:rPr>
            </w:pPr>
            <w:r w:rsidRPr="006A31F4">
              <w:rPr>
                <w:sz w:val="20"/>
                <w:szCs w:val="20"/>
              </w:rPr>
              <w:t>13</w:t>
            </w:r>
            <w:r w:rsidRPr="006A31F4">
              <w:rPr>
                <w:sz w:val="20"/>
                <w:szCs w:val="20"/>
                <w:vertAlign w:val="superscript"/>
              </w:rPr>
              <w:t>6</w:t>
            </w:r>
            <w:r w:rsidRPr="006A31F4">
              <w:rPr>
                <w:sz w:val="20"/>
                <w:szCs w:val="20"/>
              </w:rPr>
              <w:t>) Finanšu ministram ir tiesības veikt šādas apropriācijas pārdales un izmaiņas, ja ir pieņemts attiecīgs Ministru kabineta lēmums un Saeimas Budžeta un finanšu (nodokļu) komisija piecu darba dienu laikā no attiecīgās informācijas saņemšanas dienas ir izskatījusi to un nav iebildusi pret:</w:t>
            </w:r>
          </w:p>
          <w:p w14:paraId="00EC988A" w14:textId="0D6E838F" w:rsidR="005E67EB" w:rsidRPr="00EC3611" w:rsidRDefault="005E67EB" w:rsidP="00EC3611">
            <w:pPr>
              <w:rPr>
                <w:sz w:val="20"/>
                <w:szCs w:val="20"/>
              </w:rPr>
            </w:pPr>
            <w:r>
              <w:rPr>
                <w:sz w:val="20"/>
                <w:szCs w:val="20"/>
              </w:rPr>
              <w:t xml:space="preserve">2) </w:t>
            </w:r>
            <w:r w:rsidRPr="005E67EB">
              <w:rPr>
                <w:sz w:val="20"/>
                <w:szCs w:val="20"/>
              </w:rPr>
              <w:t>apropriācijas izmaiņām valsts pamatfunkciju īstenošanai, kas palielina ministrijas vai citas centrālās valsts iestādes turpmākajiem gadiem noteikto maksimāli pieļaujamo izdevumu apjomu</w:t>
            </w:r>
          </w:p>
        </w:tc>
      </w:tr>
      <w:tr w:rsidR="009D3601" w14:paraId="4F070A2F" w14:textId="77777777" w:rsidTr="00BC21DD">
        <w:tc>
          <w:tcPr>
            <w:tcW w:w="1827" w:type="dxa"/>
            <w:vAlign w:val="center"/>
          </w:tcPr>
          <w:p w14:paraId="14DAACF1" w14:textId="34B91584" w:rsidR="009D3601" w:rsidRPr="00577569" w:rsidRDefault="005E67EB" w:rsidP="00136FF3">
            <w:pPr>
              <w:rPr>
                <w:sz w:val="20"/>
                <w:szCs w:val="20"/>
              </w:rPr>
            </w:pPr>
            <w:r>
              <w:rPr>
                <w:sz w:val="20"/>
                <w:szCs w:val="20"/>
              </w:rPr>
              <w:t>Apro pardale starp pamatbudžetu un specbudžetu; apro palielināšanas VSAA specbudžetam</w:t>
            </w:r>
          </w:p>
        </w:tc>
        <w:tc>
          <w:tcPr>
            <w:tcW w:w="1264" w:type="dxa"/>
            <w:vAlign w:val="center"/>
          </w:tcPr>
          <w:p w14:paraId="2429526C" w14:textId="77777777" w:rsidR="009D3601" w:rsidRPr="00577569" w:rsidRDefault="009D3601" w:rsidP="00747DD7">
            <w:pPr>
              <w:jc w:val="center"/>
              <w:rPr>
                <w:sz w:val="20"/>
                <w:szCs w:val="20"/>
              </w:rPr>
            </w:pPr>
          </w:p>
        </w:tc>
        <w:tc>
          <w:tcPr>
            <w:tcW w:w="986" w:type="dxa"/>
            <w:vAlign w:val="center"/>
          </w:tcPr>
          <w:p w14:paraId="604BCDE7" w14:textId="3A0CAC81" w:rsidR="009D3601" w:rsidRPr="00577569" w:rsidRDefault="005E67EB" w:rsidP="00747DD7">
            <w:pPr>
              <w:jc w:val="center"/>
              <w:rPr>
                <w:sz w:val="20"/>
                <w:szCs w:val="20"/>
              </w:rPr>
            </w:pPr>
            <w:r>
              <w:rPr>
                <w:sz w:val="20"/>
                <w:szCs w:val="20"/>
              </w:rPr>
              <w:t>nav iebildusi</w:t>
            </w:r>
          </w:p>
        </w:tc>
        <w:tc>
          <w:tcPr>
            <w:tcW w:w="1379" w:type="dxa"/>
            <w:vAlign w:val="center"/>
          </w:tcPr>
          <w:p w14:paraId="5726FA7F" w14:textId="45EEE541" w:rsidR="009D3601" w:rsidRPr="00577569" w:rsidRDefault="005E67EB" w:rsidP="00747DD7">
            <w:pPr>
              <w:jc w:val="center"/>
              <w:rPr>
                <w:sz w:val="20"/>
                <w:szCs w:val="20"/>
              </w:rPr>
            </w:pPr>
            <w:r>
              <w:rPr>
                <w:sz w:val="20"/>
                <w:szCs w:val="20"/>
              </w:rPr>
              <w:t>x</w:t>
            </w:r>
          </w:p>
        </w:tc>
        <w:tc>
          <w:tcPr>
            <w:tcW w:w="965" w:type="dxa"/>
            <w:vAlign w:val="center"/>
          </w:tcPr>
          <w:p w14:paraId="0D64C357" w14:textId="77777777" w:rsidR="009D3601" w:rsidRPr="00577569" w:rsidRDefault="009D3601" w:rsidP="00747DD7">
            <w:pPr>
              <w:jc w:val="center"/>
              <w:rPr>
                <w:sz w:val="20"/>
                <w:szCs w:val="20"/>
              </w:rPr>
            </w:pPr>
          </w:p>
        </w:tc>
        <w:tc>
          <w:tcPr>
            <w:tcW w:w="1129" w:type="dxa"/>
            <w:vAlign w:val="center"/>
          </w:tcPr>
          <w:p w14:paraId="6DA694FA" w14:textId="77777777" w:rsidR="009D3601" w:rsidRPr="00577569" w:rsidRDefault="009D3601" w:rsidP="00747DD7">
            <w:pPr>
              <w:jc w:val="center"/>
              <w:rPr>
                <w:sz w:val="20"/>
                <w:szCs w:val="20"/>
              </w:rPr>
            </w:pPr>
          </w:p>
        </w:tc>
        <w:tc>
          <w:tcPr>
            <w:tcW w:w="1171" w:type="dxa"/>
          </w:tcPr>
          <w:p w14:paraId="2AAE39C0" w14:textId="304A09B2" w:rsidR="009D3601" w:rsidRDefault="005E67EB" w:rsidP="00136FF3">
            <w:pPr>
              <w:rPr>
                <w:sz w:val="20"/>
                <w:szCs w:val="20"/>
              </w:rPr>
            </w:pPr>
            <w:r w:rsidRPr="00B837D8">
              <w:rPr>
                <w:sz w:val="20"/>
                <w:szCs w:val="20"/>
              </w:rPr>
              <w:t>9.(</w:t>
            </w:r>
            <w:r>
              <w:rPr>
                <w:sz w:val="20"/>
                <w:szCs w:val="20"/>
              </w:rPr>
              <w:t>1</w:t>
            </w:r>
            <w:r w:rsidRPr="00B837D8">
              <w:rPr>
                <w:sz w:val="20"/>
                <w:szCs w:val="20"/>
              </w:rPr>
              <w:t>3</w:t>
            </w:r>
            <w:r>
              <w:rPr>
                <w:sz w:val="20"/>
                <w:szCs w:val="20"/>
                <w:vertAlign w:val="superscript"/>
              </w:rPr>
              <w:t>6</w:t>
            </w:r>
            <w:r>
              <w:rPr>
                <w:sz w:val="20"/>
                <w:szCs w:val="20"/>
              </w:rPr>
              <w:t xml:space="preserve"> 3. un 4.pt</w:t>
            </w:r>
            <w:r w:rsidRPr="00B837D8">
              <w:rPr>
                <w:sz w:val="20"/>
                <w:szCs w:val="20"/>
              </w:rPr>
              <w:t>)</w:t>
            </w:r>
          </w:p>
        </w:tc>
        <w:tc>
          <w:tcPr>
            <w:tcW w:w="6776" w:type="dxa"/>
          </w:tcPr>
          <w:p w14:paraId="6FCF94F8" w14:textId="77777777" w:rsidR="005E67EB" w:rsidRDefault="005E67EB" w:rsidP="005E67EB">
            <w:pPr>
              <w:rPr>
                <w:sz w:val="20"/>
                <w:szCs w:val="20"/>
              </w:rPr>
            </w:pPr>
            <w:r w:rsidRPr="006A31F4">
              <w:rPr>
                <w:sz w:val="20"/>
                <w:szCs w:val="20"/>
              </w:rPr>
              <w:t>13</w:t>
            </w:r>
            <w:r w:rsidRPr="006A31F4">
              <w:rPr>
                <w:sz w:val="20"/>
                <w:szCs w:val="20"/>
                <w:vertAlign w:val="superscript"/>
              </w:rPr>
              <w:t>6</w:t>
            </w:r>
            <w:r w:rsidRPr="006A31F4">
              <w:rPr>
                <w:sz w:val="20"/>
                <w:szCs w:val="20"/>
              </w:rPr>
              <w:t>) Finanšu ministram ir tiesības veikt šādas apropriācijas pārdales un izmaiņas, ja ir pieņemts attiecīgs Ministru kabineta lēmums un Saeimas Budžeta un finanšu (nodokļu) komisija piecu darba dienu laikā no attiecīgās informācijas saņemšanas dienas ir izskatījusi to un nav iebildusi pret:</w:t>
            </w:r>
          </w:p>
          <w:p w14:paraId="168E7D66" w14:textId="77777777" w:rsidR="005E67EB" w:rsidRPr="005E67EB" w:rsidRDefault="005E67EB" w:rsidP="005E67EB">
            <w:pPr>
              <w:rPr>
                <w:sz w:val="20"/>
                <w:szCs w:val="20"/>
              </w:rPr>
            </w:pPr>
            <w:r w:rsidRPr="005E67EB">
              <w:rPr>
                <w:sz w:val="20"/>
                <w:szCs w:val="20"/>
              </w:rPr>
              <w:t>3) apropriācijas pārdali starp valsts budžeta likumā apstiprināto pamatbudžetu un speciālo budžetu;</w:t>
            </w:r>
          </w:p>
          <w:p w14:paraId="78EA4932" w14:textId="79E21052" w:rsidR="009D3601" w:rsidRPr="00EC3611" w:rsidRDefault="005E67EB" w:rsidP="00136FF3">
            <w:pPr>
              <w:rPr>
                <w:sz w:val="20"/>
                <w:szCs w:val="20"/>
              </w:rPr>
            </w:pPr>
            <w:r w:rsidRPr="005E67EB">
              <w:rPr>
                <w:sz w:val="20"/>
                <w:szCs w:val="20"/>
              </w:rPr>
              <w:t>4) apropriācijas pārdali apropriācijas palielināšanai Valsts sociālās apdrošināšanas aģentūras speciālajam budžetam;</w:t>
            </w:r>
          </w:p>
        </w:tc>
      </w:tr>
      <w:tr w:rsidR="00E03429" w14:paraId="33FBD006" w14:textId="21FFCD61" w:rsidTr="00BC21DD">
        <w:tc>
          <w:tcPr>
            <w:tcW w:w="1827" w:type="dxa"/>
            <w:vAlign w:val="center"/>
          </w:tcPr>
          <w:p w14:paraId="47F2C9F1" w14:textId="2FA356A1" w:rsidR="00E03429" w:rsidRDefault="00E03429" w:rsidP="00136FF3">
            <w:r w:rsidRPr="00577569">
              <w:rPr>
                <w:sz w:val="20"/>
                <w:szCs w:val="20"/>
              </w:rPr>
              <w:t>Apropriācijas palielināšana finansēšanas pozīcijās, lai veiktu ieguldījumu kapitālsabiedrībā</w:t>
            </w:r>
          </w:p>
        </w:tc>
        <w:tc>
          <w:tcPr>
            <w:tcW w:w="1264" w:type="dxa"/>
            <w:vAlign w:val="center"/>
          </w:tcPr>
          <w:p w14:paraId="4839FC17" w14:textId="283F3435" w:rsidR="00E03429" w:rsidRDefault="00E03429" w:rsidP="00747DD7">
            <w:pPr>
              <w:jc w:val="center"/>
            </w:pPr>
            <w:r w:rsidRPr="00577569">
              <w:rPr>
                <w:sz w:val="20"/>
                <w:szCs w:val="20"/>
              </w:rPr>
              <w:t>informē</w:t>
            </w:r>
          </w:p>
        </w:tc>
        <w:tc>
          <w:tcPr>
            <w:tcW w:w="986" w:type="dxa"/>
            <w:vAlign w:val="center"/>
          </w:tcPr>
          <w:p w14:paraId="7388DA84" w14:textId="2D2B043F" w:rsidR="00E03429" w:rsidRDefault="00E03429" w:rsidP="00747DD7">
            <w:pPr>
              <w:jc w:val="center"/>
            </w:pPr>
          </w:p>
        </w:tc>
        <w:tc>
          <w:tcPr>
            <w:tcW w:w="1379" w:type="dxa"/>
            <w:vAlign w:val="center"/>
          </w:tcPr>
          <w:p w14:paraId="6433E3D3" w14:textId="15990AD8" w:rsidR="00E03429" w:rsidRDefault="00E03429" w:rsidP="00747DD7">
            <w:pPr>
              <w:jc w:val="center"/>
            </w:pPr>
            <w:r w:rsidRPr="00577569">
              <w:rPr>
                <w:sz w:val="20"/>
                <w:szCs w:val="20"/>
              </w:rPr>
              <w:t>x (un nav ietekmes pēc ESA)</w:t>
            </w:r>
          </w:p>
        </w:tc>
        <w:tc>
          <w:tcPr>
            <w:tcW w:w="965" w:type="dxa"/>
            <w:vAlign w:val="center"/>
          </w:tcPr>
          <w:p w14:paraId="35B808D1" w14:textId="664EA2DA" w:rsidR="00E03429" w:rsidRDefault="00E03429" w:rsidP="00747DD7">
            <w:pPr>
              <w:jc w:val="center"/>
            </w:pPr>
          </w:p>
        </w:tc>
        <w:tc>
          <w:tcPr>
            <w:tcW w:w="1129" w:type="dxa"/>
            <w:vAlign w:val="center"/>
          </w:tcPr>
          <w:p w14:paraId="70371ABB" w14:textId="71CA6759" w:rsidR="00E03429" w:rsidRDefault="00E03429" w:rsidP="00747DD7">
            <w:pPr>
              <w:jc w:val="center"/>
            </w:pPr>
          </w:p>
        </w:tc>
        <w:tc>
          <w:tcPr>
            <w:tcW w:w="1171" w:type="dxa"/>
          </w:tcPr>
          <w:p w14:paraId="45A59FC0" w14:textId="407D95E6" w:rsidR="00E03429" w:rsidRPr="00577569" w:rsidRDefault="00EC3611" w:rsidP="00136FF3">
            <w:pPr>
              <w:rPr>
                <w:sz w:val="20"/>
                <w:szCs w:val="20"/>
              </w:rPr>
            </w:pPr>
            <w:r>
              <w:rPr>
                <w:sz w:val="20"/>
                <w:szCs w:val="20"/>
              </w:rPr>
              <w:t>9.(19)</w:t>
            </w:r>
          </w:p>
        </w:tc>
        <w:tc>
          <w:tcPr>
            <w:tcW w:w="6776" w:type="dxa"/>
          </w:tcPr>
          <w:p w14:paraId="6D76C080" w14:textId="36097DBA" w:rsidR="00E03429" w:rsidRPr="00577569" w:rsidRDefault="00EC3611" w:rsidP="00136FF3">
            <w:pPr>
              <w:rPr>
                <w:sz w:val="20"/>
                <w:szCs w:val="20"/>
              </w:rPr>
            </w:pPr>
            <w:r w:rsidRPr="00EC3611">
              <w:rPr>
                <w:sz w:val="20"/>
                <w:szCs w:val="20"/>
              </w:rPr>
              <w:t>(19) Finanšu ministram ir tiesības, informējot par to Saeimu, palielināt ministrijai vai citai centrālajai valsts iestādei, kas ir kapitāla daļu turētāja attiecīgajā kapitālsabiedrībā, apropriāciju finansēšanas klasifikācijas kategoriju kodiem, lai veiktu ieguldījumu valsts izšķirošajā ietekmē esošo kapitālsabiedrību pamatkapitālā svarīgu valstisku funkciju nodrošināšanai vai tautsaimniecības attīstības veicināšanai. Šādu apropriācijas palielināšanu var veikt, ja ir pieņemts attiecīgs Ministru kabineta lēmums un apropriācijas palielināšanai nav negatīvas ietekmes uz vispārējās valdības budžeta bilanci nominālajā izteiksmē atbilstoši Eiropas nacionālo un reģionālo kontu sistēmas Eiropas Savienībā metodoloģijai.</w:t>
            </w:r>
          </w:p>
        </w:tc>
      </w:tr>
      <w:tr w:rsidR="00E03429" w14:paraId="59CB3B52" w14:textId="7FC3EC87" w:rsidTr="00BC21DD">
        <w:tc>
          <w:tcPr>
            <w:tcW w:w="1827" w:type="dxa"/>
            <w:vAlign w:val="center"/>
          </w:tcPr>
          <w:p w14:paraId="3D7B3DAC" w14:textId="1C606AEB" w:rsidR="00E03429" w:rsidRDefault="00E03429" w:rsidP="00136FF3">
            <w:r w:rsidRPr="00577569">
              <w:rPr>
                <w:sz w:val="20"/>
                <w:szCs w:val="20"/>
              </w:rPr>
              <w:t>Apropriācijas pārdale no izdevumu pozīcijām uz finansēšanas pozīcijām (jomas ietvaros)</w:t>
            </w:r>
          </w:p>
        </w:tc>
        <w:tc>
          <w:tcPr>
            <w:tcW w:w="1264" w:type="dxa"/>
            <w:vAlign w:val="center"/>
          </w:tcPr>
          <w:p w14:paraId="3BF9C128" w14:textId="7CEBBF95" w:rsidR="00E03429" w:rsidRDefault="00DD57D7" w:rsidP="00747DD7">
            <w:pPr>
              <w:jc w:val="center"/>
            </w:pPr>
            <w:r>
              <w:rPr>
                <w:sz w:val="20"/>
                <w:szCs w:val="20"/>
              </w:rPr>
              <w:t>informē</w:t>
            </w:r>
          </w:p>
        </w:tc>
        <w:tc>
          <w:tcPr>
            <w:tcW w:w="986" w:type="dxa"/>
            <w:vAlign w:val="center"/>
          </w:tcPr>
          <w:p w14:paraId="7773F4EB" w14:textId="7B21B9E0" w:rsidR="00E03429" w:rsidRDefault="00E03429" w:rsidP="00747DD7">
            <w:pPr>
              <w:jc w:val="center"/>
            </w:pPr>
          </w:p>
        </w:tc>
        <w:tc>
          <w:tcPr>
            <w:tcW w:w="1379" w:type="dxa"/>
            <w:vAlign w:val="center"/>
          </w:tcPr>
          <w:p w14:paraId="3687CFF6" w14:textId="1A92B260" w:rsidR="00E03429" w:rsidRDefault="00E03429" w:rsidP="00747DD7">
            <w:pPr>
              <w:jc w:val="center"/>
            </w:pPr>
            <w:r w:rsidRPr="00577569">
              <w:rPr>
                <w:sz w:val="20"/>
                <w:szCs w:val="20"/>
              </w:rPr>
              <w:t>x (un nav ietekmes pēc ESA)</w:t>
            </w:r>
          </w:p>
        </w:tc>
        <w:tc>
          <w:tcPr>
            <w:tcW w:w="965" w:type="dxa"/>
            <w:vAlign w:val="center"/>
          </w:tcPr>
          <w:p w14:paraId="1341DC1F" w14:textId="57E4C53A" w:rsidR="00E03429" w:rsidRDefault="00E03429" w:rsidP="00747DD7">
            <w:pPr>
              <w:jc w:val="center"/>
            </w:pPr>
          </w:p>
        </w:tc>
        <w:tc>
          <w:tcPr>
            <w:tcW w:w="1129" w:type="dxa"/>
            <w:vAlign w:val="center"/>
          </w:tcPr>
          <w:p w14:paraId="60A65D3D" w14:textId="7E6F2FD6" w:rsidR="00E03429" w:rsidRDefault="00E03429" w:rsidP="00747DD7">
            <w:pPr>
              <w:jc w:val="center"/>
            </w:pPr>
          </w:p>
        </w:tc>
        <w:tc>
          <w:tcPr>
            <w:tcW w:w="1171" w:type="dxa"/>
          </w:tcPr>
          <w:p w14:paraId="3D6E6AD9" w14:textId="26708139" w:rsidR="00E03429" w:rsidRPr="00577569" w:rsidRDefault="00EC3611" w:rsidP="00136FF3">
            <w:pPr>
              <w:rPr>
                <w:sz w:val="20"/>
                <w:szCs w:val="20"/>
              </w:rPr>
            </w:pPr>
            <w:r>
              <w:rPr>
                <w:sz w:val="20"/>
                <w:szCs w:val="20"/>
              </w:rPr>
              <w:t>9.(18)</w:t>
            </w:r>
          </w:p>
        </w:tc>
        <w:tc>
          <w:tcPr>
            <w:tcW w:w="6776" w:type="dxa"/>
          </w:tcPr>
          <w:p w14:paraId="1A55E4F7" w14:textId="22C08BC1" w:rsidR="00E03429" w:rsidRPr="00577569" w:rsidRDefault="00EC3611" w:rsidP="00136FF3">
            <w:pPr>
              <w:rPr>
                <w:sz w:val="20"/>
                <w:szCs w:val="20"/>
              </w:rPr>
            </w:pPr>
            <w:r w:rsidRPr="00EC3611">
              <w:rPr>
                <w:sz w:val="20"/>
                <w:szCs w:val="20"/>
              </w:rPr>
              <w:t>(18) Finanšu ministram ir tiesības ministrijai vai citai centrālajai valsts iestādei valsts budžeta likumā noteiktās apropriācijas ietvaros pārdalīt apropriāciju no budžeta izdevumiem uz finansēšanas klasifikācijas kategoriju kodiem, ja ir pieņemts attiecīgs Ministru kabineta lēmums un apropriācijas pārdalei nav negatīvas ietekmes uz vispārējās valdības budžeta bilanci nominālajā izteiksmē atbilstoši Eiropas nacionālo un reģionālo kontu sistēmas Eiropas Savienībā metodoloģijai.</w:t>
            </w:r>
          </w:p>
        </w:tc>
      </w:tr>
      <w:tr w:rsidR="005E67EB" w14:paraId="55D3D47D" w14:textId="77777777" w:rsidTr="00BC21DD">
        <w:tc>
          <w:tcPr>
            <w:tcW w:w="1827" w:type="dxa"/>
            <w:vAlign w:val="center"/>
          </w:tcPr>
          <w:p w14:paraId="37ECFFAA" w14:textId="4FC88BF2" w:rsidR="005E67EB" w:rsidRPr="00577569" w:rsidRDefault="005E67EB" w:rsidP="00136FF3">
            <w:pPr>
              <w:rPr>
                <w:sz w:val="20"/>
                <w:szCs w:val="20"/>
              </w:rPr>
            </w:pPr>
            <w:r>
              <w:rPr>
                <w:sz w:val="20"/>
                <w:szCs w:val="20"/>
              </w:rPr>
              <w:t>Palielināt parāda saistības un robežas</w:t>
            </w:r>
          </w:p>
        </w:tc>
        <w:tc>
          <w:tcPr>
            <w:tcW w:w="1264" w:type="dxa"/>
            <w:vAlign w:val="center"/>
          </w:tcPr>
          <w:p w14:paraId="1A18E48B" w14:textId="77777777" w:rsidR="005E67EB" w:rsidRPr="00577569" w:rsidRDefault="005E67EB" w:rsidP="00747DD7">
            <w:pPr>
              <w:jc w:val="center"/>
              <w:rPr>
                <w:sz w:val="20"/>
                <w:szCs w:val="20"/>
              </w:rPr>
            </w:pPr>
          </w:p>
        </w:tc>
        <w:tc>
          <w:tcPr>
            <w:tcW w:w="986" w:type="dxa"/>
            <w:vAlign w:val="center"/>
          </w:tcPr>
          <w:p w14:paraId="48045C6C" w14:textId="26A3F651" w:rsidR="005E67EB" w:rsidRPr="00577569" w:rsidRDefault="005E67EB" w:rsidP="00747DD7">
            <w:pPr>
              <w:jc w:val="center"/>
              <w:rPr>
                <w:sz w:val="20"/>
                <w:szCs w:val="20"/>
              </w:rPr>
            </w:pPr>
            <w:r>
              <w:rPr>
                <w:sz w:val="20"/>
                <w:szCs w:val="20"/>
              </w:rPr>
              <w:t>nav iebildusi</w:t>
            </w:r>
          </w:p>
        </w:tc>
        <w:tc>
          <w:tcPr>
            <w:tcW w:w="1379" w:type="dxa"/>
            <w:vAlign w:val="center"/>
          </w:tcPr>
          <w:p w14:paraId="6A5A705A" w14:textId="77777777" w:rsidR="005E67EB" w:rsidRPr="00577569" w:rsidRDefault="005E67EB" w:rsidP="00747DD7">
            <w:pPr>
              <w:jc w:val="center"/>
              <w:rPr>
                <w:sz w:val="20"/>
                <w:szCs w:val="20"/>
              </w:rPr>
            </w:pPr>
          </w:p>
        </w:tc>
        <w:tc>
          <w:tcPr>
            <w:tcW w:w="965" w:type="dxa"/>
            <w:vAlign w:val="center"/>
          </w:tcPr>
          <w:p w14:paraId="2A9513B9" w14:textId="1A1F6660" w:rsidR="005E67EB" w:rsidRPr="00577569" w:rsidRDefault="005E67EB" w:rsidP="00747DD7">
            <w:pPr>
              <w:jc w:val="center"/>
              <w:rPr>
                <w:sz w:val="20"/>
                <w:szCs w:val="20"/>
              </w:rPr>
            </w:pPr>
            <w:r>
              <w:rPr>
                <w:sz w:val="20"/>
                <w:szCs w:val="20"/>
              </w:rPr>
              <w:t>x</w:t>
            </w:r>
          </w:p>
        </w:tc>
        <w:tc>
          <w:tcPr>
            <w:tcW w:w="1129" w:type="dxa"/>
            <w:vAlign w:val="center"/>
          </w:tcPr>
          <w:p w14:paraId="342270AE" w14:textId="77777777" w:rsidR="005E67EB" w:rsidRPr="00577569" w:rsidRDefault="005E67EB" w:rsidP="00747DD7">
            <w:pPr>
              <w:jc w:val="center"/>
              <w:rPr>
                <w:sz w:val="20"/>
                <w:szCs w:val="20"/>
              </w:rPr>
            </w:pPr>
          </w:p>
        </w:tc>
        <w:tc>
          <w:tcPr>
            <w:tcW w:w="1171" w:type="dxa"/>
          </w:tcPr>
          <w:p w14:paraId="2849A033" w14:textId="08CE22FE" w:rsidR="005E67EB" w:rsidRDefault="005E67EB" w:rsidP="00136FF3">
            <w:pPr>
              <w:rPr>
                <w:sz w:val="20"/>
                <w:szCs w:val="20"/>
              </w:rPr>
            </w:pPr>
            <w:r>
              <w:rPr>
                <w:sz w:val="20"/>
                <w:szCs w:val="20"/>
              </w:rPr>
              <w:t>9.(16)</w:t>
            </w:r>
          </w:p>
        </w:tc>
        <w:tc>
          <w:tcPr>
            <w:tcW w:w="6776" w:type="dxa"/>
          </w:tcPr>
          <w:p w14:paraId="2B9387F7" w14:textId="067AA702" w:rsidR="005E67EB" w:rsidRPr="00EC3611" w:rsidRDefault="005E67EB" w:rsidP="00136FF3">
            <w:pPr>
              <w:rPr>
                <w:sz w:val="20"/>
                <w:szCs w:val="20"/>
              </w:rPr>
            </w:pPr>
            <w:r w:rsidRPr="005E67EB">
              <w:rPr>
                <w:sz w:val="20"/>
                <w:szCs w:val="20"/>
              </w:rPr>
              <w:t>(16) Finanšu ministram ir tiesības palielināt valsts budžeta likumā valsts parāda saistību izpildei noteikto apropriāciju un paplašināt valdības rīcības pieļaujamās robežas, ja Saeimas Budžeta un finanšu (nodokļu) komisija piecu darba dienu laikā no attiecīgās informācijas saņemšanas ir izskatījusi to un nav iebildusi pret apropriācijas palielinājumu un valdības rīcības pieļaujamo robežu paplašināšanu.</w:t>
            </w:r>
          </w:p>
        </w:tc>
      </w:tr>
      <w:tr w:rsidR="00E03429" w14:paraId="3C10A973" w14:textId="6C3D9D30" w:rsidTr="00BC21DD">
        <w:tc>
          <w:tcPr>
            <w:tcW w:w="1827" w:type="dxa"/>
            <w:vAlign w:val="center"/>
          </w:tcPr>
          <w:p w14:paraId="4F145084" w14:textId="3D14BB0B" w:rsidR="00E03429" w:rsidRDefault="00E03429" w:rsidP="00136FF3">
            <w:r w:rsidRPr="00577569">
              <w:rPr>
                <w:sz w:val="20"/>
                <w:szCs w:val="20"/>
              </w:rPr>
              <w:t>Izmaiņas PP piešķirtajā finansējumā (jomas ietvaros)</w:t>
            </w:r>
          </w:p>
        </w:tc>
        <w:tc>
          <w:tcPr>
            <w:tcW w:w="1264" w:type="dxa"/>
            <w:vAlign w:val="center"/>
          </w:tcPr>
          <w:p w14:paraId="5961AD98" w14:textId="0A8B28EB" w:rsidR="00E03429" w:rsidRDefault="00E03429" w:rsidP="00747DD7">
            <w:pPr>
              <w:jc w:val="center"/>
            </w:pPr>
          </w:p>
        </w:tc>
        <w:tc>
          <w:tcPr>
            <w:tcW w:w="986" w:type="dxa"/>
            <w:vAlign w:val="center"/>
          </w:tcPr>
          <w:p w14:paraId="134D91AA" w14:textId="5C8A3178" w:rsidR="00E03429" w:rsidRDefault="00E03429" w:rsidP="00747DD7">
            <w:pPr>
              <w:jc w:val="center"/>
            </w:pPr>
            <w:r w:rsidRPr="00577569">
              <w:rPr>
                <w:sz w:val="20"/>
                <w:szCs w:val="20"/>
              </w:rPr>
              <w:t>nav iebildusi</w:t>
            </w:r>
          </w:p>
        </w:tc>
        <w:tc>
          <w:tcPr>
            <w:tcW w:w="1379" w:type="dxa"/>
            <w:vAlign w:val="center"/>
          </w:tcPr>
          <w:p w14:paraId="21D9DA63" w14:textId="3C98A13C" w:rsidR="00E03429" w:rsidRDefault="00E03429" w:rsidP="00747DD7">
            <w:pPr>
              <w:jc w:val="center"/>
            </w:pPr>
            <w:r w:rsidRPr="00577569">
              <w:rPr>
                <w:sz w:val="20"/>
                <w:szCs w:val="20"/>
              </w:rPr>
              <w:t>x</w:t>
            </w:r>
          </w:p>
        </w:tc>
        <w:tc>
          <w:tcPr>
            <w:tcW w:w="965" w:type="dxa"/>
            <w:vAlign w:val="center"/>
          </w:tcPr>
          <w:p w14:paraId="3D9BC136" w14:textId="17AD82BC" w:rsidR="00E03429" w:rsidRDefault="00E03429" w:rsidP="00747DD7">
            <w:pPr>
              <w:jc w:val="center"/>
            </w:pPr>
          </w:p>
        </w:tc>
        <w:tc>
          <w:tcPr>
            <w:tcW w:w="1129" w:type="dxa"/>
            <w:vAlign w:val="center"/>
          </w:tcPr>
          <w:p w14:paraId="1B5005C4" w14:textId="767D2515" w:rsidR="00E03429" w:rsidRDefault="00E03429" w:rsidP="00747DD7">
            <w:pPr>
              <w:jc w:val="center"/>
            </w:pPr>
          </w:p>
        </w:tc>
        <w:tc>
          <w:tcPr>
            <w:tcW w:w="1171" w:type="dxa"/>
          </w:tcPr>
          <w:p w14:paraId="0A33130F" w14:textId="1F05E09A" w:rsidR="00E03429" w:rsidRPr="00577569" w:rsidRDefault="00DD57D7" w:rsidP="00136FF3">
            <w:pPr>
              <w:rPr>
                <w:sz w:val="20"/>
                <w:szCs w:val="20"/>
              </w:rPr>
            </w:pPr>
            <w:r>
              <w:rPr>
                <w:sz w:val="20"/>
                <w:szCs w:val="20"/>
              </w:rPr>
              <w:t>VB likums</w:t>
            </w:r>
          </w:p>
        </w:tc>
        <w:tc>
          <w:tcPr>
            <w:tcW w:w="6776" w:type="dxa"/>
          </w:tcPr>
          <w:p w14:paraId="49F0E06F" w14:textId="77777777" w:rsidR="00DD57D7" w:rsidRDefault="00DD57D7" w:rsidP="00136FF3">
            <w:pPr>
              <w:rPr>
                <w:sz w:val="20"/>
                <w:szCs w:val="20"/>
              </w:rPr>
            </w:pPr>
            <w:r>
              <w:rPr>
                <w:sz w:val="20"/>
                <w:szCs w:val="20"/>
              </w:rPr>
              <w:t>Valsts budžeta likuma pants, piemēram:</w:t>
            </w:r>
          </w:p>
          <w:p w14:paraId="12C422E4" w14:textId="2935A53D" w:rsidR="00E03429" w:rsidRPr="00577569" w:rsidRDefault="00DD57D7" w:rsidP="00136FF3">
            <w:pPr>
              <w:rPr>
                <w:sz w:val="20"/>
                <w:szCs w:val="20"/>
              </w:rPr>
            </w:pPr>
            <w:r w:rsidRPr="00DD57D7">
              <w:rPr>
                <w:b/>
                <w:bCs/>
                <w:sz w:val="20"/>
                <w:szCs w:val="20"/>
              </w:rPr>
              <w:t>57. pants.</w:t>
            </w:r>
            <w:r w:rsidRPr="00DD57D7">
              <w:rPr>
                <w:sz w:val="20"/>
                <w:szCs w:val="20"/>
              </w:rPr>
              <w:t xml:space="preserve"> Finanšu ministram, veicot apropriāciju pārdales ministrijai vai citai centrālajai valsts iestādei likumā noteiktās apropriācijas ietvaros starp programmām, apakšprogrammām un izdevumu kodiem atbilstoši ekonomiskajām kategorijām, ir tiesības veikt apropriācijas pārdali citiem mērķiem no prioritārajiem pasākumiem 2023.—2025. gadam, 2024.—2026. gadam un 2025.—2027. gadam piešķirtā finansējuma, ja tam nav negatīvas ietekmes uz vispārējās valdības budžeta strukturālo bilanci, ir pieņemts attiecīgs Ministru kabineta lēmums un Saeimas Budžeta un finanšu (nodokļu) komisija piecu darba dienu laikā no attiecīgās informācijas saņemšanas dienas ir to izskatījusi un nav iebildusi pret apropriācijas pārdali. </w:t>
            </w:r>
          </w:p>
        </w:tc>
      </w:tr>
      <w:tr w:rsidR="00E03429" w14:paraId="544EC32D" w14:textId="097B4066" w:rsidTr="00BC21DD">
        <w:tc>
          <w:tcPr>
            <w:tcW w:w="1827" w:type="dxa"/>
            <w:vAlign w:val="center"/>
          </w:tcPr>
          <w:p w14:paraId="7CBF4C6B" w14:textId="44CE8F91" w:rsidR="00E03429" w:rsidRDefault="00E03429" w:rsidP="00136FF3">
            <w:r w:rsidRPr="00577569">
              <w:rPr>
                <w:sz w:val="20"/>
                <w:szCs w:val="20"/>
              </w:rPr>
              <w:t>LNG</w:t>
            </w:r>
            <w:r w:rsidR="00A97B25">
              <w:rPr>
                <w:sz w:val="20"/>
                <w:szCs w:val="20"/>
              </w:rPr>
              <w:t xml:space="preserve"> pārdale uz ministrijām</w:t>
            </w:r>
          </w:p>
        </w:tc>
        <w:tc>
          <w:tcPr>
            <w:tcW w:w="1264" w:type="dxa"/>
            <w:vAlign w:val="center"/>
          </w:tcPr>
          <w:p w14:paraId="51E3945D" w14:textId="3A049F13" w:rsidR="00E03429" w:rsidRDefault="00A97B25" w:rsidP="00747DD7">
            <w:pPr>
              <w:jc w:val="center"/>
            </w:pPr>
            <w:r>
              <w:rPr>
                <w:sz w:val="20"/>
                <w:szCs w:val="20"/>
              </w:rPr>
              <w:t>informē</w:t>
            </w:r>
          </w:p>
        </w:tc>
        <w:tc>
          <w:tcPr>
            <w:tcW w:w="986" w:type="dxa"/>
            <w:vAlign w:val="center"/>
          </w:tcPr>
          <w:p w14:paraId="22BF986A" w14:textId="5E576CE6" w:rsidR="00E03429" w:rsidRDefault="00E03429" w:rsidP="00747DD7">
            <w:pPr>
              <w:jc w:val="center"/>
            </w:pPr>
          </w:p>
        </w:tc>
        <w:tc>
          <w:tcPr>
            <w:tcW w:w="1379" w:type="dxa"/>
            <w:vAlign w:val="center"/>
          </w:tcPr>
          <w:p w14:paraId="2B46F22D" w14:textId="4114129D" w:rsidR="00E03429" w:rsidRDefault="00E03429" w:rsidP="00747DD7">
            <w:pPr>
              <w:jc w:val="center"/>
            </w:pPr>
            <w:r w:rsidRPr="00577569">
              <w:rPr>
                <w:sz w:val="20"/>
                <w:szCs w:val="20"/>
              </w:rPr>
              <w:t>x</w:t>
            </w:r>
          </w:p>
        </w:tc>
        <w:tc>
          <w:tcPr>
            <w:tcW w:w="965" w:type="dxa"/>
            <w:vAlign w:val="center"/>
          </w:tcPr>
          <w:p w14:paraId="5BC56FC1" w14:textId="3A1AF2BE" w:rsidR="00E03429" w:rsidRDefault="00E03429" w:rsidP="00747DD7">
            <w:pPr>
              <w:jc w:val="center"/>
            </w:pPr>
            <w:r w:rsidRPr="00577569">
              <w:rPr>
                <w:sz w:val="20"/>
                <w:szCs w:val="20"/>
              </w:rPr>
              <w:t>x (dažreiz)</w:t>
            </w:r>
          </w:p>
        </w:tc>
        <w:tc>
          <w:tcPr>
            <w:tcW w:w="1129" w:type="dxa"/>
            <w:vAlign w:val="center"/>
          </w:tcPr>
          <w:p w14:paraId="405D1CEC" w14:textId="5AF99AF4" w:rsidR="00E03429" w:rsidRDefault="00E03429" w:rsidP="00747DD7">
            <w:pPr>
              <w:jc w:val="center"/>
            </w:pPr>
          </w:p>
        </w:tc>
        <w:tc>
          <w:tcPr>
            <w:tcW w:w="1171" w:type="dxa"/>
          </w:tcPr>
          <w:p w14:paraId="0D93D4CA" w14:textId="4BDC4870" w:rsidR="00E03429" w:rsidRPr="00577569" w:rsidRDefault="000077B6" w:rsidP="00136FF3">
            <w:pPr>
              <w:rPr>
                <w:sz w:val="20"/>
                <w:szCs w:val="20"/>
              </w:rPr>
            </w:pPr>
            <w:r>
              <w:rPr>
                <w:sz w:val="20"/>
                <w:szCs w:val="20"/>
              </w:rPr>
              <w:t>12.</w:t>
            </w:r>
          </w:p>
        </w:tc>
        <w:tc>
          <w:tcPr>
            <w:tcW w:w="6776" w:type="dxa"/>
          </w:tcPr>
          <w:p w14:paraId="701E57D7" w14:textId="77777777" w:rsidR="00E03429" w:rsidRDefault="000077B6" w:rsidP="00136FF3">
            <w:pPr>
              <w:rPr>
                <w:sz w:val="20"/>
                <w:szCs w:val="20"/>
              </w:rPr>
            </w:pPr>
            <w:r w:rsidRPr="000077B6">
              <w:rPr>
                <w:sz w:val="20"/>
                <w:szCs w:val="20"/>
              </w:rPr>
              <w:t>12. pants. Līdzekļi neparedzētiem gadījumiem</w:t>
            </w:r>
          </w:p>
          <w:p w14:paraId="58624C0A" w14:textId="608D84B7" w:rsidR="009D3601" w:rsidRPr="000077B6" w:rsidRDefault="009D3601" w:rsidP="00136FF3">
            <w:pPr>
              <w:rPr>
                <w:sz w:val="20"/>
                <w:szCs w:val="20"/>
              </w:rPr>
            </w:pPr>
            <w:r>
              <w:rPr>
                <w:sz w:val="20"/>
                <w:szCs w:val="20"/>
              </w:rPr>
              <w:t>+ MK noteikumi Nr.421 sadaļā par LNG pārdalēm</w:t>
            </w:r>
          </w:p>
        </w:tc>
      </w:tr>
      <w:tr w:rsidR="00A97B25" w14:paraId="388FF9C0" w14:textId="77777777" w:rsidTr="00BC21DD">
        <w:tc>
          <w:tcPr>
            <w:tcW w:w="1827" w:type="dxa"/>
            <w:vAlign w:val="center"/>
          </w:tcPr>
          <w:p w14:paraId="15472CB4" w14:textId="0AB12F8E" w:rsidR="00A97B25" w:rsidRPr="00577569" w:rsidDel="009D3601" w:rsidRDefault="00A97B25" w:rsidP="00136FF3">
            <w:pPr>
              <w:rPr>
                <w:sz w:val="20"/>
                <w:szCs w:val="20"/>
              </w:rPr>
            </w:pPr>
            <w:r>
              <w:rPr>
                <w:sz w:val="20"/>
                <w:szCs w:val="20"/>
              </w:rPr>
              <w:t>LNG palielināšana</w:t>
            </w:r>
          </w:p>
        </w:tc>
        <w:tc>
          <w:tcPr>
            <w:tcW w:w="1264" w:type="dxa"/>
            <w:vAlign w:val="center"/>
          </w:tcPr>
          <w:p w14:paraId="668AA844" w14:textId="77777777" w:rsidR="00A97B25" w:rsidRPr="00577569" w:rsidDel="009D3601" w:rsidRDefault="00A97B25" w:rsidP="00747DD7">
            <w:pPr>
              <w:jc w:val="center"/>
              <w:rPr>
                <w:sz w:val="20"/>
                <w:szCs w:val="20"/>
              </w:rPr>
            </w:pPr>
          </w:p>
        </w:tc>
        <w:tc>
          <w:tcPr>
            <w:tcW w:w="986" w:type="dxa"/>
            <w:vAlign w:val="center"/>
          </w:tcPr>
          <w:p w14:paraId="70661F5A" w14:textId="6B48F5D3" w:rsidR="00A97B25" w:rsidRPr="00577569" w:rsidDel="009D3601" w:rsidRDefault="00A97B25" w:rsidP="00747DD7">
            <w:pPr>
              <w:jc w:val="center"/>
              <w:rPr>
                <w:sz w:val="20"/>
                <w:szCs w:val="20"/>
              </w:rPr>
            </w:pPr>
            <w:r>
              <w:rPr>
                <w:sz w:val="20"/>
                <w:szCs w:val="20"/>
              </w:rPr>
              <w:t>Nav iebildusi</w:t>
            </w:r>
          </w:p>
        </w:tc>
        <w:tc>
          <w:tcPr>
            <w:tcW w:w="1379" w:type="dxa"/>
            <w:vAlign w:val="center"/>
          </w:tcPr>
          <w:p w14:paraId="18CDBA0E" w14:textId="4B8DC1BB" w:rsidR="00A97B25" w:rsidRPr="00577569" w:rsidDel="009D3601" w:rsidRDefault="00A97B25" w:rsidP="00747DD7">
            <w:pPr>
              <w:jc w:val="center"/>
              <w:rPr>
                <w:sz w:val="20"/>
                <w:szCs w:val="20"/>
              </w:rPr>
            </w:pPr>
            <w:r>
              <w:rPr>
                <w:sz w:val="20"/>
                <w:szCs w:val="20"/>
              </w:rPr>
              <w:t>x</w:t>
            </w:r>
          </w:p>
        </w:tc>
        <w:tc>
          <w:tcPr>
            <w:tcW w:w="965" w:type="dxa"/>
            <w:vAlign w:val="center"/>
          </w:tcPr>
          <w:p w14:paraId="27677664" w14:textId="77777777" w:rsidR="00A97B25" w:rsidRPr="00577569" w:rsidDel="009D3601" w:rsidRDefault="00A97B25" w:rsidP="00747DD7">
            <w:pPr>
              <w:jc w:val="center"/>
              <w:rPr>
                <w:sz w:val="20"/>
                <w:szCs w:val="20"/>
              </w:rPr>
            </w:pPr>
          </w:p>
        </w:tc>
        <w:tc>
          <w:tcPr>
            <w:tcW w:w="1129" w:type="dxa"/>
            <w:vAlign w:val="center"/>
          </w:tcPr>
          <w:p w14:paraId="4735A2DC" w14:textId="77777777" w:rsidR="00A97B25" w:rsidRPr="00577569" w:rsidDel="009D3601" w:rsidRDefault="00A97B25" w:rsidP="00747DD7">
            <w:pPr>
              <w:jc w:val="center"/>
              <w:rPr>
                <w:sz w:val="20"/>
                <w:szCs w:val="20"/>
              </w:rPr>
            </w:pPr>
          </w:p>
        </w:tc>
        <w:tc>
          <w:tcPr>
            <w:tcW w:w="1171" w:type="dxa"/>
          </w:tcPr>
          <w:p w14:paraId="6FB5A52A" w14:textId="34A1E7D1" w:rsidR="00A97B25" w:rsidRPr="00A97B25" w:rsidDel="009D3601" w:rsidRDefault="00A97B25" w:rsidP="00136FF3">
            <w:pPr>
              <w:rPr>
                <w:sz w:val="20"/>
                <w:szCs w:val="20"/>
              </w:rPr>
            </w:pPr>
            <w:r>
              <w:rPr>
                <w:sz w:val="20"/>
                <w:szCs w:val="20"/>
              </w:rPr>
              <w:t>12.(3</w:t>
            </w:r>
            <w:r>
              <w:rPr>
                <w:sz w:val="20"/>
                <w:szCs w:val="20"/>
                <w:vertAlign w:val="superscript"/>
              </w:rPr>
              <w:t>1</w:t>
            </w:r>
            <w:r>
              <w:rPr>
                <w:sz w:val="20"/>
                <w:szCs w:val="20"/>
              </w:rPr>
              <w:t>)</w:t>
            </w:r>
          </w:p>
        </w:tc>
        <w:tc>
          <w:tcPr>
            <w:tcW w:w="6776" w:type="dxa"/>
          </w:tcPr>
          <w:p w14:paraId="64BDB0E9" w14:textId="62CFA382" w:rsidR="00A97B25" w:rsidRDefault="00A97B25" w:rsidP="00136FF3">
            <w:pPr>
              <w:rPr>
                <w:sz w:val="20"/>
                <w:szCs w:val="20"/>
              </w:rPr>
            </w:pPr>
            <w:r>
              <w:rPr>
                <w:sz w:val="20"/>
                <w:szCs w:val="20"/>
              </w:rPr>
              <w:t>12.pants.</w:t>
            </w:r>
          </w:p>
          <w:p w14:paraId="268E34E5" w14:textId="1138B4F8" w:rsidR="00A97B25" w:rsidRPr="000077B6" w:rsidDel="009D3601" w:rsidRDefault="00A97B25" w:rsidP="00136FF3">
            <w:pPr>
              <w:rPr>
                <w:sz w:val="20"/>
                <w:szCs w:val="20"/>
              </w:rPr>
            </w:pPr>
            <w:r w:rsidRPr="00A97B25">
              <w:rPr>
                <w:sz w:val="20"/>
                <w:szCs w:val="20"/>
              </w:rPr>
              <w:t>(3</w:t>
            </w:r>
            <w:r w:rsidRPr="00A97B25">
              <w:rPr>
                <w:sz w:val="20"/>
                <w:szCs w:val="20"/>
                <w:vertAlign w:val="superscript"/>
              </w:rPr>
              <w:t>1</w:t>
            </w:r>
            <w:r w:rsidRPr="00A97B25">
              <w:rPr>
                <w:sz w:val="20"/>
                <w:szCs w:val="20"/>
              </w:rPr>
              <w:t>) Finanšu ministram ir tiesības palielināt valsts budžeta likumā noteikto apropriāciju līdzekļiem neparedzētiem gadījumiem ārkārtas situāciju novēršanai un neparedzētiem izdevumiem katastrofu, dabas stihiju un ugunsgrēku seku novēršanai un to radīto zaudējumu kompensēšanai. Apropriācijas palielinājums nedrīkst pārsniegt 0,05 procentus no valsts budžeta likumā noteiktās iekšzemes kopprodukta prognozes apjoma. Apropriāciju minētajam mērķim atļauts palielināt, ja Ministru kabinets ir pieņēmis lēmumu un Saeimas Budžeta un finanšu (nodokļu) komisija piecu darba dienu laikā no attiecīgās informācijas saņemšanas dienas ir to izskatījusi un nav iebildusi pret apropriācijas palielinājumu.</w:t>
            </w:r>
          </w:p>
        </w:tc>
      </w:tr>
      <w:tr w:rsidR="00E03429" w14:paraId="422F19E0" w14:textId="3E2F843B" w:rsidTr="00BC21DD">
        <w:tc>
          <w:tcPr>
            <w:tcW w:w="1827" w:type="dxa"/>
            <w:vAlign w:val="center"/>
          </w:tcPr>
          <w:p w14:paraId="6FB3C908" w14:textId="751FBC12" w:rsidR="00E03429" w:rsidRDefault="00E03429" w:rsidP="00136FF3">
            <w:r w:rsidRPr="00577569">
              <w:rPr>
                <w:sz w:val="20"/>
                <w:szCs w:val="20"/>
              </w:rPr>
              <w:t>Apropriācijas rezerve (uz to pašu jomu, kur izveidojās neizlietotie asignējumi)</w:t>
            </w:r>
          </w:p>
        </w:tc>
        <w:tc>
          <w:tcPr>
            <w:tcW w:w="1264" w:type="dxa"/>
            <w:vAlign w:val="center"/>
          </w:tcPr>
          <w:p w14:paraId="5F341B42" w14:textId="2EB79B46" w:rsidR="00E03429" w:rsidRDefault="00E03429" w:rsidP="00747DD7">
            <w:pPr>
              <w:jc w:val="center"/>
            </w:pPr>
          </w:p>
        </w:tc>
        <w:tc>
          <w:tcPr>
            <w:tcW w:w="986" w:type="dxa"/>
            <w:vAlign w:val="center"/>
          </w:tcPr>
          <w:p w14:paraId="6D06ADC8" w14:textId="54CCA704" w:rsidR="00E03429" w:rsidRDefault="00E03429" w:rsidP="00747DD7">
            <w:pPr>
              <w:jc w:val="center"/>
            </w:pPr>
          </w:p>
        </w:tc>
        <w:tc>
          <w:tcPr>
            <w:tcW w:w="1379" w:type="dxa"/>
            <w:vAlign w:val="center"/>
          </w:tcPr>
          <w:p w14:paraId="3445C6B2" w14:textId="5CC2DFE8" w:rsidR="00E03429" w:rsidRDefault="00E03429" w:rsidP="00747DD7">
            <w:pPr>
              <w:jc w:val="center"/>
            </w:pPr>
            <w:r w:rsidRPr="00577569">
              <w:rPr>
                <w:sz w:val="20"/>
                <w:szCs w:val="20"/>
              </w:rPr>
              <w:t>x (ja nav saskaņots)</w:t>
            </w:r>
          </w:p>
        </w:tc>
        <w:tc>
          <w:tcPr>
            <w:tcW w:w="965" w:type="dxa"/>
            <w:vAlign w:val="center"/>
          </w:tcPr>
          <w:p w14:paraId="73E46A03" w14:textId="3B14C157" w:rsidR="00E03429" w:rsidRDefault="00E03429" w:rsidP="00747DD7">
            <w:pPr>
              <w:jc w:val="center"/>
            </w:pPr>
            <w:r w:rsidRPr="00577569">
              <w:rPr>
                <w:sz w:val="20"/>
                <w:szCs w:val="20"/>
              </w:rPr>
              <w:t>x</w:t>
            </w:r>
          </w:p>
        </w:tc>
        <w:tc>
          <w:tcPr>
            <w:tcW w:w="1129" w:type="dxa"/>
            <w:vAlign w:val="center"/>
          </w:tcPr>
          <w:p w14:paraId="1CC3DCA5" w14:textId="4A303572" w:rsidR="00E03429" w:rsidRDefault="00E03429" w:rsidP="00747DD7">
            <w:pPr>
              <w:jc w:val="center"/>
            </w:pPr>
          </w:p>
        </w:tc>
        <w:tc>
          <w:tcPr>
            <w:tcW w:w="1171" w:type="dxa"/>
          </w:tcPr>
          <w:p w14:paraId="2009EF41" w14:textId="6FD2E42C" w:rsidR="00E03429" w:rsidRPr="000077B6" w:rsidRDefault="000077B6" w:rsidP="00136FF3">
            <w:pPr>
              <w:rPr>
                <w:sz w:val="20"/>
                <w:szCs w:val="20"/>
              </w:rPr>
            </w:pPr>
            <w:r>
              <w:rPr>
                <w:sz w:val="20"/>
                <w:szCs w:val="20"/>
              </w:rPr>
              <w:t>9</w:t>
            </w:r>
            <w:r>
              <w:rPr>
                <w:sz w:val="20"/>
                <w:szCs w:val="20"/>
                <w:vertAlign w:val="superscript"/>
              </w:rPr>
              <w:t>1</w:t>
            </w:r>
            <w:r>
              <w:rPr>
                <w:sz w:val="20"/>
                <w:szCs w:val="20"/>
              </w:rPr>
              <w:t>(3)</w:t>
            </w:r>
            <w:r w:rsidR="00A97B25">
              <w:rPr>
                <w:sz w:val="20"/>
                <w:szCs w:val="20"/>
              </w:rPr>
              <w:t xml:space="preserve"> pirmais teikums</w:t>
            </w:r>
          </w:p>
        </w:tc>
        <w:tc>
          <w:tcPr>
            <w:tcW w:w="6776" w:type="dxa"/>
          </w:tcPr>
          <w:p w14:paraId="3FF0971D" w14:textId="340E8AC3" w:rsidR="00E03429" w:rsidRPr="00577569" w:rsidRDefault="000077B6" w:rsidP="00136FF3">
            <w:pPr>
              <w:rPr>
                <w:sz w:val="20"/>
                <w:szCs w:val="20"/>
              </w:rPr>
            </w:pPr>
            <w:r w:rsidRPr="000077B6">
              <w:rPr>
                <w:sz w:val="20"/>
                <w:szCs w:val="20"/>
              </w:rPr>
              <w:t>(3) Finanšu ministram ir tiesības neizlietoto asignējumu rezervi pārdalīt ministrijām un citām centrālajām valsts iestādēm uz to pašu politikas un darbības jomu, kurā attiecīgajam budžeta resoram iepriekšējā saimnieciskajā gadā izveidojās neizlietotie asignējumi valsts pamatfunkciju īstenošanai, kuru resurss izdevumu segšanai bija dotācija no vispārējiem ieņēmumiem. Ja neizlietoto asignējumu rezervi nepieciešams pārdalīt uz citu politikas un darbības jomu, tad piemēro šā likuma </w:t>
            </w:r>
            <w:hyperlink r:id="rId9" w:anchor="p9" w:history="1">
              <w:r w:rsidRPr="000077B6">
                <w:rPr>
                  <w:rStyle w:val="Hyperlink"/>
                  <w:sz w:val="20"/>
                  <w:szCs w:val="20"/>
                </w:rPr>
                <w:t>9.</w:t>
              </w:r>
            </w:hyperlink>
            <w:r w:rsidRPr="000077B6">
              <w:rPr>
                <w:sz w:val="20"/>
                <w:szCs w:val="20"/>
              </w:rPr>
              <w:t> panta piecpadsmitajā daļā minēto kārtību.</w:t>
            </w:r>
          </w:p>
        </w:tc>
      </w:tr>
      <w:tr w:rsidR="005E67EB" w14:paraId="73FD0825" w14:textId="77777777" w:rsidTr="00BC21DD">
        <w:tc>
          <w:tcPr>
            <w:tcW w:w="1827" w:type="dxa"/>
            <w:vAlign w:val="center"/>
          </w:tcPr>
          <w:p w14:paraId="210F4438" w14:textId="77013D16" w:rsidR="005E67EB" w:rsidRPr="00577569" w:rsidRDefault="005E67EB" w:rsidP="00136FF3">
            <w:pPr>
              <w:rPr>
                <w:sz w:val="20"/>
                <w:szCs w:val="20"/>
              </w:rPr>
            </w:pPr>
            <w:r w:rsidRPr="00577569">
              <w:rPr>
                <w:sz w:val="20"/>
                <w:szCs w:val="20"/>
              </w:rPr>
              <w:t>Apropriācijas rezerve (uz citu jomu</w:t>
            </w:r>
            <w:r>
              <w:rPr>
                <w:sz w:val="20"/>
                <w:szCs w:val="20"/>
              </w:rPr>
              <w:t>, kur neizveidojās konkrētie neizlietotie asignējumi</w:t>
            </w:r>
            <w:r w:rsidRPr="00577569">
              <w:rPr>
                <w:sz w:val="20"/>
                <w:szCs w:val="20"/>
              </w:rPr>
              <w:t>)</w:t>
            </w:r>
          </w:p>
        </w:tc>
        <w:tc>
          <w:tcPr>
            <w:tcW w:w="1264" w:type="dxa"/>
            <w:vAlign w:val="center"/>
          </w:tcPr>
          <w:p w14:paraId="61B8DA21" w14:textId="0B1BACDE" w:rsidR="005E67EB" w:rsidRPr="00577569" w:rsidRDefault="005E67EB" w:rsidP="00747DD7">
            <w:pPr>
              <w:jc w:val="center"/>
              <w:rPr>
                <w:sz w:val="20"/>
                <w:szCs w:val="20"/>
              </w:rPr>
            </w:pPr>
            <w:r>
              <w:rPr>
                <w:sz w:val="20"/>
                <w:szCs w:val="20"/>
              </w:rPr>
              <w:t>x</w:t>
            </w:r>
          </w:p>
        </w:tc>
        <w:tc>
          <w:tcPr>
            <w:tcW w:w="986" w:type="dxa"/>
            <w:vAlign w:val="center"/>
          </w:tcPr>
          <w:p w14:paraId="0B951043" w14:textId="77777777" w:rsidR="005E67EB" w:rsidRPr="00577569" w:rsidRDefault="005E67EB" w:rsidP="00747DD7">
            <w:pPr>
              <w:jc w:val="center"/>
              <w:rPr>
                <w:sz w:val="20"/>
                <w:szCs w:val="20"/>
              </w:rPr>
            </w:pPr>
          </w:p>
        </w:tc>
        <w:tc>
          <w:tcPr>
            <w:tcW w:w="1379" w:type="dxa"/>
            <w:vAlign w:val="center"/>
          </w:tcPr>
          <w:p w14:paraId="709D9FDF" w14:textId="72ACC1FA" w:rsidR="005E67EB" w:rsidRPr="00577569" w:rsidRDefault="005E67EB" w:rsidP="00747DD7">
            <w:pPr>
              <w:jc w:val="center"/>
              <w:rPr>
                <w:sz w:val="20"/>
                <w:szCs w:val="20"/>
              </w:rPr>
            </w:pPr>
            <w:r>
              <w:rPr>
                <w:sz w:val="20"/>
                <w:szCs w:val="20"/>
              </w:rPr>
              <w:t>x</w:t>
            </w:r>
          </w:p>
        </w:tc>
        <w:tc>
          <w:tcPr>
            <w:tcW w:w="965" w:type="dxa"/>
            <w:vAlign w:val="center"/>
          </w:tcPr>
          <w:p w14:paraId="6A0B1D6E" w14:textId="77777777" w:rsidR="005E67EB" w:rsidRPr="00577569" w:rsidRDefault="005E67EB" w:rsidP="00747DD7">
            <w:pPr>
              <w:jc w:val="center"/>
              <w:rPr>
                <w:sz w:val="20"/>
                <w:szCs w:val="20"/>
              </w:rPr>
            </w:pPr>
          </w:p>
        </w:tc>
        <w:tc>
          <w:tcPr>
            <w:tcW w:w="1129" w:type="dxa"/>
            <w:vAlign w:val="center"/>
          </w:tcPr>
          <w:p w14:paraId="4774E2B2" w14:textId="77777777" w:rsidR="005E67EB" w:rsidRPr="00577569" w:rsidRDefault="005E67EB" w:rsidP="00747DD7">
            <w:pPr>
              <w:jc w:val="center"/>
              <w:rPr>
                <w:sz w:val="20"/>
                <w:szCs w:val="20"/>
              </w:rPr>
            </w:pPr>
          </w:p>
        </w:tc>
        <w:tc>
          <w:tcPr>
            <w:tcW w:w="1171" w:type="dxa"/>
          </w:tcPr>
          <w:p w14:paraId="6A29A96B" w14:textId="41488DF9" w:rsidR="005E67EB" w:rsidRDefault="00A97B25" w:rsidP="00136FF3">
            <w:pPr>
              <w:rPr>
                <w:sz w:val="20"/>
                <w:szCs w:val="20"/>
              </w:rPr>
            </w:pPr>
            <w:r>
              <w:rPr>
                <w:sz w:val="20"/>
                <w:szCs w:val="20"/>
              </w:rPr>
              <w:t>9</w:t>
            </w:r>
            <w:r>
              <w:rPr>
                <w:sz w:val="20"/>
                <w:szCs w:val="20"/>
                <w:vertAlign w:val="superscript"/>
              </w:rPr>
              <w:t>1</w:t>
            </w:r>
            <w:r>
              <w:rPr>
                <w:sz w:val="20"/>
                <w:szCs w:val="20"/>
              </w:rPr>
              <w:t>(3) otrais teikums</w:t>
            </w:r>
          </w:p>
        </w:tc>
        <w:tc>
          <w:tcPr>
            <w:tcW w:w="6776" w:type="dxa"/>
          </w:tcPr>
          <w:p w14:paraId="5B555725" w14:textId="3001A850" w:rsidR="005E67EB" w:rsidRPr="000077B6" w:rsidRDefault="00A97B25" w:rsidP="000077B6">
            <w:pPr>
              <w:rPr>
                <w:sz w:val="20"/>
                <w:szCs w:val="20"/>
              </w:rPr>
            </w:pPr>
            <w:r w:rsidRPr="000077B6">
              <w:rPr>
                <w:sz w:val="20"/>
                <w:szCs w:val="20"/>
              </w:rPr>
              <w:t>(3) Finanšu ministram ir tiesības neizlietoto asignējumu rezervi pārdalīt ministrijām un citām centrālajām valsts iestādēm uz to pašu politikas un darbības jomu, kurā attiecīgajam budžeta resoram iepriekšējā saimnieciskajā gadā izveidojās neizlietotie asignējumi valsts pamatfunkciju īstenošanai, kuru resurss izdevumu segšanai bija dotācija no vispārējiem ieņēmumiem. Ja neizlietoto asignējumu rezervi nepieciešams pārdalīt uz citu politikas un darbības jomu, tad piemēro šā likuma </w:t>
            </w:r>
            <w:hyperlink r:id="rId10" w:anchor="p9" w:history="1">
              <w:r w:rsidRPr="000077B6">
                <w:rPr>
                  <w:rStyle w:val="Hyperlink"/>
                  <w:sz w:val="20"/>
                  <w:szCs w:val="20"/>
                </w:rPr>
                <w:t>9.</w:t>
              </w:r>
            </w:hyperlink>
            <w:r w:rsidRPr="000077B6">
              <w:rPr>
                <w:sz w:val="20"/>
                <w:szCs w:val="20"/>
              </w:rPr>
              <w:t> panta piecpadsmitajā daļā minēto kārtību.</w:t>
            </w:r>
          </w:p>
        </w:tc>
      </w:tr>
      <w:tr w:rsidR="00E03429" w14:paraId="39B4A0BE" w14:textId="0BE1F88C" w:rsidTr="00BC21DD">
        <w:tc>
          <w:tcPr>
            <w:tcW w:w="1827" w:type="dxa"/>
            <w:vAlign w:val="center"/>
          </w:tcPr>
          <w:p w14:paraId="59452D79" w14:textId="34EE2467" w:rsidR="00E03429" w:rsidRDefault="00E03429" w:rsidP="00136FF3">
            <w:r w:rsidRPr="00577569">
              <w:rPr>
                <w:sz w:val="20"/>
                <w:szCs w:val="20"/>
              </w:rPr>
              <w:t xml:space="preserve">Apropriācijas rezerve </w:t>
            </w:r>
            <w:r w:rsidR="00A97B25">
              <w:rPr>
                <w:sz w:val="20"/>
                <w:szCs w:val="20"/>
              </w:rPr>
              <w:t>pabeigto ĀFP projektu uzturēšanai</w:t>
            </w:r>
          </w:p>
        </w:tc>
        <w:tc>
          <w:tcPr>
            <w:tcW w:w="1264" w:type="dxa"/>
            <w:vAlign w:val="center"/>
          </w:tcPr>
          <w:p w14:paraId="4DEE5F23" w14:textId="196971AE" w:rsidR="00E03429" w:rsidRDefault="00E03429" w:rsidP="00747DD7">
            <w:pPr>
              <w:jc w:val="center"/>
            </w:pPr>
          </w:p>
        </w:tc>
        <w:tc>
          <w:tcPr>
            <w:tcW w:w="986" w:type="dxa"/>
            <w:vAlign w:val="center"/>
          </w:tcPr>
          <w:p w14:paraId="4CC495EF" w14:textId="367F2CF5" w:rsidR="00E03429" w:rsidRDefault="00E03429" w:rsidP="00747DD7">
            <w:pPr>
              <w:jc w:val="center"/>
            </w:pPr>
          </w:p>
        </w:tc>
        <w:tc>
          <w:tcPr>
            <w:tcW w:w="1379" w:type="dxa"/>
            <w:vAlign w:val="center"/>
          </w:tcPr>
          <w:p w14:paraId="2CB8D1F5" w14:textId="59D620D9" w:rsidR="00E03429" w:rsidRDefault="00E03429" w:rsidP="00747DD7">
            <w:pPr>
              <w:jc w:val="center"/>
            </w:pPr>
          </w:p>
        </w:tc>
        <w:tc>
          <w:tcPr>
            <w:tcW w:w="965" w:type="dxa"/>
            <w:vAlign w:val="center"/>
          </w:tcPr>
          <w:p w14:paraId="495B7F91" w14:textId="13BA6476" w:rsidR="00E03429" w:rsidRDefault="00A97B25" w:rsidP="00747DD7">
            <w:pPr>
              <w:jc w:val="center"/>
            </w:pPr>
            <w:r>
              <w:rPr>
                <w:sz w:val="20"/>
                <w:szCs w:val="20"/>
              </w:rPr>
              <w:t>x</w:t>
            </w:r>
          </w:p>
        </w:tc>
        <w:tc>
          <w:tcPr>
            <w:tcW w:w="1129" w:type="dxa"/>
            <w:vAlign w:val="center"/>
          </w:tcPr>
          <w:p w14:paraId="5639B62A" w14:textId="47EC84FA" w:rsidR="00E03429" w:rsidRDefault="00E03429" w:rsidP="00747DD7">
            <w:pPr>
              <w:jc w:val="center"/>
            </w:pPr>
          </w:p>
        </w:tc>
        <w:tc>
          <w:tcPr>
            <w:tcW w:w="1171" w:type="dxa"/>
          </w:tcPr>
          <w:p w14:paraId="16C9A62F" w14:textId="01D149F9" w:rsidR="00E03429" w:rsidRPr="00577569" w:rsidRDefault="000077B6" w:rsidP="00136FF3">
            <w:pPr>
              <w:rPr>
                <w:sz w:val="20"/>
                <w:szCs w:val="20"/>
              </w:rPr>
            </w:pPr>
            <w:r>
              <w:rPr>
                <w:sz w:val="20"/>
                <w:szCs w:val="20"/>
              </w:rPr>
              <w:t>9</w:t>
            </w:r>
            <w:r>
              <w:rPr>
                <w:sz w:val="20"/>
                <w:szCs w:val="20"/>
                <w:vertAlign w:val="superscript"/>
              </w:rPr>
              <w:t>1</w:t>
            </w:r>
            <w:r>
              <w:rPr>
                <w:sz w:val="20"/>
                <w:szCs w:val="20"/>
              </w:rPr>
              <w:t>(2)</w:t>
            </w:r>
          </w:p>
        </w:tc>
        <w:tc>
          <w:tcPr>
            <w:tcW w:w="6776" w:type="dxa"/>
          </w:tcPr>
          <w:p w14:paraId="18EC1C78" w14:textId="77777777" w:rsidR="000077B6" w:rsidRPr="000077B6" w:rsidRDefault="000077B6" w:rsidP="000077B6">
            <w:pPr>
              <w:rPr>
                <w:sz w:val="20"/>
                <w:szCs w:val="20"/>
              </w:rPr>
            </w:pPr>
            <w:r w:rsidRPr="000077B6">
              <w:rPr>
                <w:sz w:val="20"/>
                <w:szCs w:val="20"/>
              </w:rPr>
              <w:t>(2) Finanšu ministram ir tiesības projektu uzturēšanas apropriācijas rezervi pārdalīt ministrijām un citām centrālajām valsts iestādēm, lai ministrijas un citas centrālās valsts iestādes varētu nodrošināt pabeigto Eiropas Savienības politiku instrumentu un pārējo ārvalstu finanšu palīdzības līdzfinansēto projektu uzturēšanu, ievērojot šādus nosacījumus:</w:t>
            </w:r>
          </w:p>
          <w:p w14:paraId="350CE09D" w14:textId="77777777" w:rsidR="000077B6" w:rsidRPr="000077B6" w:rsidRDefault="000077B6" w:rsidP="000077B6">
            <w:pPr>
              <w:rPr>
                <w:sz w:val="20"/>
                <w:szCs w:val="20"/>
              </w:rPr>
            </w:pPr>
            <w:r w:rsidRPr="000077B6">
              <w:rPr>
                <w:sz w:val="20"/>
                <w:szCs w:val="20"/>
              </w:rPr>
              <w:t>1) projekts vai tā posms ir pilnībā pabeigts, nodots ekspluatācijā, par to ir veikts galīgā norēķina maksājums un tas turpmāk finansējams no valsts budžeta līdzekļiem;</w:t>
            </w:r>
          </w:p>
          <w:p w14:paraId="4A11C9A4" w14:textId="77777777" w:rsidR="000077B6" w:rsidRPr="000077B6" w:rsidRDefault="000077B6" w:rsidP="000077B6">
            <w:pPr>
              <w:rPr>
                <w:sz w:val="20"/>
                <w:szCs w:val="20"/>
              </w:rPr>
            </w:pPr>
            <w:r w:rsidRPr="000077B6">
              <w:rPr>
                <w:sz w:val="20"/>
                <w:szCs w:val="20"/>
              </w:rPr>
              <w:t>2) valsts budžeta likumprojekta uzturēšanai apropriācija nav piešķirta;</w:t>
            </w:r>
          </w:p>
          <w:p w14:paraId="7708D17F" w14:textId="3DC3B9A9" w:rsidR="00E03429" w:rsidRPr="00577569" w:rsidRDefault="000077B6" w:rsidP="00136FF3">
            <w:pPr>
              <w:rPr>
                <w:sz w:val="20"/>
                <w:szCs w:val="20"/>
              </w:rPr>
            </w:pPr>
            <w:r w:rsidRPr="000077B6">
              <w:rPr>
                <w:sz w:val="20"/>
                <w:szCs w:val="20"/>
              </w:rPr>
              <w:t>3) informācijas un komunikācijas tehnoloģiju projekti tiek uzturēti atbilstoši noslēgtajiem līgumiem, citiem pamatojuma dokumentiem un aprēķiniem par informācijas sistēmām nepieciešamajiem uzturēšanas izdevumiem, pievienojot Viedās administrācijas un reģionālās attīstības ministrijas atzinumu.</w:t>
            </w:r>
          </w:p>
        </w:tc>
      </w:tr>
      <w:tr w:rsidR="00E03429" w14:paraId="42CABDE9" w14:textId="2859EFA5" w:rsidTr="00BC21DD">
        <w:tc>
          <w:tcPr>
            <w:tcW w:w="1827" w:type="dxa"/>
            <w:vAlign w:val="center"/>
          </w:tcPr>
          <w:p w14:paraId="642AA57B" w14:textId="3213B30E" w:rsidR="00E03429" w:rsidRDefault="00A97B25" w:rsidP="00136FF3">
            <w:r>
              <w:rPr>
                <w:sz w:val="20"/>
                <w:szCs w:val="20"/>
              </w:rPr>
              <w:t>Apro rezerves palielināšana</w:t>
            </w:r>
          </w:p>
        </w:tc>
        <w:tc>
          <w:tcPr>
            <w:tcW w:w="1264" w:type="dxa"/>
            <w:vAlign w:val="center"/>
          </w:tcPr>
          <w:p w14:paraId="531B4D9A" w14:textId="18D5E50A" w:rsidR="00E03429" w:rsidRDefault="00E03429" w:rsidP="00747DD7">
            <w:pPr>
              <w:jc w:val="center"/>
            </w:pPr>
          </w:p>
        </w:tc>
        <w:tc>
          <w:tcPr>
            <w:tcW w:w="986" w:type="dxa"/>
            <w:vAlign w:val="center"/>
          </w:tcPr>
          <w:p w14:paraId="597CF8B1" w14:textId="068FAF6B" w:rsidR="00E03429" w:rsidRDefault="00A97B25" w:rsidP="00747DD7">
            <w:pPr>
              <w:jc w:val="center"/>
            </w:pPr>
            <w:r>
              <w:rPr>
                <w:sz w:val="20"/>
                <w:szCs w:val="20"/>
              </w:rPr>
              <w:t>nav iebildusi</w:t>
            </w:r>
          </w:p>
        </w:tc>
        <w:tc>
          <w:tcPr>
            <w:tcW w:w="1379" w:type="dxa"/>
            <w:vAlign w:val="center"/>
          </w:tcPr>
          <w:p w14:paraId="2A5D7FC9" w14:textId="3B30EA1A" w:rsidR="00E03429" w:rsidRDefault="00E03429" w:rsidP="00747DD7">
            <w:pPr>
              <w:jc w:val="center"/>
            </w:pPr>
            <w:r w:rsidRPr="00577569">
              <w:rPr>
                <w:sz w:val="20"/>
                <w:szCs w:val="20"/>
              </w:rPr>
              <w:t>x</w:t>
            </w:r>
          </w:p>
        </w:tc>
        <w:tc>
          <w:tcPr>
            <w:tcW w:w="965" w:type="dxa"/>
            <w:vAlign w:val="center"/>
          </w:tcPr>
          <w:p w14:paraId="5FFC018F" w14:textId="3949BD99" w:rsidR="00E03429" w:rsidRDefault="00E03429" w:rsidP="00747DD7">
            <w:pPr>
              <w:jc w:val="center"/>
            </w:pPr>
          </w:p>
        </w:tc>
        <w:tc>
          <w:tcPr>
            <w:tcW w:w="1129" w:type="dxa"/>
            <w:vAlign w:val="center"/>
          </w:tcPr>
          <w:p w14:paraId="61D4A5FC" w14:textId="45AC6A8D" w:rsidR="00E03429" w:rsidRDefault="00E03429" w:rsidP="00747DD7">
            <w:pPr>
              <w:jc w:val="center"/>
            </w:pPr>
          </w:p>
        </w:tc>
        <w:tc>
          <w:tcPr>
            <w:tcW w:w="1171" w:type="dxa"/>
          </w:tcPr>
          <w:p w14:paraId="7E54C407" w14:textId="4DA0C60B" w:rsidR="00E03429" w:rsidRPr="00577569" w:rsidRDefault="000077B6" w:rsidP="00136FF3">
            <w:pPr>
              <w:rPr>
                <w:sz w:val="20"/>
                <w:szCs w:val="20"/>
              </w:rPr>
            </w:pPr>
            <w:r>
              <w:rPr>
                <w:sz w:val="20"/>
                <w:szCs w:val="20"/>
              </w:rPr>
              <w:t>9</w:t>
            </w:r>
            <w:r>
              <w:rPr>
                <w:sz w:val="20"/>
                <w:szCs w:val="20"/>
                <w:vertAlign w:val="superscript"/>
              </w:rPr>
              <w:t>1</w:t>
            </w:r>
            <w:r>
              <w:rPr>
                <w:sz w:val="20"/>
                <w:szCs w:val="20"/>
              </w:rPr>
              <w:t>(6)</w:t>
            </w:r>
          </w:p>
        </w:tc>
        <w:tc>
          <w:tcPr>
            <w:tcW w:w="6776" w:type="dxa"/>
          </w:tcPr>
          <w:p w14:paraId="1D4B662F" w14:textId="667C0509" w:rsidR="00E03429" w:rsidRPr="00577569" w:rsidRDefault="000077B6" w:rsidP="00136FF3">
            <w:pPr>
              <w:rPr>
                <w:sz w:val="20"/>
                <w:szCs w:val="20"/>
              </w:rPr>
            </w:pPr>
            <w:r w:rsidRPr="000077B6">
              <w:rPr>
                <w:sz w:val="20"/>
                <w:szCs w:val="20"/>
              </w:rPr>
              <w:t>(6) Finanšu ministram ir tiesības palielināt valsts budžeta likumā budžeta programmā "Apropriācijas rezerve" noteikto apropriāciju, ņemot vērā šā panta otrajā, trešajā un ceturtajā daļā noteikto, ja Ministru kabinets ir pieņēmis lēmumu un Saeimas Budžeta un finanšu (nodokļu) komisija piecu darba dienu laikā no attiecīgās informācijas saņemšanas dienas ir to izskatījusi un nav iebildusi pret apropriācijas palielinājumu.</w:t>
            </w:r>
          </w:p>
        </w:tc>
      </w:tr>
      <w:tr w:rsidR="00A97B25" w14:paraId="587E3B0B" w14:textId="77777777" w:rsidTr="00BC21DD">
        <w:tc>
          <w:tcPr>
            <w:tcW w:w="1827" w:type="dxa"/>
            <w:vAlign w:val="center"/>
          </w:tcPr>
          <w:p w14:paraId="4337A4B9" w14:textId="2F5C02A7" w:rsidR="00A97B25" w:rsidRDefault="00A97B25" w:rsidP="00A97B25">
            <w:pPr>
              <w:rPr>
                <w:sz w:val="20"/>
                <w:szCs w:val="20"/>
              </w:rPr>
            </w:pPr>
            <w:r w:rsidRPr="00577569">
              <w:rPr>
                <w:sz w:val="20"/>
                <w:szCs w:val="20"/>
              </w:rPr>
              <w:t>Budžeta likumā noteiktie īpašie gadījumi</w:t>
            </w:r>
          </w:p>
        </w:tc>
        <w:tc>
          <w:tcPr>
            <w:tcW w:w="1264" w:type="dxa"/>
            <w:vAlign w:val="center"/>
          </w:tcPr>
          <w:p w14:paraId="48B71AAF" w14:textId="77DE842D" w:rsidR="00A97B25" w:rsidRDefault="00A97B25" w:rsidP="00747DD7">
            <w:pPr>
              <w:jc w:val="center"/>
            </w:pPr>
            <w:r w:rsidRPr="00577569">
              <w:rPr>
                <w:sz w:val="20"/>
                <w:szCs w:val="20"/>
              </w:rPr>
              <w:t>x</w:t>
            </w:r>
          </w:p>
        </w:tc>
        <w:tc>
          <w:tcPr>
            <w:tcW w:w="986" w:type="dxa"/>
            <w:vAlign w:val="center"/>
          </w:tcPr>
          <w:p w14:paraId="33877E5F" w14:textId="2E81A570" w:rsidR="00A97B25" w:rsidRDefault="00A97B25" w:rsidP="00747DD7">
            <w:pPr>
              <w:jc w:val="center"/>
            </w:pPr>
            <w:r w:rsidRPr="00577569">
              <w:rPr>
                <w:sz w:val="20"/>
                <w:szCs w:val="20"/>
              </w:rPr>
              <w:t>x</w:t>
            </w:r>
          </w:p>
        </w:tc>
        <w:tc>
          <w:tcPr>
            <w:tcW w:w="1379" w:type="dxa"/>
            <w:vAlign w:val="center"/>
          </w:tcPr>
          <w:p w14:paraId="7007D155" w14:textId="3EB49387" w:rsidR="00A97B25" w:rsidRPr="00577569" w:rsidRDefault="00A97B25" w:rsidP="00747DD7">
            <w:pPr>
              <w:jc w:val="center"/>
              <w:rPr>
                <w:sz w:val="20"/>
                <w:szCs w:val="20"/>
              </w:rPr>
            </w:pPr>
            <w:r w:rsidRPr="00577569">
              <w:rPr>
                <w:sz w:val="20"/>
                <w:szCs w:val="20"/>
              </w:rPr>
              <w:t>x</w:t>
            </w:r>
          </w:p>
        </w:tc>
        <w:tc>
          <w:tcPr>
            <w:tcW w:w="965" w:type="dxa"/>
            <w:vAlign w:val="center"/>
          </w:tcPr>
          <w:p w14:paraId="76F6AD60" w14:textId="308C73B7" w:rsidR="00A97B25" w:rsidRDefault="00A97B25" w:rsidP="00747DD7">
            <w:pPr>
              <w:jc w:val="center"/>
            </w:pPr>
            <w:r w:rsidRPr="00577569">
              <w:rPr>
                <w:sz w:val="20"/>
                <w:szCs w:val="20"/>
              </w:rPr>
              <w:t>x</w:t>
            </w:r>
          </w:p>
        </w:tc>
        <w:tc>
          <w:tcPr>
            <w:tcW w:w="1129" w:type="dxa"/>
            <w:vAlign w:val="center"/>
          </w:tcPr>
          <w:p w14:paraId="706633AF" w14:textId="17400CDF" w:rsidR="00A97B25" w:rsidRPr="00577569" w:rsidRDefault="00A97B25" w:rsidP="00747DD7">
            <w:pPr>
              <w:jc w:val="center"/>
              <w:rPr>
                <w:sz w:val="20"/>
                <w:szCs w:val="20"/>
              </w:rPr>
            </w:pPr>
            <w:r w:rsidRPr="00577569">
              <w:rPr>
                <w:sz w:val="20"/>
                <w:szCs w:val="20"/>
              </w:rPr>
              <w:t>x</w:t>
            </w:r>
          </w:p>
        </w:tc>
        <w:tc>
          <w:tcPr>
            <w:tcW w:w="1171" w:type="dxa"/>
          </w:tcPr>
          <w:p w14:paraId="1BD9AB80" w14:textId="7F132EAE" w:rsidR="00A97B25" w:rsidRPr="00A97B25" w:rsidRDefault="00A97B25" w:rsidP="00A97B25">
            <w:pPr>
              <w:rPr>
                <w:sz w:val="20"/>
                <w:szCs w:val="20"/>
              </w:rPr>
            </w:pPr>
            <w:r>
              <w:rPr>
                <w:sz w:val="20"/>
                <w:szCs w:val="20"/>
              </w:rPr>
              <w:t>9.(13</w:t>
            </w:r>
            <w:r>
              <w:rPr>
                <w:sz w:val="20"/>
                <w:szCs w:val="20"/>
                <w:vertAlign w:val="superscript"/>
              </w:rPr>
              <w:t>4</w:t>
            </w:r>
            <w:r>
              <w:rPr>
                <w:sz w:val="20"/>
                <w:szCs w:val="20"/>
              </w:rPr>
              <w:t>)</w:t>
            </w:r>
          </w:p>
        </w:tc>
        <w:tc>
          <w:tcPr>
            <w:tcW w:w="6776" w:type="dxa"/>
          </w:tcPr>
          <w:p w14:paraId="089508C6" w14:textId="42EC5C1E" w:rsidR="00A97B25" w:rsidRPr="00577569" w:rsidRDefault="00A97B25" w:rsidP="00A97B25">
            <w:pPr>
              <w:rPr>
                <w:sz w:val="20"/>
                <w:szCs w:val="20"/>
              </w:rPr>
            </w:pPr>
            <w:r w:rsidRPr="00A97B25">
              <w:rPr>
                <w:sz w:val="20"/>
                <w:szCs w:val="20"/>
              </w:rPr>
              <w:t>(13</w:t>
            </w:r>
            <w:r w:rsidRPr="00A97B25">
              <w:rPr>
                <w:sz w:val="20"/>
                <w:szCs w:val="20"/>
                <w:vertAlign w:val="superscript"/>
              </w:rPr>
              <w:t>4</w:t>
            </w:r>
            <w:r w:rsidRPr="00A97B25">
              <w:rPr>
                <w:sz w:val="20"/>
                <w:szCs w:val="20"/>
              </w:rPr>
              <w:t>) Valsts budžeta likums var ietvert nosacījumus, ko finanšu ministrs ievēro, lemjot par apropriācijas pārdali, un nozares ministrs un citas centrālās valsts iestādes vadītājs ievēro, lemjot par apropriācijas sadalījumu pa budžeta programmām un apakšprogrammām un budžeta klasifikāciju kodiem atbilstoši ekonomiskajām kategorijām.</w:t>
            </w:r>
          </w:p>
        </w:tc>
      </w:tr>
      <w:tr w:rsidR="00E03429" w14:paraId="52EC3E3A" w14:textId="709BD95C" w:rsidTr="00BC21DD">
        <w:tc>
          <w:tcPr>
            <w:tcW w:w="1827" w:type="dxa"/>
            <w:vAlign w:val="center"/>
          </w:tcPr>
          <w:p w14:paraId="6C8FAFB9" w14:textId="1E074C47" w:rsidR="00E03429" w:rsidRDefault="00E03429" w:rsidP="00136FF3">
            <w:bookmarkStart w:id="0" w:name="_Hlk195598583"/>
            <w:r>
              <w:rPr>
                <w:sz w:val="20"/>
                <w:szCs w:val="20"/>
              </w:rPr>
              <w:t xml:space="preserve">Pārdale no </w:t>
            </w:r>
            <w:r w:rsidR="00A97B25">
              <w:rPr>
                <w:sz w:val="20"/>
                <w:szCs w:val="20"/>
              </w:rPr>
              <w:t>“ne-saistībām” uz ilgtermiņa</w:t>
            </w:r>
            <w:r>
              <w:rPr>
                <w:sz w:val="20"/>
                <w:szCs w:val="20"/>
              </w:rPr>
              <w:t xml:space="preserve"> saistībām</w:t>
            </w:r>
          </w:p>
        </w:tc>
        <w:tc>
          <w:tcPr>
            <w:tcW w:w="1264" w:type="dxa"/>
            <w:vAlign w:val="center"/>
          </w:tcPr>
          <w:p w14:paraId="5F5546CA" w14:textId="77777777" w:rsidR="00E03429" w:rsidRDefault="00E03429" w:rsidP="00747DD7">
            <w:pPr>
              <w:jc w:val="center"/>
            </w:pPr>
          </w:p>
        </w:tc>
        <w:tc>
          <w:tcPr>
            <w:tcW w:w="986" w:type="dxa"/>
            <w:vAlign w:val="center"/>
          </w:tcPr>
          <w:p w14:paraId="65899384" w14:textId="77777777" w:rsidR="00E03429" w:rsidRDefault="00E03429" w:rsidP="00747DD7">
            <w:pPr>
              <w:jc w:val="center"/>
            </w:pPr>
          </w:p>
        </w:tc>
        <w:tc>
          <w:tcPr>
            <w:tcW w:w="1379" w:type="dxa"/>
            <w:vAlign w:val="center"/>
          </w:tcPr>
          <w:p w14:paraId="69ED0A83" w14:textId="0B410E12" w:rsidR="00E03429" w:rsidRDefault="00E03429" w:rsidP="00747DD7">
            <w:pPr>
              <w:jc w:val="center"/>
            </w:pPr>
            <w:r w:rsidRPr="00577569">
              <w:rPr>
                <w:sz w:val="20"/>
                <w:szCs w:val="20"/>
              </w:rPr>
              <w:t>x</w:t>
            </w:r>
            <w:r w:rsidR="00A97B25">
              <w:rPr>
                <w:sz w:val="20"/>
                <w:szCs w:val="20"/>
              </w:rPr>
              <w:t xml:space="preserve"> (lēmums par saistību uzņemšanos</w:t>
            </w:r>
            <w:r w:rsidR="00CF6AEC">
              <w:rPr>
                <w:sz w:val="20"/>
                <w:szCs w:val="20"/>
              </w:rPr>
              <w:t>)</w:t>
            </w:r>
          </w:p>
        </w:tc>
        <w:tc>
          <w:tcPr>
            <w:tcW w:w="965" w:type="dxa"/>
            <w:vAlign w:val="center"/>
          </w:tcPr>
          <w:p w14:paraId="45B94272" w14:textId="77777777" w:rsidR="00E03429" w:rsidRDefault="00E03429" w:rsidP="00747DD7">
            <w:pPr>
              <w:jc w:val="center"/>
            </w:pPr>
          </w:p>
        </w:tc>
        <w:tc>
          <w:tcPr>
            <w:tcW w:w="1129" w:type="dxa"/>
            <w:vAlign w:val="center"/>
          </w:tcPr>
          <w:p w14:paraId="6F36D6BE" w14:textId="7B2C46FD" w:rsidR="00E03429" w:rsidRDefault="00E03429" w:rsidP="00747DD7">
            <w:pPr>
              <w:jc w:val="center"/>
            </w:pPr>
            <w:r w:rsidRPr="00577569">
              <w:rPr>
                <w:sz w:val="20"/>
                <w:szCs w:val="20"/>
              </w:rPr>
              <w:t>x</w:t>
            </w:r>
          </w:p>
        </w:tc>
        <w:tc>
          <w:tcPr>
            <w:tcW w:w="1171" w:type="dxa"/>
          </w:tcPr>
          <w:p w14:paraId="0619F377" w14:textId="1F7C9CA7" w:rsidR="00E03429" w:rsidRPr="00577569" w:rsidRDefault="00A97B25" w:rsidP="00136FF3">
            <w:pPr>
              <w:rPr>
                <w:sz w:val="20"/>
                <w:szCs w:val="20"/>
              </w:rPr>
            </w:pPr>
            <w:r>
              <w:rPr>
                <w:sz w:val="20"/>
                <w:szCs w:val="20"/>
              </w:rPr>
              <w:t>Vēl nav</w:t>
            </w:r>
          </w:p>
        </w:tc>
        <w:tc>
          <w:tcPr>
            <w:tcW w:w="6776" w:type="dxa"/>
          </w:tcPr>
          <w:p w14:paraId="25EE98C8" w14:textId="48C3070E" w:rsidR="00E03429" w:rsidRPr="00577569" w:rsidRDefault="00A97B25" w:rsidP="00136FF3">
            <w:pPr>
              <w:rPr>
                <w:sz w:val="20"/>
                <w:szCs w:val="20"/>
              </w:rPr>
            </w:pPr>
            <w:bookmarkStart w:id="1" w:name="_Hlk195598604"/>
            <w:r>
              <w:rPr>
                <w:sz w:val="20"/>
                <w:szCs w:val="20"/>
              </w:rPr>
              <w:t>Nozares ministra rīkojumā tiks iekļauts apakšprogrammu sadalījums “tai skaitā – ilgtermiņa saistības”</w:t>
            </w:r>
            <w:r w:rsidR="00061070">
              <w:rPr>
                <w:sz w:val="20"/>
                <w:szCs w:val="20"/>
              </w:rPr>
              <w:t>, un izmaiņas (pamatojoties uz MK lēmumu par ilgtermiņa saistību uzņemšanos) tiks iestrādātas nozares ministra rīkojumā.</w:t>
            </w:r>
            <w:bookmarkEnd w:id="1"/>
          </w:p>
        </w:tc>
      </w:tr>
      <w:bookmarkEnd w:id="0"/>
      <w:tr w:rsidR="00061070" w14:paraId="7ED96671" w14:textId="77777777" w:rsidTr="00BC21DD">
        <w:tc>
          <w:tcPr>
            <w:tcW w:w="1827" w:type="dxa"/>
            <w:vAlign w:val="center"/>
          </w:tcPr>
          <w:p w14:paraId="36ECBDEA" w14:textId="3F77B9F0" w:rsidR="00061070" w:rsidRDefault="00061070" w:rsidP="00136FF3">
            <w:pPr>
              <w:rPr>
                <w:sz w:val="20"/>
                <w:szCs w:val="20"/>
              </w:rPr>
            </w:pPr>
            <w:r>
              <w:rPr>
                <w:sz w:val="20"/>
                <w:szCs w:val="20"/>
              </w:rPr>
              <w:t>Pārdale starp iestādēm, projektiem, EKK utt, kas notiek apakšprogrammas ietvaros</w:t>
            </w:r>
          </w:p>
        </w:tc>
        <w:tc>
          <w:tcPr>
            <w:tcW w:w="1264" w:type="dxa"/>
            <w:vAlign w:val="center"/>
          </w:tcPr>
          <w:p w14:paraId="333E791A" w14:textId="77777777" w:rsidR="00061070" w:rsidRDefault="00061070" w:rsidP="00747DD7">
            <w:pPr>
              <w:jc w:val="center"/>
            </w:pPr>
          </w:p>
        </w:tc>
        <w:tc>
          <w:tcPr>
            <w:tcW w:w="986" w:type="dxa"/>
            <w:vAlign w:val="center"/>
          </w:tcPr>
          <w:p w14:paraId="7EB8A2AC" w14:textId="77777777" w:rsidR="00061070" w:rsidRDefault="00061070" w:rsidP="00747DD7">
            <w:pPr>
              <w:jc w:val="center"/>
            </w:pPr>
          </w:p>
        </w:tc>
        <w:tc>
          <w:tcPr>
            <w:tcW w:w="1379" w:type="dxa"/>
            <w:vAlign w:val="center"/>
          </w:tcPr>
          <w:p w14:paraId="0C45A496" w14:textId="77777777" w:rsidR="00061070" w:rsidRPr="00577569" w:rsidRDefault="00061070" w:rsidP="00747DD7">
            <w:pPr>
              <w:jc w:val="center"/>
              <w:rPr>
                <w:sz w:val="20"/>
                <w:szCs w:val="20"/>
              </w:rPr>
            </w:pPr>
          </w:p>
        </w:tc>
        <w:tc>
          <w:tcPr>
            <w:tcW w:w="965" w:type="dxa"/>
            <w:vAlign w:val="center"/>
          </w:tcPr>
          <w:p w14:paraId="66C7CAF5" w14:textId="77777777" w:rsidR="00061070" w:rsidRDefault="00061070" w:rsidP="00747DD7">
            <w:pPr>
              <w:jc w:val="center"/>
            </w:pPr>
          </w:p>
        </w:tc>
        <w:tc>
          <w:tcPr>
            <w:tcW w:w="1129" w:type="dxa"/>
            <w:vAlign w:val="center"/>
          </w:tcPr>
          <w:p w14:paraId="19C20940" w14:textId="77777777" w:rsidR="00061070" w:rsidRPr="00577569" w:rsidRDefault="00061070" w:rsidP="00747DD7">
            <w:pPr>
              <w:jc w:val="center"/>
              <w:rPr>
                <w:sz w:val="20"/>
                <w:szCs w:val="20"/>
              </w:rPr>
            </w:pPr>
          </w:p>
        </w:tc>
        <w:tc>
          <w:tcPr>
            <w:tcW w:w="1171" w:type="dxa"/>
          </w:tcPr>
          <w:p w14:paraId="43E99379" w14:textId="5078289F" w:rsidR="00061070" w:rsidRDefault="00061070" w:rsidP="00136FF3">
            <w:pPr>
              <w:rPr>
                <w:sz w:val="20"/>
                <w:szCs w:val="20"/>
              </w:rPr>
            </w:pPr>
            <w:r>
              <w:rPr>
                <w:sz w:val="20"/>
                <w:szCs w:val="20"/>
              </w:rPr>
              <w:t xml:space="preserve">MK not. Nr.1220 </w:t>
            </w:r>
          </w:p>
        </w:tc>
        <w:tc>
          <w:tcPr>
            <w:tcW w:w="6776" w:type="dxa"/>
          </w:tcPr>
          <w:p w14:paraId="72CB5DC6" w14:textId="312339C9" w:rsidR="00061070" w:rsidRDefault="00061070" w:rsidP="00136FF3">
            <w:pPr>
              <w:rPr>
                <w:sz w:val="20"/>
                <w:szCs w:val="20"/>
              </w:rPr>
            </w:pPr>
            <w:r>
              <w:rPr>
                <w:sz w:val="20"/>
                <w:szCs w:val="20"/>
              </w:rPr>
              <w:t xml:space="preserve">Finansēšanas plānu līmenī. </w:t>
            </w:r>
          </w:p>
        </w:tc>
      </w:tr>
      <w:tr w:rsidR="00061070" w14:paraId="6225F4FD" w14:textId="77777777" w:rsidTr="00BC21DD">
        <w:tc>
          <w:tcPr>
            <w:tcW w:w="1827" w:type="dxa"/>
            <w:vAlign w:val="center"/>
          </w:tcPr>
          <w:p w14:paraId="6E00D81D" w14:textId="109BD619" w:rsidR="00061070" w:rsidRDefault="00061070" w:rsidP="00136FF3">
            <w:pPr>
              <w:rPr>
                <w:sz w:val="20"/>
                <w:szCs w:val="20"/>
              </w:rPr>
            </w:pPr>
            <w:r>
              <w:rPr>
                <w:sz w:val="20"/>
                <w:szCs w:val="20"/>
              </w:rPr>
              <w:t>Pārdales starp EKK kodiem, kas notiek finansēšanas plāna ietvaros</w:t>
            </w:r>
          </w:p>
        </w:tc>
        <w:tc>
          <w:tcPr>
            <w:tcW w:w="1264" w:type="dxa"/>
            <w:vAlign w:val="center"/>
          </w:tcPr>
          <w:p w14:paraId="316FD5AF" w14:textId="77777777" w:rsidR="00061070" w:rsidRDefault="00061070" w:rsidP="00747DD7">
            <w:pPr>
              <w:jc w:val="center"/>
            </w:pPr>
          </w:p>
        </w:tc>
        <w:tc>
          <w:tcPr>
            <w:tcW w:w="986" w:type="dxa"/>
            <w:vAlign w:val="center"/>
          </w:tcPr>
          <w:p w14:paraId="2A656BE0" w14:textId="77777777" w:rsidR="00061070" w:rsidRDefault="00061070" w:rsidP="00747DD7">
            <w:pPr>
              <w:jc w:val="center"/>
            </w:pPr>
          </w:p>
        </w:tc>
        <w:tc>
          <w:tcPr>
            <w:tcW w:w="1379" w:type="dxa"/>
            <w:vAlign w:val="center"/>
          </w:tcPr>
          <w:p w14:paraId="0FE826ED" w14:textId="77777777" w:rsidR="00061070" w:rsidRPr="00577569" w:rsidRDefault="00061070" w:rsidP="00747DD7">
            <w:pPr>
              <w:jc w:val="center"/>
              <w:rPr>
                <w:sz w:val="20"/>
                <w:szCs w:val="20"/>
              </w:rPr>
            </w:pPr>
          </w:p>
        </w:tc>
        <w:tc>
          <w:tcPr>
            <w:tcW w:w="965" w:type="dxa"/>
            <w:vAlign w:val="center"/>
          </w:tcPr>
          <w:p w14:paraId="582A0E90" w14:textId="77777777" w:rsidR="00061070" w:rsidRDefault="00061070" w:rsidP="00747DD7">
            <w:pPr>
              <w:jc w:val="center"/>
            </w:pPr>
          </w:p>
        </w:tc>
        <w:tc>
          <w:tcPr>
            <w:tcW w:w="1129" w:type="dxa"/>
            <w:vAlign w:val="center"/>
          </w:tcPr>
          <w:p w14:paraId="607D9A8E" w14:textId="77777777" w:rsidR="00061070" w:rsidRPr="00577569" w:rsidRDefault="00061070" w:rsidP="00747DD7">
            <w:pPr>
              <w:jc w:val="center"/>
              <w:rPr>
                <w:sz w:val="20"/>
                <w:szCs w:val="20"/>
              </w:rPr>
            </w:pPr>
          </w:p>
        </w:tc>
        <w:tc>
          <w:tcPr>
            <w:tcW w:w="1171" w:type="dxa"/>
          </w:tcPr>
          <w:p w14:paraId="4D9F172C" w14:textId="39EC4E3A" w:rsidR="00061070" w:rsidRDefault="00061070" w:rsidP="00136FF3">
            <w:pPr>
              <w:rPr>
                <w:sz w:val="20"/>
                <w:szCs w:val="20"/>
              </w:rPr>
            </w:pPr>
            <w:r>
              <w:rPr>
                <w:sz w:val="20"/>
                <w:szCs w:val="20"/>
              </w:rPr>
              <w:t>MK instr. par tāmēm</w:t>
            </w:r>
          </w:p>
        </w:tc>
        <w:tc>
          <w:tcPr>
            <w:tcW w:w="6776" w:type="dxa"/>
          </w:tcPr>
          <w:p w14:paraId="6B48C7CD" w14:textId="311E1417" w:rsidR="00061070" w:rsidRDefault="00061070" w:rsidP="00136FF3">
            <w:pPr>
              <w:rPr>
                <w:sz w:val="20"/>
                <w:szCs w:val="20"/>
              </w:rPr>
            </w:pPr>
            <w:r>
              <w:rPr>
                <w:sz w:val="20"/>
                <w:szCs w:val="20"/>
              </w:rPr>
              <w:t>Tāmju līmenī</w:t>
            </w:r>
          </w:p>
        </w:tc>
      </w:tr>
    </w:tbl>
    <w:p w14:paraId="406BE74E" w14:textId="6DEDBC36" w:rsidR="000077B6" w:rsidRDefault="000077B6"/>
    <w:sectPr w:rsidR="000077B6" w:rsidSect="00747DD7">
      <w:footerReference w:type="default" r:id="rId11"/>
      <w:pgSz w:w="16838" w:h="11906" w:orient="landscape"/>
      <w:pgMar w:top="709"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045E6" w14:textId="77777777" w:rsidR="00E4396D" w:rsidRDefault="00E4396D" w:rsidP="00BC21DD">
      <w:pPr>
        <w:spacing w:after="0" w:line="240" w:lineRule="auto"/>
      </w:pPr>
      <w:r>
        <w:separator/>
      </w:r>
    </w:p>
  </w:endnote>
  <w:endnote w:type="continuationSeparator" w:id="0">
    <w:p w14:paraId="5D6796B2" w14:textId="77777777" w:rsidR="00E4396D" w:rsidRDefault="00E4396D" w:rsidP="00BC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010644"/>
      <w:docPartObj>
        <w:docPartGallery w:val="Page Numbers (Bottom of Page)"/>
        <w:docPartUnique/>
      </w:docPartObj>
    </w:sdtPr>
    <w:sdtEndPr>
      <w:rPr>
        <w:noProof/>
      </w:rPr>
    </w:sdtEndPr>
    <w:sdtContent>
      <w:p w14:paraId="2BBB399E" w14:textId="74667C49" w:rsidR="00BC21DD" w:rsidRDefault="00BC21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A00E53" w14:textId="77777777" w:rsidR="00BC21DD" w:rsidRDefault="00BC2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4D61E" w14:textId="77777777" w:rsidR="00E4396D" w:rsidRDefault="00E4396D" w:rsidP="00BC21DD">
      <w:pPr>
        <w:spacing w:after="0" w:line="240" w:lineRule="auto"/>
      </w:pPr>
      <w:r>
        <w:separator/>
      </w:r>
    </w:p>
  </w:footnote>
  <w:footnote w:type="continuationSeparator" w:id="0">
    <w:p w14:paraId="2B28C1F2" w14:textId="77777777" w:rsidR="00E4396D" w:rsidRDefault="00E4396D" w:rsidP="00BC21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FF3"/>
    <w:rsid w:val="000077B6"/>
    <w:rsid w:val="0003774C"/>
    <w:rsid w:val="00061070"/>
    <w:rsid w:val="00090C61"/>
    <w:rsid w:val="00136FF3"/>
    <w:rsid w:val="00184A00"/>
    <w:rsid w:val="001D3077"/>
    <w:rsid w:val="0026550C"/>
    <w:rsid w:val="00271881"/>
    <w:rsid w:val="004014FC"/>
    <w:rsid w:val="005A4ABB"/>
    <w:rsid w:val="005B291F"/>
    <w:rsid w:val="005E67EB"/>
    <w:rsid w:val="006447FE"/>
    <w:rsid w:val="0065182A"/>
    <w:rsid w:val="006A31F4"/>
    <w:rsid w:val="00747DD7"/>
    <w:rsid w:val="007D42C0"/>
    <w:rsid w:val="008056EF"/>
    <w:rsid w:val="00843D75"/>
    <w:rsid w:val="00905566"/>
    <w:rsid w:val="009D3601"/>
    <w:rsid w:val="009F60ED"/>
    <w:rsid w:val="00A97B25"/>
    <w:rsid w:val="00AE0C26"/>
    <w:rsid w:val="00B0206D"/>
    <w:rsid w:val="00B837D8"/>
    <w:rsid w:val="00BC21DD"/>
    <w:rsid w:val="00C12DA2"/>
    <w:rsid w:val="00CF6AEC"/>
    <w:rsid w:val="00DD57D7"/>
    <w:rsid w:val="00E03429"/>
    <w:rsid w:val="00E4396D"/>
    <w:rsid w:val="00E96C1F"/>
    <w:rsid w:val="00EC36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9831F"/>
  <w15:chartTrackingRefBased/>
  <w15:docId w15:val="{E4DCB734-FF55-47B8-A5E2-22E8A462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6F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6F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6F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6F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6F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6F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F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F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F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F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6F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6F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6F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6F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6F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F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F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FF3"/>
    <w:rPr>
      <w:rFonts w:eastAsiaTheme="majorEastAsia" w:cstheme="majorBidi"/>
      <w:color w:val="272727" w:themeColor="text1" w:themeTint="D8"/>
    </w:rPr>
  </w:style>
  <w:style w:type="paragraph" w:styleId="Title">
    <w:name w:val="Title"/>
    <w:basedOn w:val="Normal"/>
    <w:next w:val="Normal"/>
    <w:link w:val="TitleChar"/>
    <w:uiPriority w:val="10"/>
    <w:qFormat/>
    <w:rsid w:val="00136F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F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F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F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FF3"/>
    <w:pPr>
      <w:spacing w:before="160"/>
      <w:jc w:val="center"/>
    </w:pPr>
    <w:rPr>
      <w:i/>
      <w:iCs/>
      <w:color w:val="404040" w:themeColor="text1" w:themeTint="BF"/>
    </w:rPr>
  </w:style>
  <w:style w:type="character" w:customStyle="1" w:styleId="QuoteChar">
    <w:name w:val="Quote Char"/>
    <w:basedOn w:val="DefaultParagraphFont"/>
    <w:link w:val="Quote"/>
    <w:uiPriority w:val="29"/>
    <w:rsid w:val="00136FF3"/>
    <w:rPr>
      <w:i/>
      <w:iCs/>
      <w:color w:val="404040" w:themeColor="text1" w:themeTint="BF"/>
    </w:rPr>
  </w:style>
  <w:style w:type="paragraph" w:styleId="ListParagraph">
    <w:name w:val="List Paragraph"/>
    <w:basedOn w:val="Normal"/>
    <w:uiPriority w:val="34"/>
    <w:qFormat/>
    <w:rsid w:val="00136FF3"/>
    <w:pPr>
      <w:ind w:left="720"/>
      <w:contextualSpacing/>
    </w:pPr>
  </w:style>
  <w:style w:type="character" w:styleId="IntenseEmphasis">
    <w:name w:val="Intense Emphasis"/>
    <w:basedOn w:val="DefaultParagraphFont"/>
    <w:uiPriority w:val="21"/>
    <w:qFormat/>
    <w:rsid w:val="00136FF3"/>
    <w:rPr>
      <w:i/>
      <w:iCs/>
      <w:color w:val="0F4761" w:themeColor="accent1" w:themeShade="BF"/>
    </w:rPr>
  </w:style>
  <w:style w:type="paragraph" w:styleId="IntenseQuote">
    <w:name w:val="Intense Quote"/>
    <w:basedOn w:val="Normal"/>
    <w:next w:val="Normal"/>
    <w:link w:val="IntenseQuoteChar"/>
    <w:uiPriority w:val="30"/>
    <w:qFormat/>
    <w:rsid w:val="00136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6FF3"/>
    <w:rPr>
      <w:i/>
      <w:iCs/>
      <w:color w:val="0F4761" w:themeColor="accent1" w:themeShade="BF"/>
    </w:rPr>
  </w:style>
  <w:style w:type="character" w:styleId="IntenseReference">
    <w:name w:val="Intense Reference"/>
    <w:basedOn w:val="DefaultParagraphFont"/>
    <w:uiPriority w:val="32"/>
    <w:qFormat/>
    <w:rsid w:val="00136FF3"/>
    <w:rPr>
      <w:b/>
      <w:bCs/>
      <w:smallCaps/>
      <w:color w:val="0F4761" w:themeColor="accent1" w:themeShade="BF"/>
      <w:spacing w:val="5"/>
    </w:rPr>
  </w:style>
  <w:style w:type="table" w:styleId="TableGrid">
    <w:name w:val="Table Grid"/>
    <w:basedOn w:val="TableNormal"/>
    <w:uiPriority w:val="39"/>
    <w:rsid w:val="00136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6FF3"/>
    <w:rPr>
      <w:sz w:val="16"/>
      <w:szCs w:val="16"/>
    </w:rPr>
  </w:style>
  <w:style w:type="paragraph" w:styleId="CommentText">
    <w:name w:val="annotation text"/>
    <w:basedOn w:val="Normal"/>
    <w:link w:val="CommentTextChar"/>
    <w:uiPriority w:val="99"/>
    <w:unhideWhenUsed/>
    <w:rsid w:val="00136FF3"/>
    <w:pPr>
      <w:spacing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136FF3"/>
    <w:rPr>
      <w:rFonts w:ascii="Times New Roman" w:hAnsi="Times New Roman" w:cs="Times New Roman"/>
      <w:sz w:val="20"/>
      <w:szCs w:val="20"/>
    </w:rPr>
  </w:style>
  <w:style w:type="character" w:styleId="Hyperlink">
    <w:name w:val="Hyperlink"/>
    <w:basedOn w:val="DefaultParagraphFont"/>
    <w:uiPriority w:val="99"/>
    <w:unhideWhenUsed/>
    <w:rsid w:val="00136FF3"/>
    <w:rPr>
      <w:color w:val="467886" w:themeColor="hyperlink"/>
      <w:u w:val="single"/>
    </w:rPr>
  </w:style>
  <w:style w:type="character" w:styleId="UnresolvedMention">
    <w:name w:val="Unresolved Mention"/>
    <w:basedOn w:val="DefaultParagraphFont"/>
    <w:uiPriority w:val="99"/>
    <w:semiHidden/>
    <w:unhideWhenUsed/>
    <w:rsid w:val="00136FF3"/>
    <w:rPr>
      <w:color w:val="605E5C"/>
      <w:shd w:val="clear" w:color="auto" w:fill="E1DFDD"/>
    </w:rPr>
  </w:style>
  <w:style w:type="character" w:styleId="FollowedHyperlink">
    <w:name w:val="FollowedHyperlink"/>
    <w:basedOn w:val="DefaultParagraphFont"/>
    <w:uiPriority w:val="99"/>
    <w:semiHidden/>
    <w:unhideWhenUsed/>
    <w:rsid w:val="00136FF3"/>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EC3611"/>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EC3611"/>
    <w:rPr>
      <w:rFonts w:ascii="Times New Roman" w:hAnsi="Times New Roman" w:cs="Times New Roman"/>
      <w:b/>
      <w:bCs/>
      <w:sz w:val="20"/>
      <w:szCs w:val="20"/>
    </w:rPr>
  </w:style>
  <w:style w:type="paragraph" w:styleId="Revision">
    <w:name w:val="Revision"/>
    <w:hidden/>
    <w:uiPriority w:val="99"/>
    <w:semiHidden/>
    <w:rsid w:val="007D42C0"/>
    <w:pPr>
      <w:spacing w:after="0" w:line="240" w:lineRule="auto"/>
    </w:pPr>
  </w:style>
  <w:style w:type="paragraph" w:styleId="Header">
    <w:name w:val="header"/>
    <w:basedOn w:val="Normal"/>
    <w:link w:val="HeaderChar"/>
    <w:uiPriority w:val="99"/>
    <w:unhideWhenUsed/>
    <w:rsid w:val="00BC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BC21DD"/>
  </w:style>
  <w:style w:type="paragraph" w:styleId="Footer">
    <w:name w:val="footer"/>
    <w:basedOn w:val="Normal"/>
    <w:link w:val="FooterChar"/>
    <w:uiPriority w:val="99"/>
    <w:unhideWhenUsed/>
    <w:rsid w:val="00BC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C2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02966">
      <w:bodyDiv w:val="1"/>
      <w:marLeft w:val="0"/>
      <w:marRight w:val="0"/>
      <w:marTop w:val="0"/>
      <w:marBottom w:val="0"/>
      <w:divBdr>
        <w:top w:val="none" w:sz="0" w:space="0" w:color="auto"/>
        <w:left w:val="none" w:sz="0" w:space="0" w:color="auto"/>
        <w:bottom w:val="none" w:sz="0" w:space="0" w:color="auto"/>
        <w:right w:val="none" w:sz="0" w:space="0" w:color="auto"/>
      </w:divBdr>
    </w:div>
    <w:div w:id="994190245">
      <w:bodyDiv w:val="1"/>
      <w:marLeft w:val="0"/>
      <w:marRight w:val="0"/>
      <w:marTop w:val="0"/>
      <w:marBottom w:val="0"/>
      <w:divBdr>
        <w:top w:val="none" w:sz="0" w:space="0" w:color="auto"/>
        <w:left w:val="none" w:sz="0" w:space="0" w:color="auto"/>
        <w:bottom w:val="none" w:sz="0" w:space="0" w:color="auto"/>
        <w:right w:val="none" w:sz="0" w:space="0" w:color="auto"/>
      </w:divBdr>
    </w:div>
    <w:div w:id="1262105178">
      <w:bodyDiv w:val="1"/>
      <w:marLeft w:val="0"/>
      <w:marRight w:val="0"/>
      <w:marTop w:val="0"/>
      <w:marBottom w:val="0"/>
      <w:divBdr>
        <w:top w:val="none" w:sz="0" w:space="0" w:color="auto"/>
        <w:left w:val="none" w:sz="0" w:space="0" w:color="auto"/>
        <w:bottom w:val="none" w:sz="0" w:space="0" w:color="auto"/>
        <w:right w:val="none" w:sz="0" w:space="0" w:color="auto"/>
      </w:divBdr>
    </w:div>
    <w:div w:id="1304887362">
      <w:bodyDiv w:val="1"/>
      <w:marLeft w:val="0"/>
      <w:marRight w:val="0"/>
      <w:marTop w:val="0"/>
      <w:marBottom w:val="0"/>
      <w:divBdr>
        <w:top w:val="none" w:sz="0" w:space="0" w:color="auto"/>
        <w:left w:val="none" w:sz="0" w:space="0" w:color="auto"/>
        <w:bottom w:val="none" w:sz="0" w:space="0" w:color="auto"/>
        <w:right w:val="none" w:sz="0" w:space="0" w:color="auto"/>
      </w:divBdr>
    </w:div>
    <w:div w:id="1639534852">
      <w:bodyDiv w:val="1"/>
      <w:marLeft w:val="0"/>
      <w:marRight w:val="0"/>
      <w:marTop w:val="0"/>
      <w:marBottom w:val="0"/>
      <w:divBdr>
        <w:top w:val="none" w:sz="0" w:space="0" w:color="auto"/>
        <w:left w:val="none" w:sz="0" w:space="0" w:color="auto"/>
        <w:bottom w:val="none" w:sz="0" w:space="0" w:color="auto"/>
        <w:right w:val="none" w:sz="0" w:space="0" w:color="auto"/>
      </w:divBdr>
    </w:div>
    <w:div w:id="1661732040">
      <w:bodyDiv w:val="1"/>
      <w:marLeft w:val="0"/>
      <w:marRight w:val="0"/>
      <w:marTop w:val="0"/>
      <w:marBottom w:val="0"/>
      <w:divBdr>
        <w:top w:val="none" w:sz="0" w:space="0" w:color="auto"/>
        <w:left w:val="none" w:sz="0" w:space="0" w:color="auto"/>
        <w:bottom w:val="none" w:sz="0" w:space="0" w:color="auto"/>
        <w:right w:val="none" w:sz="0" w:space="0" w:color="auto"/>
      </w:divBdr>
    </w:div>
    <w:div w:id="1741252990">
      <w:bodyDiv w:val="1"/>
      <w:marLeft w:val="0"/>
      <w:marRight w:val="0"/>
      <w:marTop w:val="0"/>
      <w:marBottom w:val="0"/>
      <w:divBdr>
        <w:top w:val="none" w:sz="0" w:space="0" w:color="auto"/>
        <w:left w:val="none" w:sz="0" w:space="0" w:color="auto"/>
        <w:bottom w:val="none" w:sz="0" w:space="0" w:color="auto"/>
        <w:right w:val="none" w:sz="0" w:space="0" w:color="auto"/>
      </w:divBdr>
    </w:div>
    <w:div w:id="211682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62276-grozijumi-likuma-par-budzetu-un-finansu-vadib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ikumi.lv/ta/id/357473-grozijumi-likuma-par-budzetu-un-finansu-vadib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58057-likums-par-budzetu-un-finansu-vadibu/redakcijas-datums/2027/01/01"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likumi.lv/ta/id/58057" TargetMode="External"/><Relationship Id="rId4" Type="http://schemas.openxmlformats.org/officeDocument/2006/relationships/footnotes" Target="footnotes.xml"/><Relationship Id="rId9" Type="http://schemas.openxmlformats.org/officeDocument/2006/relationships/hyperlink" Target="https://likumi.lv/ta/id/580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6</Pages>
  <Words>10789</Words>
  <Characters>6150</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Ludmila Jevčuka</cp:lastModifiedBy>
  <cp:revision>4</cp:revision>
  <dcterms:created xsi:type="dcterms:W3CDTF">2025-04-11T07:04:00Z</dcterms:created>
  <dcterms:modified xsi:type="dcterms:W3CDTF">2025-06-24T21:29:00Z</dcterms:modified>
</cp:coreProperties>
</file>