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ACC5F" w14:textId="4301EC6B" w:rsidR="00BE052F" w:rsidRPr="00DB3A1A" w:rsidRDefault="00324414" w:rsidP="00324414">
      <w:pPr>
        <w:jc w:val="center"/>
        <w:rPr>
          <w:rFonts w:ascii="Times New Roman" w:hAnsi="Times New Roman" w:cs="Times New Roman"/>
          <w:b/>
          <w:sz w:val="28"/>
          <w:szCs w:val="28"/>
        </w:rPr>
      </w:pPr>
      <w:r w:rsidRPr="00DB3A1A">
        <w:rPr>
          <w:rFonts w:ascii="Times New Roman" w:hAnsi="Times New Roman" w:cs="Times New Roman"/>
          <w:b/>
          <w:sz w:val="28"/>
          <w:szCs w:val="28"/>
        </w:rPr>
        <w:t xml:space="preserve">Informatīvais </w:t>
      </w:r>
      <w:r w:rsidRPr="00DB3A1A">
        <w:rPr>
          <w:rFonts w:ascii="Times New Roman" w:hAnsi="Times New Roman" w:cs="Times New Roman"/>
          <w:b/>
          <w:color w:val="000000" w:themeColor="text1"/>
          <w:sz w:val="28"/>
          <w:szCs w:val="28"/>
        </w:rPr>
        <w:t>ziņojums “</w:t>
      </w:r>
      <w:r w:rsidR="00FD55C1" w:rsidRPr="00DB3A1A">
        <w:rPr>
          <w:rFonts w:ascii="Times New Roman" w:hAnsi="Times New Roman" w:cs="Times New Roman"/>
          <w:b/>
          <w:color w:val="000000" w:themeColor="text1"/>
          <w:sz w:val="28"/>
          <w:szCs w:val="28"/>
        </w:rPr>
        <w:t xml:space="preserve">Par </w:t>
      </w:r>
      <w:r w:rsidR="00841A99" w:rsidRPr="00DB3A1A">
        <w:rPr>
          <w:rFonts w:ascii="Times New Roman" w:hAnsi="Times New Roman" w:cs="Times New Roman"/>
          <w:b/>
          <w:color w:val="000000" w:themeColor="text1"/>
          <w:sz w:val="28"/>
          <w:szCs w:val="28"/>
        </w:rPr>
        <w:t xml:space="preserve">valsts budžeta likumprojektā  iekļaujamiem </w:t>
      </w:r>
      <w:r w:rsidR="0011011A" w:rsidRPr="00DB3A1A">
        <w:rPr>
          <w:rFonts w:ascii="Times New Roman" w:hAnsi="Times New Roman" w:cs="Times New Roman"/>
          <w:b/>
          <w:color w:val="000000" w:themeColor="text1"/>
          <w:sz w:val="28"/>
          <w:szCs w:val="28"/>
        </w:rPr>
        <w:t>prioritārajiem pasākumiem</w:t>
      </w:r>
      <w:r w:rsidR="00FD55C1" w:rsidRPr="00DB3A1A">
        <w:rPr>
          <w:rFonts w:ascii="Times New Roman" w:hAnsi="Times New Roman" w:cs="Times New Roman"/>
          <w:b/>
          <w:sz w:val="28"/>
          <w:szCs w:val="28"/>
        </w:rPr>
        <w:t xml:space="preserve"> </w:t>
      </w:r>
      <w:r w:rsidR="00841A99" w:rsidRPr="00DB3A1A">
        <w:rPr>
          <w:rFonts w:ascii="Times New Roman" w:hAnsi="Times New Roman" w:cs="Times New Roman"/>
          <w:b/>
          <w:sz w:val="28"/>
          <w:szCs w:val="28"/>
        </w:rPr>
        <w:t>202</w:t>
      </w:r>
      <w:r w:rsidR="00173BEA" w:rsidRPr="00DB3A1A">
        <w:rPr>
          <w:rFonts w:ascii="Times New Roman" w:hAnsi="Times New Roman" w:cs="Times New Roman"/>
          <w:b/>
          <w:sz w:val="28"/>
          <w:szCs w:val="28"/>
        </w:rPr>
        <w:t>6</w:t>
      </w:r>
      <w:r w:rsidR="00841A99" w:rsidRPr="00DB3A1A">
        <w:rPr>
          <w:rFonts w:ascii="Times New Roman" w:hAnsi="Times New Roman" w:cs="Times New Roman"/>
          <w:b/>
          <w:sz w:val="28"/>
          <w:szCs w:val="28"/>
        </w:rPr>
        <w:t>., 202</w:t>
      </w:r>
      <w:r w:rsidR="00173BEA" w:rsidRPr="00DB3A1A">
        <w:rPr>
          <w:rFonts w:ascii="Times New Roman" w:hAnsi="Times New Roman" w:cs="Times New Roman"/>
          <w:b/>
          <w:sz w:val="28"/>
          <w:szCs w:val="28"/>
        </w:rPr>
        <w:t>7</w:t>
      </w:r>
      <w:r w:rsidR="00841A99" w:rsidRPr="00DB3A1A">
        <w:rPr>
          <w:rFonts w:ascii="Times New Roman" w:hAnsi="Times New Roman" w:cs="Times New Roman"/>
          <w:b/>
          <w:sz w:val="28"/>
          <w:szCs w:val="28"/>
        </w:rPr>
        <w:t xml:space="preserve">. </w:t>
      </w:r>
      <w:r w:rsidR="002F500F" w:rsidRPr="00DB3A1A">
        <w:rPr>
          <w:rFonts w:ascii="Times New Roman" w:hAnsi="Times New Roman" w:cs="Times New Roman"/>
          <w:b/>
          <w:sz w:val="28"/>
          <w:szCs w:val="28"/>
        </w:rPr>
        <w:t xml:space="preserve">un </w:t>
      </w:r>
      <w:r w:rsidR="00841A99" w:rsidRPr="00DB3A1A">
        <w:rPr>
          <w:rFonts w:ascii="Times New Roman" w:hAnsi="Times New Roman" w:cs="Times New Roman"/>
          <w:b/>
          <w:sz w:val="28"/>
          <w:szCs w:val="28"/>
        </w:rPr>
        <w:t>202</w:t>
      </w:r>
      <w:r w:rsidR="00173BEA" w:rsidRPr="00DB3A1A">
        <w:rPr>
          <w:rFonts w:ascii="Times New Roman" w:hAnsi="Times New Roman" w:cs="Times New Roman"/>
          <w:b/>
          <w:sz w:val="28"/>
          <w:szCs w:val="28"/>
        </w:rPr>
        <w:t>8</w:t>
      </w:r>
      <w:r w:rsidR="00841A99" w:rsidRPr="00DB3A1A">
        <w:rPr>
          <w:rFonts w:ascii="Times New Roman" w:hAnsi="Times New Roman" w:cs="Times New Roman"/>
          <w:b/>
          <w:sz w:val="28"/>
          <w:szCs w:val="28"/>
        </w:rPr>
        <w:t>. gadam</w:t>
      </w:r>
      <w:r w:rsidR="00FD55C1" w:rsidRPr="00DB3A1A">
        <w:rPr>
          <w:rFonts w:ascii="Times New Roman" w:hAnsi="Times New Roman" w:cs="Times New Roman"/>
          <w:b/>
          <w:sz w:val="28"/>
          <w:szCs w:val="28"/>
        </w:rPr>
        <w:t>”</w:t>
      </w:r>
    </w:p>
    <w:p w14:paraId="2465E679" w14:textId="4E094FC5" w:rsidR="003F700D" w:rsidRPr="00DB3A1A" w:rsidRDefault="00A074EB" w:rsidP="006673E7">
      <w:pPr>
        <w:spacing w:after="120" w:line="240" w:lineRule="auto"/>
        <w:ind w:firstLine="720"/>
        <w:jc w:val="both"/>
        <w:rPr>
          <w:rFonts w:ascii="Times New Roman" w:hAnsi="Times New Roman" w:cs="Times New Roman"/>
          <w:sz w:val="24"/>
          <w:szCs w:val="24"/>
        </w:rPr>
      </w:pPr>
      <w:r w:rsidRPr="00DB3A1A">
        <w:rPr>
          <w:rFonts w:ascii="Times New Roman" w:hAnsi="Times New Roman" w:cs="Times New Roman"/>
          <w:sz w:val="24"/>
          <w:szCs w:val="24"/>
        </w:rPr>
        <w:t xml:space="preserve">Finanšu ministrija ir sagatavojusi informatīvo ziņojumu “Par </w:t>
      </w:r>
      <w:r w:rsidR="00841A99" w:rsidRPr="00DB3A1A">
        <w:rPr>
          <w:rFonts w:ascii="Times New Roman" w:hAnsi="Times New Roman" w:cs="Times New Roman"/>
          <w:color w:val="000000" w:themeColor="text1"/>
          <w:sz w:val="24"/>
          <w:szCs w:val="24"/>
        </w:rPr>
        <w:t>valsts budžeta likumprojektā iekļaujamiem</w:t>
      </w:r>
      <w:r w:rsidRPr="00DB3A1A">
        <w:rPr>
          <w:rFonts w:ascii="Times New Roman" w:hAnsi="Times New Roman" w:cs="Times New Roman"/>
          <w:color w:val="000000" w:themeColor="text1"/>
          <w:sz w:val="24"/>
          <w:szCs w:val="24"/>
        </w:rPr>
        <w:t xml:space="preserve"> prioritārajiem pasākumiem </w:t>
      </w:r>
      <w:r w:rsidR="00841A99" w:rsidRPr="00DB3A1A">
        <w:rPr>
          <w:rFonts w:ascii="Times New Roman" w:hAnsi="Times New Roman" w:cs="Times New Roman"/>
          <w:sz w:val="24"/>
          <w:szCs w:val="24"/>
        </w:rPr>
        <w:t>202</w:t>
      </w:r>
      <w:r w:rsidR="00173BEA" w:rsidRPr="00DB3A1A">
        <w:rPr>
          <w:rFonts w:ascii="Times New Roman" w:hAnsi="Times New Roman" w:cs="Times New Roman"/>
          <w:sz w:val="24"/>
          <w:szCs w:val="24"/>
        </w:rPr>
        <w:t>6</w:t>
      </w:r>
      <w:r w:rsidR="00841A99" w:rsidRPr="00DB3A1A">
        <w:rPr>
          <w:rFonts w:ascii="Times New Roman" w:hAnsi="Times New Roman" w:cs="Times New Roman"/>
          <w:sz w:val="24"/>
          <w:szCs w:val="24"/>
        </w:rPr>
        <w:t>., 202</w:t>
      </w:r>
      <w:r w:rsidR="00173BEA" w:rsidRPr="00DB3A1A">
        <w:rPr>
          <w:rFonts w:ascii="Times New Roman" w:hAnsi="Times New Roman" w:cs="Times New Roman"/>
          <w:sz w:val="24"/>
          <w:szCs w:val="24"/>
        </w:rPr>
        <w:t>7</w:t>
      </w:r>
      <w:r w:rsidR="00841A99" w:rsidRPr="00DB3A1A">
        <w:rPr>
          <w:rFonts w:ascii="Times New Roman" w:hAnsi="Times New Roman" w:cs="Times New Roman"/>
          <w:sz w:val="24"/>
          <w:szCs w:val="24"/>
        </w:rPr>
        <w:t>.</w:t>
      </w:r>
      <w:r w:rsidR="002F500F" w:rsidRPr="00DB3A1A">
        <w:rPr>
          <w:rFonts w:ascii="Times New Roman" w:hAnsi="Times New Roman" w:cs="Times New Roman"/>
          <w:sz w:val="24"/>
          <w:szCs w:val="24"/>
        </w:rPr>
        <w:t xml:space="preserve"> un</w:t>
      </w:r>
      <w:r w:rsidR="00841A99" w:rsidRPr="00DB3A1A">
        <w:rPr>
          <w:rFonts w:ascii="Times New Roman" w:hAnsi="Times New Roman" w:cs="Times New Roman"/>
          <w:sz w:val="24"/>
          <w:szCs w:val="24"/>
        </w:rPr>
        <w:t xml:space="preserve"> 202</w:t>
      </w:r>
      <w:r w:rsidR="00173BEA" w:rsidRPr="00DB3A1A">
        <w:rPr>
          <w:rFonts w:ascii="Times New Roman" w:hAnsi="Times New Roman" w:cs="Times New Roman"/>
          <w:sz w:val="24"/>
          <w:szCs w:val="24"/>
        </w:rPr>
        <w:t>8</w:t>
      </w:r>
      <w:r w:rsidR="00841A99" w:rsidRPr="00DB3A1A">
        <w:rPr>
          <w:rFonts w:ascii="Times New Roman" w:hAnsi="Times New Roman" w:cs="Times New Roman"/>
          <w:sz w:val="24"/>
          <w:szCs w:val="24"/>
        </w:rPr>
        <w:t>. gadam</w:t>
      </w:r>
      <w:r w:rsidRPr="00DB3A1A">
        <w:rPr>
          <w:rFonts w:ascii="Times New Roman" w:hAnsi="Times New Roman" w:cs="Times New Roman"/>
          <w:sz w:val="24"/>
          <w:szCs w:val="24"/>
        </w:rPr>
        <w:t>” (turpmāk – informatīvais ziņojums), pamatojoties uz Ministru kabineta 202</w:t>
      </w:r>
      <w:r w:rsidR="00173BEA" w:rsidRPr="00DB3A1A">
        <w:rPr>
          <w:rFonts w:ascii="Times New Roman" w:hAnsi="Times New Roman" w:cs="Times New Roman"/>
          <w:sz w:val="24"/>
          <w:szCs w:val="24"/>
        </w:rPr>
        <w:t>5</w:t>
      </w:r>
      <w:r w:rsidRPr="00DB3A1A">
        <w:rPr>
          <w:rFonts w:ascii="Times New Roman" w:hAnsi="Times New Roman" w:cs="Times New Roman"/>
          <w:sz w:val="24"/>
          <w:szCs w:val="24"/>
        </w:rPr>
        <w:t>. gada 2</w:t>
      </w:r>
      <w:r w:rsidR="00173BEA" w:rsidRPr="00DB3A1A">
        <w:rPr>
          <w:rFonts w:ascii="Times New Roman" w:hAnsi="Times New Roman" w:cs="Times New Roman"/>
          <w:sz w:val="24"/>
          <w:szCs w:val="24"/>
        </w:rPr>
        <w:t>7</w:t>
      </w:r>
      <w:r w:rsidRPr="00DB3A1A">
        <w:rPr>
          <w:rFonts w:ascii="Times New Roman" w:hAnsi="Times New Roman" w:cs="Times New Roman"/>
          <w:sz w:val="24"/>
          <w:szCs w:val="24"/>
        </w:rPr>
        <w:t>. marta rīkojuma Nr.</w:t>
      </w:r>
      <w:r w:rsidR="00577A65" w:rsidRPr="00DB3A1A">
        <w:rPr>
          <w:rFonts w:ascii="Times New Roman" w:hAnsi="Times New Roman" w:cs="Times New Roman"/>
          <w:sz w:val="24"/>
          <w:szCs w:val="24"/>
        </w:rPr>
        <w:t xml:space="preserve"> </w:t>
      </w:r>
      <w:r w:rsidR="00173BEA" w:rsidRPr="00DB3A1A">
        <w:rPr>
          <w:rFonts w:ascii="Times New Roman" w:hAnsi="Times New Roman" w:cs="Times New Roman"/>
          <w:sz w:val="24"/>
          <w:szCs w:val="24"/>
        </w:rPr>
        <w:t>179</w:t>
      </w:r>
      <w:r w:rsidRPr="00DB3A1A">
        <w:rPr>
          <w:rFonts w:ascii="Times New Roman" w:hAnsi="Times New Roman" w:cs="Times New Roman"/>
          <w:sz w:val="24"/>
          <w:szCs w:val="24"/>
        </w:rPr>
        <w:t xml:space="preserve"> “Par likumprojekta “Par valsts budžetu 202</w:t>
      </w:r>
      <w:r w:rsidR="00173BEA" w:rsidRPr="00DB3A1A">
        <w:rPr>
          <w:rFonts w:ascii="Times New Roman" w:hAnsi="Times New Roman" w:cs="Times New Roman"/>
          <w:sz w:val="24"/>
          <w:szCs w:val="24"/>
        </w:rPr>
        <w:t>6</w:t>
      </w:r>
      <w:r w:rsidRPr="00DB3A1A">
        <w:rPr>
          <w:rFonts w:ascii="Times New Roman" w:hAnsi="Times New Roman" w:cs="Times New Roman"/>
          <w:sz w:val="24"/>
          <w:szCs w:val="24"/>
        </w:rPr>
        <w:t>. gadam un budžeta ietvaru 202</w:t>
      </w:r>
      <w:r w:rsidR="00173BEA" w:rsidRPr="00DB3A1A">
        <w:rPr>
          <w:rFonts w:ascii="Times New Roman" w:hAnsi="Times New Roman" w:cs="Times New Roman"/>
          <w:sz w:val="24"/>
          <w:szCs w:val="24"/>
        </w:rPr>
        <w:t>6</w:t>
      </w:r>
      <w:r w:rsidRPr="00DB3A1A">
        <w:rPr>
          <w:rFonts w:ascii="Times New Roman" w:hAnsi="Times New Roman" w:cs="Times New Roman"/>
          <w:sz w:val="24"/>
          <w:szCs w:val="24"/>
        </w:rPr>
        <w:t>., 202</w:t>
      </w:r>
      <w:r w:rsidR="00173BEA" w:rsidRPr="00DB3A1A">
        <w:rPr>
          <w:rFonts w:ascii="Times New Roman" w:hAnsi="Times New Roman" w:cs="Times New Roman"/>
          <w:sz w:val="24"/>
          <w:szCs w:val="24"/>
        </w:rPr>
        <w:t>7</w:t>
      </w:r>
      <w:r w:rsidRPr="00DB3A1A">
        <w:rPr>
          <w:rFonts w:ascii="Times New Roman" w:hAnsi="Times New Roman" w:cs="Times New Roman"/>
          <w:sz w:val="24"/>
          <w:szCs w:val="24"/>
        </w:rPr>
        <w:t>. un 202</w:t>
      </w:r>
      <w:r w:rsidR="00173BEA" w:rsidRPr="00DB3A1A">
        <w:rPr>
          <w:rFonts w:ascii="Times New Roman" w:hAnsi="Times New Roman" w:cs="Times New Roman"/>
          <w:sz w:val="24"/>
          <w:szCs w:val="24"/>
        </w:rPr>
        <w:t>8</w:t>
      </w:r>
      <w:r w:rsidRPr="00DB3A1A">
        <w:rPr>
          <w:rFonts w:ascii="Times New Roman" w:hAnsi="Times New Roman" w:cs="Times New Roman"/>
          <w:sz w:val="24"/>
          <w:szCs w:val="24"/>
        </w:rPr>
        <w:t>. gadam” sagatavošanas grafiku” (turpmāk – Budžeta grafiks) pielikuma 1</w:t>
      </w:r>
      <w:r w:rsidR="00173BEA" w:rsidRPr="00DB3A1A">
        <w:rPr>
          <w:rFonts w:ascii="Times New Roman" w:hAnsi="Times New Roman" w:cs="Times New Roman"/>
          <w:sz w:val="24"/>
          <w:szCs w:val="24"/>
        </w:rPr>
        <w:t>7</w:t>
      </w:r>
      <w:r w:rsidRPr="00DB3A1A">
        <w:rPr>
          <w:rFonts w:ascii="Times New Roman" w:hAnsi="Times New Roman" w:cs="Times New Roman"/>
          <w:sz w:val="24"/>
          <w:szCs w:val="24"/>
        </w:rPr>
        <w:t>. punktu, kurā 202</w:t>
      </w:r>
      <w:r w:rsidR="00173BEA" w:rsidRPr="00DB3A1A">
        <w:rPr>
          <w:rFonts w:ascii="Times New Roman" w:hAnsi="Times New Roman" w:cs="Times New Roman"/>
          <w:sz w:val="24"/>
          <w:szCs w:val="24"/>
        </w:rPr>
        <w:t>5</w:t>
      </w:r>
      <w:r w:rsidRPr="00DB3A1A">
        <w:rPr>
          <w:rFonts w:ascii="Times New Roman" w:hAnsi="Times New Roman" w:cs="Times New Roman"/>
          <w:sz w:val="24"/>
          <w:szCs w:val="24"/>
        </w:rPr>
        <w:t>. gada 2</w:t>
      </w:r>
      <w:r w:rsidR="00173BEA" w:rsidRPr="00DB3A1A">
        <w:rPr>
          <w:rFonts w:ascii="Times New Roman" w:hAnsi="Times New Roman" w:cs="Times New Roman"/>
          <w:sz w:val="24"/>
          <w:szCs w:val="24"/>
        </w:rPr>
        <w:t>6</w:t>
      </w:r>
      <w:r w:rsidRPr="00DB3A1A">
        <w:rPr>
          <w:rFonts w:ascii="Times New Roman" w:hAnsi="Times New Roman" w:cs="Times New Roman"/>
          <w:sz w:val="24"/>
          <w:szCs w:val="24"/>
        </w:rPr>
        <w:t>. augustā bija paredzēta lēmuma pieņemšana Ministru kabinetā par valsts budžeta likumprojektā iekļaujamiem prioritārajiem pasākumiem 202</w:t>
      </w:r>
      <w:r w:rsidR="00173BEA" w:rsidRPr="00DB3A1A">
        <w:rPr>
          <w:rFonts w:ascii="Times New Roman" w:hAnsi="Times New Roman" w:cs="Times New Roman"/>
          <w:sz w:val="24"/>
          <w:szCs w:val="24"/>
        </w:rPr>
        <w:t>6</w:t>
      </w:r>
      <w:r w:rsidRPr="00DB3A1A">
        <w:rPr>
          <w:rFonts w:ascii="Times New Roman" w:hAnsi="Times New Roman" w:cs="Times New Roman"/>
          <w:sz w:val="24"/>
          <w:szCs w:val="24"/>
        </w:rPr>
        <w:t>., 202</w:t>
      </w:r>
      <w:r w:rsidR="00173BEA" w:rsidRPr="00DB3A1A">
        <w:rPr>
          <w:rFonts w:ascii="Times New Roman" w:hAnsi="Times New Roman" w:cs="Times New Roman"/>
          <w:sz w:val="24"/>
          <w:szCs w:val="24"/>
        </w:rPr>
        <w:t>7</w:t>
      </w:r>
      <w:r w:rsidRPr="00DB3A1A">
        <w:rPr>
          <w:rFonts w:ascii="Times New Roman" w:hAnsi="Times New Roman" w:cs="Times New Roman"/>
          <w:sz w:val="24"/>
          <w:szCs w:val="24"/>
        </w:rPr>
        <w:t xml:space="preserve">. </w:t>
      </w:r>
      <w:r w:rsidR="002F500F" w:rsidRPr="00DB3A1A">
        <w:rPr>
          <w:rFonts w:ascii="Times New Roman" w:hAnsi="Times New Roman" w:cs="Times New Roman"/>
          <w:sz w:val="24"/>
          <w:szCs w:val="24"/>
        </w:rPr>
        <w:t xml:space="preserve">un </w:t>
      </w:r>
      <w:r w:rsidRPr="00DB3A1A">
        <w:rPr>
          <w:rFonts w:ascii="Times New Roman" w:hAnsi="Times New Roman" w:cs="Times New Roman"/>
          <w:sz w:val="24"/>
          <w:szCs w:val="24"/>
        </w:rPr>
        <w:t>202</w:t>
      </w:r>
      <w:r w:rsidR="00173BEA" w:rsidRPr="00DB3A1A">
        <w:rPr>
          <w:rFonts w:ascii="Times New Roman" w:hAnsi="Times New Roman" w:cs="Times New Roman"/>
          <w:sz w:val="24"/>
          <w:szCs w:val="24"/>
        </w:rPr>
        <w:t>8</w:t>
      </w:r>
      <w:r w:rsidRPr="00DB3A1A">
        <w:rPr>
          <w:rFonts w:ascii="Times New Roman" w:hAnsi="Times New Roman" w:cs="Times New Roman"/>
          <w:sz w:val="24"/>
          <w:szCs w:val="24"/>
        </w:rPr>
        <w:t>. gadam.</w:t>
      </w:r>
    </w:p>
    <w:p w14:paraId="7C4F57B6" w14:textId="064F1F06" w:rsidR="003F700D" w:rsidRPr="00DB3A1A" w:rsidRDefault="00EA0300" w:rsidP="006673E7">
      <w:pPr>
        <w:spacing w:after="120" w:line="240" w:lineRule="auto"/>
        <w:ind w:firstLine="720"/>
        <w:jc w:val="both"/>
        <w:rPr>
          <w:rFonts w:ascii="Times New Roman" w:hAnsi="Times New Roman" w:cs="Times New Roman"/>
          <w:sz w:val="24"/>
          <w:szCs w:val="24"/>
        </w:rPr>
      </w:pPr>
      <w:r w:rsidRPr="00DB3A1A">
        <w:rPr>
          <w:rFonts w:ascii="Times New Roman" w:hAnsi="Times New Roman" w:cs="Times New Roman"/>
          <w:sz w:val="24"/>
          <w:szCs w:val="24"/>
        </w:rPr>
        <w:t xml:space="preserve">Latvijas Fiskāli strukturālā plāna 2025.–2028. gadam 2025. gada progresa ziņojumā, kas izskatīts Ministru kabinetā 2025. gada 15. aprīlī, tika konstatēts, ka atbilstoši definētajiem fiskālajiem nosacījumiem pie tā brīža prognozēm </w:t>
      </w:r>
      <w:r w:rsidRPr="00DB3A1A">
        <w:rPr>
          <w:rFonts w:ascii="Times New Roman" w:hAnsi="Times New Roman" w:cs="Times New Roman"/>
          <w:bCs/>
          <w:sz w:val="24"/>
          <w:szCs w:val="24"/>
        </w:rPr>
        <w:t xml:space="preserve">fiskālā telpa nākamajam budžeta ciklam ir negatīva. </w:t>
      </w:r>
      <w:r w:rsidRPr="00DB3A1A">
        <w:rPr>
          <w:rFonts w:ascii="Times New Roman" w:hAnsi="Times New Roman" w:cs="Times New Roman"/>
          <w:sz w:val="24"/>
          <w:szCs w:val="24"/>
        </w:rPr>
        <w:t xml:space="preserve">Turklāt atbilstoši Ministru kabineta 2025. gada 13. maija protokola (prot. Nr.19 50.§) 7. punktam tika noteikts mērķis veikt publiskā sektora efektivizācijas un vispārējās valdības </w:t>
      </w:r>
      <w:r w:rsidRPr="00DB3A1A">
        <w:rPr>
          <w:rFonts w:ascii="Times New Roman" w:hAnsi="Times New Roman" w:cs="Times New Roman"/>
          <w:bCs/>
          <w:sz w:val="24"/>
          <w:szCs w:val="24"/>
        </w:rPr>
        <w:t>izdevumu samazinājumu</w:t>
      </w:r>
      <w:r w:rsidRPr="00DB3A1A">
        <w:rPr>
          <w:rFonts w:ascii="Times New Roman" w:hAnsi="Times New Roman" w:cs="Times New Roman"/>
          <w:sz w:val="24"/>
          <w:szCs w:val="24"/>
        </w:rPr>
        <w:t xml:space="preserve"> ne mazāk kā 450 milj. </w:t>
      </w:r>
      <w:r w:rsidRPr="00DB3A1A">
        <w:rPr>
          <w:rFonts w:ascii="Times New Roman" w:hAnsi="Times New Roman" w:cs="Times New Roman"/>
          <w:i/>
          <w:sz w:val="24"/>
          <w:szCs w:val="24"/>
        </w:rPr>
        <w:t>euro</w:t>
      </w:r>
      <w:r w:rsidRPr="00DB3A1A">
        <w:rPr>
          <w:rFonts w:ascii="Times New Roman" w:hAnsi="Times New Roman" w:cs="Times New Roman"/>
          <w:sz w:val="24"/>
          <w:szCs w:val="24"/>
        </w:rPr>
        <w:t xml:space="preserve"> apmērā 2026. – 2028. gadā, tajā skaitā 2026. gadā ne mazāk kā 150 milj. </w:t>
      </w:r>
      <w:r w:rsidRPr="00DB3A1A">
        <w:rPr>
          <w:rFonts w:ascii="Times New Roman" w:hAnsi="Times New Roman" w:cs="Times New Roman"/>
          <w:i/>
          <w:sz w:val="24"/>
          <w:szCs w:val="24"/>
        </w:rPr>
        <w:t>euro</w:t>
      </w:r>
      <w:r w:rsidRPr="00DB3A1A">
        <w:rPr>
          <w:rFonts w:ascii="Times New Roman" w:hAnsi="Times New Roman" w:cs="Times New Roman"/>
          <w:sz w:val="24"/>
          <w:szCs w:val="24"/>
        </w:rPr>
        <w:t>.</w:t>
      </w:r>
    </w:p>
    <w:p w14:paraId="48842438" w14:textId="4B240C1C" w:rsidR="0081078B" w:rsidRPr="00DB3A1A" w:rsidRDefault="00B450DA" w:rsidP="006673E7">
      <w:pPr>
        <w:spacing w:after="120" w:line="240" w:lineRule="auto"/>
        <w:ind w:firstLine="720"/>
        <w:jc w:val="both"/>
        <w:rPr>
          <w:rStyle w:val="ui-provider"/>
          <w:rFonts w:ascii="Times New Roman" w:hAnsi="Times New Roman" w:cs="Times New Roman"/>
          <w:sz w:val="24"/>
          <w:szCs w:val="24"/>
        </w:rPr>
      </w:pPr>
      <w:r w:rsidRPr="00DB3A1A">
        <w:rPr>
          <w:rFonts w:ascii="Times New Roman" w:hAnsi="Times New Roman" w:cs="Times New Roman"/>
          <w:bCs/>
          <w:noProof/>
          <w:color w:val="000000" w:themeColor="text1"/>
          <w:sz w:val="24"/>
          <w:szCs w:val="24"/>
        </w:rPr>
        <w:t xml:space="preserve">Ņemot vērā sarežģīto situāciju valsts budžeta likumprojekta sagatavošanā saistībā ar aktualizētajām vidēja termiņa makroekonomisko rādītāju, ieņēmumu un vispārējās valdības budžeta bilances prognozēm </w:t>
      </w:r>
      <w:r w:rsidRPr="00DB3A1A">
        <w:rPr>
          <w:rFonts w:ascii="Times New Roman" w:hAnsi="Times New Roman" w:cs="Times New Roman"/>
          <w:sz w:val="24"/>
          <w:szCs w:val="24"/>
        </w:rPr>
        <w:t>2026.–</w:t>
      </w:r>
      <w:r w:rsidR="002F500F" w:rsidRPr="00DB3A1A">
        <w:rPr>
          <w:rFonts w:ascii="Times New Roman" w:hAnsi="Times New Roman" w:cs="Times New Roman"/>
          <w:sz w:val="24"/>
          <w:szCs w:val="24"/>
        </w:rPr>
        <w:t>2028</w:t>
      </w:r>
      <w:r w:rsidRPr="00DB3A1A">
        <w:rPr>
          <w:rFonts w:ascii="Times New Roman" w:hAnsi="Times New Roman" w:cs="Times New Roman"/>
          <w:sz w:val="24"/>
          <w:szCs w:val="24"/>
        </w:rPr>
        <w:t xml:space="preserve">. gadam, </w:t>
      </w:r>
      <w:r w:rsidRPr="00DB3A1A">
        <w:rPr>
          <w:rStyle w:val="ui-provider"/>
          <w:rFonts w:ascii="Times New Roman" w:hAnsi="Times New Roman" w:cs="Times New Roman"/>
          <w:sz w:val="24"/>
          <w:szCs w:val="24"/>
        </w:rPr>
        <w:t>a</w:t>
      </w:r>
      <w:r w:rsidR="0081078B" w:rsidRPr="00DB3A1A">
        <w:rPr>
          <w:rStyle w:val="ui-provider"/>
          <w:rFonts w:ascii="Times New Roman" w:hAnsi="Times New Roman" w:cs="Times New Roman"/>
          <w:sz w:val="24"/>
          <w:szCs w:val="24"/>
        </w:rPr>
        <w:t>r M</w:t>
      </w:r>
      <w:r w:rsidR="003F700D" w:rsidRPr="00DB3A1A">
        <w:rPr>
          <w:rStyle w:val="ui-provider"/>
          <w:rFonts w:ascii="Times New Roman" w:hAnsi="Times New Roman" w:cs="Times New Roman"/>
          <w:sz w:val="24"/>
          <w:szCs w:val="24"/>
        </w:rPr>
        <w:t>inistru kabineta</w:t>
      </w:r>
      <w:r w:rsidR="0081078B" w:rsidRPr="00DB3A1A">
        <w:rPr>
          <w:rStyle w:val="ui-provider"/>
          <w:rFonts w:ascii="Times New Roman" w:hAnsi="Times New Roman" w:cs="Times New Roman"/>
          <w:sz w:val="24"/>
          <w:szCs w:val="24"/>
        </w:rPr>
        <w:t xml:space="preserve"> 2025. gada 26. jūnija rīkojumu Nr. 377 “</w:t>
      </w:r>
      <w:r w:rsidR="0081078B" w:rsidRPr="00DB3A1A">
        <w:rPr>
          <w:rFonts w:ascii="Times New Roman" w:hAnsi="Times New Roman" w:cs="Times New Roman"/>
          <w:sz w:val="24"/>
          <w:szCs w:val="24"/>
        </w:rPr>
        <w:t>Grozījumi Ministru kabineta 2025. gada 27. marta rīkojumā Nr. 179 “Par likumprojekta “Par valsts budžetu 2026. gadam un budžeta ietvaru 2026., 2027. un 2028. gadam” sagatavošanas grafiku”</w:t>
      </w:r>
      <w:r w:rsidR="0081078B" w:rsidRPr="00DB3A1A">
        <w:rPr>
          <w:rStyle w:val="ui-provider"/>
          <w:rFonts w:ascii="Times New Roman" w:hAnsi="Times New Roman" w:cs="Times New Roman"/>
          <w:sz w:val="24"/>
          <w:szCs w:val="24"/>
        </w:rPr>
        <w:t xml:space="preserve">” izdarīti grozījumi </w:t>
      </w:r>
      <w:r w:rsidR="003F700D" w:rsidRPr="00DB3A1A">
        <w:rPr>
          <w:rStyle w:val="ui-provider"/>
          <w:rFonts w:ascii="Times New Roman" w:hAnsi="Times New Roman" w:cs="Times New Roman"/>
          <w:sz w:val="24"/>
          <w:szCs w:val="24"/>
        </w:rPr>
        <w:t>Budžeta grafikā</w:t>
      </w:r>
      <w:r w:rsidR="0081078B" w:rsidRPr="00DB3A1A">
        <w:rPr>
          <w:rStyle w:val="ui-provider"/>
          <w:rFonts w:ascii="Times New Roman" w:hAnsi="Times New Roman" w:cs="Times New Roman"/>
          <w:sz w:val="24"/>
          <w:szCs w:val="24"/>
        </w:rPr>
        <w:t xml:space="preserve">, nosakot, ka ministrijas un citas centrālās valsts iestādes </w:t>
      </w:r>
      <w:r w:rsidR="003F700D" w:rsidRPr="00DB3A1A">
        <w:rPr>
          <w:rFonts w:ascii="Times New Roman" w:hAnsi="Times New Roman" w:cs="Times New Roman"/>
          <w:sz w:val="24"/>
          <w:szCs w:val="24"/>
        </w:rPr>
        <w:t xml:space="preserve">(turpmāk – ministrijas) </w:t>
      </w:r>
      <w:r w:rsidR="0081078B" w:rsidRPr="00DB3A1A">
        <w:rPr>
          <w:rStyle w:val="ui-provider"/>
          <w:rFonts w:ascii="Times New Roman" w:hAnsi="Times New Roman" w:cs="Times New Roman"/>
          <w:sz w:val="24"/>
          <w:szCs w:val="24"/>
        </w:rPr>
        <w:t xml:space="preserve">nesniedz priekšlikumus </w:t>
      </w:r>
      <w:r w:rsidR="002619DB" w:rsidRPr="00DB3A1A">
        <w:rPr>
          <w:rFonts w:ascii="Times New Roman" w:hAnsi="Times New Roman" w:cs="Times New Roman"/>
          <w:sz w:val="24"/>
          <w:szCs w:val="24"/>
        </w:rPr>
        <w:t>prioritārajiem pasākumiem</w:t>
      </w:r>
      <w:r w:rsidR="0081078B" w:rsidRPr="00DB3A1A">
        <w:rPr>
          <w:rStyle w:val="ui-provider"/>
          <w:rFonts w:ascii="Times New Roman" w:hAnsi="Times New Roman" w:cs="Times New Roman"/>
          <w:sz w:val="24"/>
          <w:szCs w:val="24"/>
        </w:rPr>
        <w:t>, savukārt neatkarīgās institūcijas</w:t>
      </w:r>
      <w:r w:rsidR="0081078B" w:rsidRPr="00DB3A1A">
        <w:rPr>
          <w:rFonts w:ascii="Times New Roman" w:hAnsi="Times New Roman" w:cs="Times New Roman"/>
          <w:sz w:val="24"/>
          <w:szCs w:val="24"/>
        </w:rPr>
        <w:t xml:space="preserve"> </w:t>
      </w:r>
      <w:r w:rsidR="0081078B" w:rsidRPr="00DB3A1A">
        <w:rPr>
          <w:rStyle w:val="ui-provider"/>
          <w:rFonts w:ascii="Times New Roman" w:hAnsi="Times New Roman" w:cs="Times New Roman"/>
          <w:sz w:val="24"/>
          <w:szCs w:val="24"/>
        </w:rPr>
        <w:t xml:space="preserve">tiek aicinātas nesniegt priekšlikumus </w:t>
      </w:r>
      <w:r w:rsidR="002619DB" w:rsidRPr="00DB3A1A">
        <w:rPr>
          <w:rFonts w:ascii="Times New Roman" w:hAnsi="Times New Roman" w:cs="Times New Roman"/>
          <w:sz w:val="24"/>
          <w:szCs w:val="24"/>
        </w:rPr>
        <w:t>prioritārajiem pasākumiem</w:t>
      </w:r>
      <w:r w:rsidR="0081078B" w:rsidRPr="00DB3A1A">
        <w:rPr>
          <w:rStyle w:val="ui-provider"/>
          <w:rFonts w:ascii="Times New Roman" w:hAnsi="Times New Roman" w:cs="Times New Roman"/>
          <w:sz w:val="24"/>
          <w:szCs w:val="24"/>
        </w:rPr>
        <w:t>.</w:t>
      </w:r>
    </w:p>
    <w:p w14:paraId="5A19BC0E" w14:textId="3E81D4F7" w:rsidR="00845381" w:rsidRPr="00DB3A1A" w:rsidRDefault="00845381" w:rsidP="006673E7">
      <w:pPr>
        <w:spacing w:after="120" w:line="240" w:lineRule="auto"/>
        <w:ind w:firstLine="720"/>
        <w:jc w:val="both"/>
        <w:rPr>
          <w:rFonts w:ascii="Times New Roman" w:hAnsi="Times New Roman" w:cs="Times New Roman"/>
          <w:sz w:val="24"/>
          <w:szCs w:val="24"/>
        </w:rPr>
      </w:pPr>
      <w:r w:rsidRPr="00DB3A1A">
        <w:rPr>
          <w:rStyle w:val="ui-provider"/>
          <w:rFonts w:ascii="Times New Roman" w:hAnsi="Times New Roman" w:cs="Times New Roman"/>
          <w:sz w:val="24"/>
          <w:szCs w:val="24"/>
        </w:rPr>
        <w:t>Vienlaikus, Ministru kabineta 2025. gada 25. jūnija sēdē, pieņemot g</w:t>
      </w:r>
      <w:r w:rsidRPr="00DB3A1A">
        <w:rPr>
          <w:rFonts w:ascii="Times New Roman" w:hAnsi="Times New Roman" w:cs="Times New Roman"/>
          <w:sz w:val="24"/>
          <w:szCs w:val="24"/>
        </w:rPr>
        <w:t>rozījumus Budžeta grafikā,</w:t>
      </w:r>
      <w:r w:rsidRPr="00DB3A1A">
        <w:rPr>
          <w:rStyle w:val="ui-provider"/>
          <w:rFonts w:ascii="Times New Roman" w:hAnsi="Times New Roman" w:cs="Times New Roman"/>
          <w:sz w:val="24"/>
          <w:szCs w:val="24"/>
        </w:rPr>
        <w:t xml:space="preserve"> tika pieņemts zināšanai, ka </w:t>
      </w:r>
      <w:r w:rsidRPr="00DB3A1A">
        <w:rPr>
          <w:rFonts w:ascii="Times New Roman" w:hAnsi="Times New Roman" w:cs="Times New Roman"/>
          <w:sz w:val="24"/>
          <w:szCs w:val="24"/>
        </w:rPr>
        <w:t>paliek spēkā Ministru kabineta 2025. gada 27. marta rīkojuma Nr. 179 “Par likumprojekta “Par valsts budžetu 2026. gadam un budžeta ietvaru 2026., 2027. un 2028. gadam” sagatavošanas grafiku”” 2.4. apakšpunktā noteiktais, ka izdevumu pārskatīšanas rezultātā iegūtie līdzekļi pamatā tiek novirzīti aizsardzības izdevumu un demogrāfijas pasākumu finansēšanai</w:t>
      </w:r>
      <w:r w:rsidR="00C53D8F" w:rsidRPr="00DB3A1A">
        <w:rPr>
          <w:rFonts w:ascii="Times New Roman" w:hAnsi="Times New Roman" w:cs="Times New Roman"/>
          <w:sz w:val="24"/>
          <w:szCs w:val="24"/>
        </w:rPr>
        <w:t xml:space="preserve"> </w:t>
      </w:r>
      <w:r w:rsidR="00C53D8F" w:rsidRPr="00DB3A1A">
        <w:rPr>
          <w:rFonts w:ascii="Times New Roman" w:hAnsi="Times New Roman" w:cs="Times New Roman"/>
          <w:iCs/>
          <w:sz w:val="24"/>
          <w:szCs w:val="24"/>
        </w:rPr>
        <w:t>(</w:t>
      </w:r>
      <w:r w:rsidR="00C53D8F" w:rsidRPr="00DB3A1A">
        <w:rPr>
          <w:rFonts w:ascii="Times New Roman" w:hAnsi="Times New Roman" w:cs="Times New Roman"/>
          <w:bCs/>
          <w:sz w:val="24"/>
          <w:szCs w:val="24"/>
        </w:rPr>
        <w:t>protokols Nr. 25 46. §)</w:t>
      </w:r>
      <w:r w:rsidRPr="00DB3A1A">
        <w:rPr>
          <w:rFonts w:ascii="Times New Roman" w:hAnsi="Times New Roman" w:cs="Times New Roman"/>
          <w:sz w:val="24"/>
          <w:szCs w:val="24"/>
        </w:rPr>
        <w:t>.</w:t>
      </w:r>
    </w:p>
    <w:p w14:paraId="75BE2C1E" w14:textId="4EBE4B89" w:rsidR="00B75AD4" w:rsidRPr="00DB3A1A" w:rsidRDefault="00B75AD4" w:rsidP="006673E7">
      <w:pPr>
        <w:spacing w:after="120" w:line="240" w:lineRule="auto"/>
        <w:ind w:firstLine="720"/>
        <w:jc w:val="both"/>
        <w:rPr>
          <w:rFonts w:ascii="Times New Roman" w:hAnsi="Times New Roman" w:cs="Times New Roman"/>
          <w:noProof/>
          <w:color w:val="000000" w:themeColor="text1"/>
          <w:sz w:val="24"/>
          <w:szCs w:val="24"/>
        </w:rPr>
      </w:pPr>
      <w:r w:rsidRPr="00DB3A1A">
        <w:rPr>
          <w:rFonts w:ascii="Times New Roman" w:hAnsi="Times New Roman" w:cs="Times New Roman"/>
          <w:noProof/>
          <w:color w:val="000000" w:themeColor="text1"/>
          <w:sz w:val="24"/>
          <w:szCs w:val="24"/>
        </w:rPr>
        <w:t xml:space="preserve">2025. gadā, ņemot vērā ģeopolitiskās situācijas attīstību, </w:t>
      </w:r>
      <w:r w:rsidR="00AC21DB" w:rsidRPr="00DB3A1A">
        <w:rPr>
          <w:rFonts w:ascii="Times New Roman" w:hAnsi="Times New Roman" w:cs="Times New Roman"/>
          <w:noProof/>
          <w:color w:val="000000" w:themeColor="text1"/>
          <w:sz w:val="24"/>
          <w:szCs w:val="24"/>
        </w:rPr>
        <w:t xml:space="preserve">Eiropas Komisija (turpmāk – </w:t>
      </w:r>
      <w:r w:rsidRPr="00DB3A1A">
        <w:rPr>
          <w:rFonts w:ascii="Times New Roman" w:hAnsi="Times New Roman" w:cs="Times New Roman"/>
          <w:noProof/>
          <w:color w:val="000000" w:themeColor="text1"/>
          <w:sz w:val="24"/>
          <w:szCs w:val="24"/>
        </w:rPr>
        <w:t>EK</w:t>
      </w:r>
      <w:r w:rsidR="00AC21DB" w:rsidRPr="00DB3A1A">
        <w:rPr>
          <w:rFonts w:ascii="Times New Roman" w:hAnsi="Times New Roman" w:cs="Times New Roman"/>
          <w:noProof/>
          <w:color w:val="000000" w:themeColor="text1"/>
          <w:sz w:val="24"/>
          <w:szCs w:val="24"/>
        </w:rPr>
        <w:t>)</w:t>
      </w:r>
      <w:r w:rsidRPr="00DB3A1A">
        <w:rPr>
          <w:rFonts w:ascii="Times New Roman" w:hAnsi="Times New Roman" w:cs="Times New Roman"/>
          <w:i/>
          <w:iCs/>
          <w:noProof/>
          <w:color w:val="000000" w:themeColor="text1"/>
          <w:sz w:val="24"/>
          <w:szCs w:val="24"/>
        </w:rPr>
        <w:t xml:space="preserve"> </w:t>
      </w:r>
      <w:r w:rsidRPr="00DB3A1A">
        <w:rPr>
          <w:rFonts w:ascii="Times New Roman" w:hAnsi="Times New Roman" w:cs="Times New Roman"/>
          <w:noProof/>
          <w:color w:val="000000" w:themeColor="text1"/>
          <w:sz w:val="24"/>
          <w:szCs w:val="24"/>
        </w:rPr>
        <w:t xml:space="preserve">aicināja </w:t>
      </w:r>
      <w:r w:rsidR="00AC21DB" w:rsidRPr="00DB3A1A">
        <w:rPr>
          <w:rFonts w:ascii="Times New Roman" w:hAnsi="Times New Roman" w:cs="Times New Roman"/>
          <w:noProof/>
          <w:color w:val="000000" w:themeColor="text1"/>
          <w:sz w:val="24"/>
          <w:szCs w:val="24"/>
        </w:rPr>
        <w:t xml:space="preserve">Eiropas Savienības (turpmāk – </w:t>
      </w:r>
      <w:r w:rsidRPr="00DB3A1A">
        <w:rPr>
          <w:rFonts w:ascii="Times New Roman" w:hAnsi="Times New Roman" w:cs="Times New Roman"/>
          <w:noProof/>
          <w:color w:val="000000" w:themeColor="text1"/>
          <w:sz w:val="24"/>
          <w:szCs w:val="24"/>
        </w:rPr>
        <w:t>ES</w:t>
      </w:r>
      <w:r w:rsidR="00AC21DB" w:rsidRPr="00DB3A1A">
        <w:rPr>
          <w:rFonts w:ascii="Times New Roman" w:hAnsi="Times New Roman" w:cs="Times New Roman"/>
          <w:noProof/>
          <w:color w:val="000000" w:themeColor="text1"/>
          <w:sz w:val="24"/>
          <w:szCs w:val="24"/>
        </w:rPr>
        <w:t>)</w:t>
      </w:r>
      <w:r w:rsidRPr="00DB3A1A">
        <w:rPr>
          <w:rFonts w:ascii="Times New Roman" w:hAnsi="Times New Roman" w:cs="Times New Roman"/>
          <w:noProof/>
          <w:color w:val="000000" w:themeColor="text1"/>
          <w:sz w:val="24"/>
          <w:szCs w:val="24"/>
        </w:rPr>
        <w:t xml:space="preserve"> dalībvalstis izmantot jaunā ES ekonomikas pārvaldības ietvara piedāvātās elastības iespējas un aktivizēt valsts izņēmuma klauzulu, lai maksimāli atvieglotu pāreju uz pastāvīgi augstāku aizsardzības izdevumu līmeni. 2025. gada jūlijā Padome iedarbināja valsts izņēmuma klauzulu 15 dalībvalstīm, t.sk. Latvijai</w:t>
      </w:r>
      <w:r w:rsidRPr="00DB3A1A">
        <w:rPr>
          <w:rFonts w:ascii="Times New Roman" w:hAnsi="Times New Roman" w:cs="Times New Roman"/>
          <w:noProof/>
          <w:color w:val="000000" w:themeColor="text1"/>
          <w:sz w:val="24"/>
          <w:szCs w:val="24"/>
          <w:vertAlign w:val="superscript"/>
        </w:rPr>
        <w:footnoteReference w:id="1"/>
      </w:r>
      <w:r w:rsidRPr="00DB3A1A">
        <w:rPr>
          <w:rFonts w:ascii="Times New Roman" w:hAnsi="Times New Roman" w:cs="Times New Roman"/>
          <w:noProof/>
          <w:color w:val="000000" w:themeColor="text1"/>
          <w:sz w:val="24"/>
          <w:szCs w:val="24"/>
        </w:rPr>
        <w:t>, tā ļauj novirzīties no Padomes apstiprinātā izdevumu pieauguma laika perioda no 2025. līdz 2028. gadam attiecībā uz aizsardzības izdevumu pieaugumu, pieaļaujot atkāpi arī piegādēm, kas tiks nodrošinātas pēc 2028. gada, tomēr nepārsniedzot kopējo valsts izņēmuma klauzulas apjomu.</w:t>
      </w:r>
    </w:p>
    <w:p w14:paraId="26AA7E5B" w14:textId="094A4E28" w:rsidR="00B75AD4" w:rsidRPr="00DB3A1A" w:rsidRDefault="00C60201" w:rsidP="006673E7">
      <w:pPr>
        <w:spacing w:after="120" w:line="240" w:lineRule="auto"/>
        <w:ind w:firstLine="720"/>
        <w:jc w:val="both"/>
        <w:rPr>
          <w:rFonts w:ascii="Times New Roman" w:hAnsi="Times New Roman" w:cs="Times New Roman"/>
          <w:sz w:val="24"/>
          <w:szCs w:val="24"/>
        </w:rPr>
      </w:pPr>
      <w:r w:rsidRPr="00DB3A1A">
        <w:rPr>
          <w:rFonts w:ascii="Times New Roman" w:hAnsi="Times New Roman" w:cs="Times New Roman"/>
          <w:sz w:val="24"/>
          <w:szCs w:val="24"/>
        </w:rPr>
        <w:t>Lai nodrošinātu papildu finansējumu Aizsardzības ministrijai kaujas spēju palielināšanai nepieciešamā ekipējuma</w:t>
      </w:r>
      <w:r w:rsidR="000F23E3" w:rsidRPr="00DB3A1A">
        <w:rPr>
          <w:rFonts w:ascii="Times New Roman" w:hAnsi="Times New Roman" w:cs="Times New Roman"/>
          <w:sz w:val="24"/>
          <w:szCs w:val="24"/>
        </w:rPr>
        <w:t xml:space="preserve">, kaujas mašīnu </w:t>
      </w:r>
      <w:r w:rsidRPr="00DB3A1A">
        <w:rPr>
          <w:rFonts w:ascii="Times New Roman" w:hAnsi="Times New Roman" w:cs="Times New Roman"/>
          <w:sz w:val="24"/>
          <w:szCs w:val="24"/>
        </w:rPr>
        <w:t>iegādei</w:t>
      </w:r>
      <w:r w:rsidR="000F23E3" w:rsidRPr="00DB3A1A">
        <w:rPr>
          <w:rFonts w:ascii="Times New Roman" w:hAnsi="Times New Roman" w:cs="Times New Roman"/>
          <w:sz w:val="24"/>
          <w:szCs w:val="24"/>
        </w:rPr>
        <w:t xml:space="preserve"> un pasākumiem, izmantojot ES SAFE</w:t>
      </w:r>
      <w:r w:rsidRPr="00DB3A1A">
        <w:rPr>
          <w:rFonts w:ascii="Times New Roman" w:hAnsi="Times New Roman" w:cs="Times New Roman"/>
          <w:sz w:val="24"/>
          <w:szCs w:val="24"/>
        </w:rPr>
        <w:t xml:space="preserve"> </w:t>
      </w:r>
      <w:r w:rsidR="000F23E3" w:rsidRPr="00DB3A1A">
        <w:rPr>
          <w:rFonts w:ascii="Times New Roman" w:hAnsi="Times New Roman" w:cs="Times New Roman"/>
          <w:sz w:val="24"/>
          <w:szCs w:val="24"/>
        </w:rPr>
        <w:t>(Security Action for Europe) instrumentu</w:t>
      </w:r>
      <w:r w:rsidR="009562CB" w:rsidRPr="00DB3A1A">
        <w:rPr>
          <w:rFonts w:ascii="Times New Roman" w:hAnsi="Times New Roman" w:cs="Times New Roman"/>
          <w:sz w:val="24"/>
          <w:szCs w:val="24"/>
        </w:rPr>
        <w:t xml:space="preserve">, </w:t>
      </w:r>
      <w:r w:rsidRPr="00DB3A1A">
        <w:rPr>
          <w:rStyle w:val="ui-provider"/>
          <w:rFonts w:ascii="Times New Roman" w:hAnsi="Times New Roman" w:cs="Times New Roman"/>
          <w:sz w:val="24"/>
          <w:szCs w:val="24"/>
        </w:rPr>
        <w:t>Ministru kabinet</w:t>
      </w:r>
      <w:r w:rsidR="009562CB" w:rsidRPr="00DB3A1A">
        <w:rPr>
          <w:rStyle w:val="ui-provider"/>
          <w:rFonts w:ascii="Times New Roman" w:hAnsi="Times New Roman" w:cs="Times New Roman"/>
          <w:sz w:val="24"/>
          <w:szCs w:val="24"/>
        </w:rPr>
        <w:t>s 2025. gada 17. jūnij</w:t>
      </w:r>
      <w:r w:rsidR="000B23DE" w:rsidRPr="00DB3A1A">
        <w:rPr>
          <w:rStyle w:val="ui-provider"/>
          <w:rFonts w:ascii="Times New Roman" w:hAnsi="Times New Roman" w:cs="Times New Roman"/>
          <w:sz w:val="24"/>
          <w:szCs w:val="24"/>
        </w:rPr>
        <w:t>a</w:t>
      </w:r>
      <w:r w:rsidR="009562CB" w:rsidRPr="00DB3A1A">
        <w:rPr>
          <w:rStyle w:val="ui-provider"/>
          <w:rFonts w:ascii="Times New Roman" w:hAnsi="Times New Roman" w:cs="Times New Roman"/>
          <w:sz w:val="24"/>
          <w:szCs w:val="24"/>
        </w:rPr>
        <w:t>, 25. jūnij</w:t>
      </w:r>
      <w:r w:rsidR="000B23DE" w:rsidRPr="00DB3A1A">
        <w:rPr>
          <w:rStyle w:val="ui-provider"/>
          <w:rFonts w:ascii="Times New Roman" w:hAnsi="Times New Roman" w:cs="Times New Roman"/>
          <w:sz w:val="24"/>
          <w:szCs w:val="24"/>
        </w:rPr>
        <w:t>a</w:t>
      </w:r>
      <w:r w:rsidR="009562CB" w:rsidRPr="00DB3A1A">
        <w:rPr>
          <w:rStyle w:val="ui-provider"/>
          <w:rFonts w:ascii="Times New Roman" w:hAnsi="Times New Roman" w:cs="Times New Roman"/>
          <w:sz w:val="24"/>
          <w:szCs w:val="24"/>
        </w:rPr>
        <w:t xml:space="preserve"> un 22. jūlij</w:t>
      </w:r>
      <w:r w:rsidR="000B23DE" w:rsidRPr="00DB3A1A">
        <w:rPr>
          <w:rStyle w:val="ui-provider"/>
          <w:rFonts w:ascii="Times New Roman" w:hAnsi="Times New Roman" w:cs="Times New Roman"/>
          <w:sz w:val="24"/>
          <w:szCs w:val="24"/>
        </w:rPr>
        <w:t>a sēdē</w:t>
      </w:r>
      <w:r w:rsidR="009562CB" w:rsidRPr="00DB3A1A">
        <w:rPr>
          <w:rStyle w:val="ui-provider"/>
          <w:rFonts w:ascii="Times New Roman" w:hAnsi="Times New Roman" w:cs="Times New Roman"/>
          <w:sz w:val="24"/>
          <w:szCs w:val="24"/>
        </w:rPr>
        <w:t xml:space="preserve"> </w:t>
      </w:r>
      <w:r w:rsidR="00FC4F23" w:rsidRPr="00DB3A1A">
        <w:rPr>
          <w:rStyle w:val="ui-provider"/>
          <w:rFonts w:ascii="Times New Roman" w:hAnsi="Times New Roman" w:cs="Times New Roman"/>
          <w:sz w:val="24"/>
          <w:szCs w:val="24"/>
        </w:rPr>
        <w:t>no</w:t>
      </w:r>
      <w:r w:rsidR="009562CB" w:rsidRPr="00DB3A1A">
        <w:rPr>
          <w:rStyle w:val="ui-provider"/>
          <w:rFonts w:ascii="Times New Roman" w:hAnsi="Times New Roman" w:cs="Times New Roman"/>
          <w:sz w:val="24"/>
          <w:szCs w:val="24"/>
        </w:rPr>
        <w:t>lēm</w:t>
      </w:r>
      <w:r w:rsidR="00FC4F23" w:rsidRPr="00DB3A1A">
        <w:rPr>
          <w:rStyle w:val="ui-provider"/>
          <w:rFonts w:ascii="Times New Roman" w:hAnsi="Times New Roman" w:cs="Times New Roman"/>
          <w:sz w:val="24"/>
          <w:szCs w:val="24"/>
        </w:rPr>
        <w:t>a</w:t>
      </w:r>
      <w:r w:rsidR="009562CB" w:rsidRPr="00DB3A1A">
        <w:rPr>
          <w:rStyle w:val="ui-provider"/>
          <w:rFonts w:ascii="Times New Roman" w:hAnsi="Times New Roman" w:cs="Times New Roman"/>
          <w:sz w:val="24"/>
          <w:szCs w:val="24"/>
        </w:rPr>
        <w:t xml:space="preserve"> </w:t>
      </w:r>
      <w:r w:rsidRPr="00DB3A1A">
        <w:rPr>
          <w:rFonts w:ascii="Times New Roman" w:hAnsi="Times New Roman" w:cs="Times New Roman"/>
          <w:sz w:val="24"/>
          <w:szCs w:val="24"/>
        </w:rPr>
        <w:t xml:space="preserve">paredzēt </w:t>
      </w:r>
      <w:r w:rsidR="00701688" w:rsidRPr="00DB3A1A">
        <w:rPr>
          <w:rFonts w:ascii="Times New Roman" w:hAnsi="Times New Roman" w:cs="Times New Roman"/>
          <w:sz w:val="24"/>
          <w:szCs w:val="24"/>
        </w:rPr>
        <w:t xml:space="preserve">papildu </w:t>
      </w:r>
      <w:r w:rsidRPr="00DB3A1A">
        <w:rPr>
          <w:rFonts w:ascii="Times New Roman" w:hAnsi="Times New Roman" w:cs="Times New Roman"/>
          <w:sz w:val="24"/>
          <w:szCs w:val="24"/>
        </w:rPr>
        <w:t xml:space="preserve">finansējumu </w:t>
      </w:r>
      <w:r w:rsidR="00701688" w:rsidRPr="00DB3A1A">
        <w:rPr>
          <w:rFonts w:ascii="Times New Roman" w:hAnsi="Times New Roman" w:cs="Times New Roman"/>
          <w:sz w:val="24"/>
          <w:szCs w:val="24"/>
        </w:rPr>
        <w:t xml:space="preserve">minētajiem mērķiem </w:t>
      </w:r>
      <w:r w:rsidRPr="00DB3A1A">
        <w:rPr>
          <w:rFonts w:ascii="Times New Roman" w:hAnsi="Times New Roman" w:cs="Times New Roman"/>
          <w:sz w:val="24"/>
          <w:szCs w:val="24"/>
        </w:rPr>
        <w:t>2026.</w:t>
      </w:r>
      <w:r w:rsidR="009562CB" w:rsidRPr="00DB3A1A">
        <w:rPr>
          <w:rFonts w:ascii="Times New Roman" w:hAnsi="Times New Roman" w:cs="Times New Roman"/>
          <w:sz w:val="24"/>
          <w:szCs w:val="24"/>
        </w:rPr>
        <w:t>–</w:t>
      </w:r>
      <w:r w:rsidR="002F500F" w:rsidRPr="00DB3A1A">
        <w:rPr>
          <w:rFonts w:ascii="Times New Roman" w:hAnsi="Times New Roman" w:cs="Times New Roman"/>
          <w:sz w:val="24"/>
          <w:szCs w:val="24"/>
        </w:rPr>
        <w:t>2028</w:t>
      </w:r>
      <w:r w:rsidR="009562CB" w:rsidRPr="00DB3A1A">
        <w:rPr>
          <w:rFonts w:ascii="Times New Roman" w:hAnsi="Times New Roman" w:cs="Times New Roman"/>
          <w:sz w:val="24"/>
          <w:szCs w:val="24"/>
        </w:rPr>
        <w:t>. </w:t>
      </w:r>
      <w:r w:rsidRPr="00DB3A1A">
        <w:rPr>
          <w:rFonts w:ascii="Times New Roman" w:hAnsi="Times New Roman" w:cs="Times New Roman"/>
          <w:sz w:val="24"/>
          <w:szCs w:val="24"/>
        </w:rPr>
        <w:t xml:space="preserve">gadam valsts budžeta resora </w:t>
      </w:r>
      <w:r w:rsidR="00DE5FD2" w:rsidRPr="00DB3A1A">
        <w:rPr>
          <w:rFonts w:ascii="Times New Roman" w:hAnsi="Times New Roman" w:cs="Times New Roman"/>
          <w:sz w:val="24"/>
          <w:szCs w:val="24"/>
        </w:rPr>
        <w:t>“</w:t>
      </w:r>
      <w:r w:rsidRPr="00DB3A1A">
        <w:rPr>
          <w:rFonts w:ascii="Times New Roman" w:hAnsi="Times New Roman" w:cs="Times New Roman"/>
          <w:sz w:val="24"/>
          <w:szCs w:val="24"/>
        </w:rPr>
        <w:t>74. Gadskārtējā valsts budžeta izpildes procesā pārdalāmais finansējums</w:t>
      </w:r>
      <w:r w:rsidR="00DE5FD2" w:rsidRPr="00DB3A1A">
        <w:rPr>
          <w:rFonts w:ascii="Times New Roman" w:hAnsi="Times New Roman" w:cs="Times New Roman"/>
          <w:sz w:val="24"/>
          <w:szCs w:val="24"/>
        </w:rPr>
        <w:t>”</w:t>
      </w:r>
      <w:r w:rsidRPr="00DB3A1A">
        <w:rPr>
          <w:rFonts w:ascii="Times New Roman" w:hAnsi="Times New Roman" w:cs="Times New Roman"/>
          <w:sz w:val="24"/>
          <w:szCs w:val="24"/>
        </w:rPr>
        <w:t xml:space="preserve"> atsevišķā programmā</w:t>
      </w:r>
      <w:r w:rsidR="00DE5FD2" w:rsidRPr="00DB3A1A">
        <w:rPr>
          <w:rFonts w:ascii="Times New Roman" w:hAnsi="Times New Roman" w:cs="Times New Roman"/>
          <w:sz w:val="24"/>
          <w:szCs w:val="24"/>
        </w:rPr>
        <w:t xml:space="preserve"> </w:t>
      </w:r>
      <w:r w:rsidR="00DE5FD2" w:rsidRPr="00DB3A1A">
        <w:rPr>
          <w:rFonts w:ascii="Times New Roman" w:hAnsi="Times New Roman" w:cs="Times New Roman"/>
          <w:iCs/>
          <w:sz w:val="24"/>
          <w:szCs w:val="24"/>
        </w:rPr>
        <w:t>(</w:t>
      </w:r>
      <w:r w:rsidR="00DE5FD2" w:rsidRPr="00DB3A1A">
        <w:rPr>
          <w:rFonts w:ascii="Times New Roman" w:hAnsi="Times New Roman" w:cs="Times New Roman"/>
          <w:bCs/>
          <w:sz w:val="24"/>
          <w:szCs w:val="24"/>
        </w:rPr>
        <w:t xml:space="preserve">protokols </w:t>
      </w:r>
      <w:r w:rsidR="00701688" w:rsidRPr="00DB3A1A">
        <w:rPr>
          <w:rFonts w:ascii="Times New Roman" w:hAnsi="Times New Roman" w:cs="Times New Roman"/>
          <w:bCs/>
          <w:sz w:val="24"/>
          <w:szCs w:val="24"/>
        </w:rPr>
        <w:t xml:space="preserve">Nr. 24 82. §, </w:t>
      </w:r>
      <w:r w:rsidR="00DE5FD2" w:rsidRPr="00DB3A1A">
        <w:rPr>
          <w:rFonts w:ascii="Times New Roman" w:hAnsi="Times New Roman" w:cs="Times New Roman"/>
          <w:bCs/>
          <w:sz w:val="24"/>
          <w:szCs w:val="24"/>
        </w:rPr>
        <w:t>Nr. 25 50. §</w:t>
      </w:r>
      <w:r w:rsidR="00701688" w:rsidRPr="00DB3A1A">
        <w:rPr>
          <w:rFonts w:ascii="Times New Roman" w:hAnsi="Times New Roman" w:cs="Times New Roman"/>
          <w:bCs/>
          <w:sz w:val="24"/>
          <w:szCs w:val="24"/>
        </w:rPr>
        <w:t>, Nr. 29 81. §</w:t>
      </w:r>
      <w:r w:rsidR="00DE5FD2" w:rsidRPr="00DB3A1A">
        <w:rPr>
          <w:rFonts w:ascii="Times New Roman" w:hAnsi="Times New Roman" w:cs="Times New Roman"/>
          <w:bCs/>
          <w:sz w:val="24"/>
          <w:szCs w:val="24"/>
        </w:rPr>
        <w:t>)</w:t>
      </w:r>
      <w:r w:rsidRPr="00DB3A1A">
        <w:rPr>
          <w:rFonts w:ascii="Times New Roman" w:hAnsi="Times New Roman" w:cs="Times New Roman"/>
          <w:sz w:val="24"/>
          <w:szCs w:val="24"/>
        </w:rPr>
        <w:t>.</w:t>
      </w:r>
    </w:p>
    <w:p w14:paraId="350F42F9" w14:textId="03C4F615" w:rsidR="000B23DE" w:rsidRPr="00DB3A1A" w:rsidRDefault="000B23DE" w:rsidP="006673E7">
      <w:pPr>
        <w:spacing w:after="120" w:line="240" w:lineRule="auto"/>
        <w:ind w:firstLine="720"/>
        <w:jc w:val="both"/>
        <w:rPr>
          <w:rStyle w:val="ui-provider"/>
          <w:rFonts w:ascii="Times New Roman" w:hAnsi="Times New Roman" w:cs="Times New Roman"/>
          <w:sz w:val="24"/>
          <w:szCs w:val="24"/>
        </w:rPr>
      </w:pPr>
      <w:r w:rsidRPr="00DB3A1A">
        <w:rPr>
          <w:rStyle w:val="ui-provider"/>
          <w:rFonts w:ascii="Times New Roman" w:hAnsi="Times New Roman" w:cs="Times New Roman"/>
          <w:sz w:val="24"/>
          <w:szCs w:val="24"/>
        </w:rPr>
        <w:lastRenderedPageBreak/>
        <w:t>Ministru kabinets 2025. gada 25. jūnija sēdē nolēma paredzēt papildu finansējumu</w:t>
      </w:r>
      <w:r w:rsidRPr="00DB3A1A">
        <w:rPr>
          <w:rFonts w:ascii="Times New Roman" w:hAnsi="Times New Roman" w:cs="Times New Roman"/>
          <w:sz w:val="24"/>
          <w:szCs w:val="24"/>
        </w:rPr>
        <w:t xml:space="preserve"> Iekšlietu ministrijai izmaksu segšanai, kas saistītas ar valsts ārējās sauszemes robežas apsardzībai nepieciešamās infrastruktūras izbūvi uz valsts ārējās sauszemes robežas, kā arī saistītajiem darbiem un pakalpojumiem 2026. un 2027. gadā budžeta resora “74. Gadskārtējā valsts budžeta izpildes procesā pārdalāmais finansējums” programmā 18.00.00 “Finansējums valsts drošības stiprināšanas pasākumiem” </w:t>
      </w:r>
      <w:r w:rsidRPr="00DB3A1A">
        <w:rPr>
          <w:rFonts w:ascii="Times New Roman" w:hAnsi="Times New Roman" w:cs="Times New Roman"/>
          <w:iCs/>
          <w:sz w:val="24"/>
          <w:szCs w:val="24"/>
        </w:rPr>
        <w:t>(</w:t>
      </w:r>
      <w:r w:rsidRPr="00DB3A1A">
        <w:rPr>
          <w:rFonts w:ascii="Times New Roman" w:hAnsi="Times New Roman" w:cs="Times New Roman"/>
          <w:bCs/>
          <w:sz w:val="24"/>
          <w:szCs w:val="24"/>
        </w:rPr>
        <w:t>protokols Nr. 25 52. §).</w:t>
      </w:r>
    </w:p>
    <w:p w14:paraId="223618F3" w14:textId="77777777" w:rsidR="0010662E" w:rsidRPr="00DB3A1A" w:rsidRDefault="0010662E" w:rsidP="00E97779">
      <w:pPr>
        <w:spacing w:before="120" w:after="120" w:line="240" w:lineRule="auto"/>
        <w:ind w:firstLine="709"/>
        <w:jc w:val="both"/>
        <w:rPr>
          <w:rFonts w:ascii="Times New Roman" w:hAnsi="Times New Roman" w:cs="Times New Roman"/>
          <w:color w:val="000000"/>
          <w:sz w:val="24"/>
          <w:szCs w:val="24"/>
        </w:rPr>
      </w:pPr>
    </w:p>
    <w:p w14:paraId="5AC4BFAF" w14:textId="77777777" w:rsidR="0054125F" w:rsidRPr="00DB3A1A" w:rsidRDefault="0054125F" w:rsidP="004059DF">
      <w:pPr>
        <w:pStyle w:val="ListParagraph"/>
        <w:numPr>
          <w:ilvl w:val="0"/>
          <w:numId w:val="1"/>
        </w:numPr>
        <w:shd w:val="clear" w:color="auto" w:fill="FFF2CC" w:themeFill="accent4" w:themeFillTint="33"/>
        <w:tabs>
          <w:tab w:val="left" w:pos="0"/>
          <w:tab w:val="left" w:pos="993"/>
        </w:tabs>
        <w:spacing w:before="120" w:after="120" w:line="240" w:lineRule="auto"/>
        <w:ind w:left="1077"/>
        <w:contextualSpacing w:val="0"/>
        <w:jc w:val="both"/>
        <w:rPr>
          <w:rFonts w:ascii="Times New Roman" w:hAnsi="Times New Roman" w:cs="Times New Roman"/>
          <w:b/>
          <w:sz w:val="28"/>
          <w:szCs w:val="28"/>
        </w:rPr>
      </w:pPr>
      <w:r w:rsidRPr="00DB3A1A">
        <w:rPr>
          <w:rFonts w:ascii="Times New Roman" w:hAnsi="Times New Roman" w:cs="Times New Roman"/>
          <w:b/>
          <w:sz w:val="28"/>
          <w:szCs w:val="28"/>
        </w:rPr>
        <w:t>Vispārējās valdības budžeta fiskālā telpa pie nemainīgas valdības politikas</w:t>
      </w:r>
    </w:p>
    <w:p w14:paraId="37734188" w14:textId="100AC34E" w:rsidR="0054125F" w:rsidRPr="00DB3A1A" w:rsidRDefault="0054125F" w:rsidP="006673E7">
      <w:pPr>
        <w:spacing w:after="120" w:line="240" w:lineRule="auto"/>
        <w:ind w:firstLine="720"/>
        <w:jc w:val="both"/>
        <w:rPr>
          <w:rFonts w:ascii="Times New Roman" w:hAnsi="Times New Roman" w:cs="Times New Roman"/>
          <w:bCs/>
          <w:sz w:val="24"/>
          <w:szCs w:val="24"/>
        </w:rPr>
      </w:pPr>
      <w:r w:rsidRPr="00DB3A1A">
        <w:rPr>
          <w:rFonts w:ascii="Times New Roman" w:hAnsi="Times New Roman" w:cs="Times New Roman"/>
          <w:sz w:val="24"/>
          <w:szCs w:val="24"/>
        </w:rPr>
        <w:t>Saskaņā ar Budžeta grafika pielikuma 1</w:t>
      </w:r>
      <w:r w:rsidR="00D271AA" w:rsidRPr="00DB3A1A">
        <w:rPr>
          <w:rFonts w:ascii="Times New Roman" w:hAnsi="Times New Roman" w:cs="Times New Roman"/>
          <w:sz w:val="24"/>
          <w:szCs w:val="24"/>
        </w:rPr>
        <w:t>3</w:t>
      </w:r>
      <w:r w:rsidRPr="00DB3A1A">
        <w:rPr>
          <w:rFonts w:ascii="Times New Roman" w:hAnsi="Times New Roman" w:cs="Times New Roman"/>
          <w:sz w:val="24"/>
          <w:szCs w:val="24"/>
        </w:rPr>
        <w:t>. punktu Ministru kabineta 202</w:t>
      </w:r>
      <w:r w:rsidR="00D271AA" w:rsidRPr="00DB3A1A">
        <w:rPr>
          <w:rFonts w:ascii="Times New Roman" w:hAnsi="Times New Roman" w:cs="Times New Roman"/>
          <w:sz w:val="24"/>
          <w:szCs w:val="24"/>
        </w:rPr>
        <w:t>5</w:t>
      </w:r>
      <w:r w:rsidRPr="00DB3A1A">
        <w:rPr>
          <w:rFonts w:ascii="Times New Roman" w:hAnsi="Times New Roman" w:cs="Times New Roman"/>
          <w:sz w:val="24"/>
          <w:szCs w:val="24"/>
        </w:rPr>
        <w:t xml:space="preserve">. gada </w:t>
      </w:r>
      <w:r w:rsidR="00D271AA" w:rsidRPr="00DB3A1A">
        <w:rPr>
          <w:rFonts w:ascii="Times New Roman" w:hAnsi="Times New Roman" w:cs="Times New Roman"/>
          <w:sz w:val="24"/>
          <w:szCs w:val="24"/>
        </w:rPr>
        <w:t>19</w:t>
      </w:r>
      <w:r w:rsidRPr="00DB3A1A">
        <w:rPr>
          <w:rFonts w:ascii="Times New Roman" w:hAnsi="Times New Roman" w:cs="Times New Roman"/>
          <w:sz w:val="24"/>
          <w:szCs w:val="24"/>
        </w:rPr>
        <w:t>. augusta sēdē izskatītā informatīvā ziņojuma “Par makroekonomisko rādītāju, ieņēmumu un vispārējās valdības budžeta bilances prognozēm 202</w:t>
      </w:r>
      <w:r w:rsidR="00D271AA" w:rsidRPr="00DB3A1A">
        <w:rPr>
          <w:rFonts w:ascii="Times New Roman" w:hAnsi="Times New Roman" w:cs="Times New Roman"/>
          <w:sz w:val="24"/>
          <w:szCs w:val="24"/>
        </w:rPr>
        <w:t>6</w:t>
      </w:r>
      <w:r w:rsidRPr="00DB3A1A">
        <w:rPr>
          <w:rFonts w:ascii="Times New Roman" w:hAnsi="Times New Roman" w:cs="Times New Roman"/>
          <w:sz w:val="24"/>
          <w:szCs w:val="24"/>
        </w:rPr>
        <w:t>., 202</w:t>
      </w:r>
      <w:r w:rsidR="00D271AA" w:rsidRPr="00DB3A1A">
        <w:rPr>
          <w:rFonts w:ascii="Times New Roman" w:hAnsi="Times New Roman" w:cs="Times New Roman"/>
          <w:sz w:val="24"/>
          <w:szCs w:val="24"/>
        </w:rPr>
        <w:t>7</w:t>
      </w:r>
      <w:r w:rsidRPr="00DB3A1A">
        <w:rPr>
          <w:rFonts w:ascii="Times New Roman" w:hAnsi="Times New Roman" w:cs="Times New Roman"/>
          <w:sz w:val="24"/>
          <w:szCs w:val="24"/>
        </w:rPr>
        <w:t>., 202</w:t>
      </w:r>
      <w:r w:rsidR="00D271AA" w:rsidRPr="00DB3A1A">
        <w:rPr>
          <w:rFonts w:ascii="Times New Roman" w:hAnsi="Times New Roman" w:cs="Times New Roman"/>
          <w:sz w:val="24"/>
          <w:szCs w:val="24"/>
        </w:rPr>
        <w:t>8</w:t>
      </w:r>
      <w:r w:rsidRPr="00DB3A1A">
        <w:rPr>
          <w:rFonts w:ascii="Times New Roman" w:hAnsi="Times New Roman" w:cs="Times New Roman"/>
          <w:sz w:val="24"/>
          <w:szCs w:val="24"/>
        </w:rPr>
        <w:t>. un 202</w:t>
      </w:r>
      <w:r w:rsidR="00D271AA" w:rsidRPr="00DB3A1A">
        <w:rPr>
          <w:rFonts w:ascii="Times New Roman" w:hAnsi="Times New Roman" w:cs="Times New Roman"/>
          <w:sz w:val="24"/>
          <w:szCs w:val="24"/>
        </w:rPr>
        <w:t>9</w:t>
      </w:r>
      <w:r w:rsidRPr="00DB3A1A">
        <w:rPr>
          <w:rFonts w:ascii="Times New Roman" w:hAnsi="Times New Roman" w:cs="Times New Roman"/>
          <w:sz w:val="24"/>
          <w:szCs w:val="24"/>
        </w:rPr>
        <w:t>. gadā”</w:t>
      </w:r>
      <w:r w:rsidRPr="00DB3A1A">
        <w:rPr>
          <w:rFonts w:ascii="Times New Roman" w:eastAsiaTheme="minorEastAsia" w:hAnsi="Times New Roman" w:cs="Times New Roman"/>
          <w:position w:val="6"/>
          <w:sz w:val="24"/>
          <w:szCs w:val="24"/>
          <w:vertAlign w:val="superscript"/>
        </w:rPr>
        <w:footnoteReference w:id="2"/>
      </w:r>
      <w:r w:rsidRPr="00DB3A1A">
        <w:rPr>
          <w:rFonts w:ascii="Times New Roman" w:hAnsi="Times New Roman" w:cs="Times New Roman"/>
          <w:sz w:val="24"/>
          <w:szCs w:val="24"/>
        </w:rPr>
        <w:t xml:space="preserve"> 5. sadaļas </w:t>
      </w:r>
      <w:r w:rsidR="00666CEC" w:rsidRPr="00DB3A1A">
        <w:rPr>
          <w:rFonts w:ascii="Times New Roman" w:hAnsi="Times New Roman" w:cs="Times New Roman"/>
          <w:sz w:val="24"/>
          <w:szCs w:val="24"/>
        </w:rPr>
        <w:t>14</w:t>
      </w:r>
      <w:r w:rsidRPr="00DB3A1A">
        <w:rPr>
          <w:rFonts w:ascii="Times New Roman" w:hAnsi="Times New Roman" w:cs="Times New Roman"/>
          <w:sz w:val="24"/>
          <w:szCs w:val="24"/>
        </w:rPr>
        <w:t xml:space="preserve">. tabulā norādīto </w:t>
      </w:r>
      <w:r w:rsidR="00666CEC" w:rsidRPr="00DB3A1A">
        <w:rPr>
          <w:rFonts w:ascii="Times New Roman" w:hAnsi="Times New Roman" w:cs="Times New Roman"/>
          <w:noProof/>
          <w:sz w:val="24"/>
          <w:szCs w:val="24"/>
        </w:rPr>
        <w:t xml:space="preserve">2026. gadā fiskālās telpas apjoms ir pozitīvs 39,7 milj. </w:t>
      </w:r>
      <w:r w:rsidR="00666CEC" w:rsidRPr="00DB3A1A">
        <w:rPr>
          <w:rFonts w:ascii="Times New Roman" w:hAnsi="Times New Roman" w:cs="Times New Roman"/>
          <w:i/>
          <w:iCs/>
          <w:noProof/>
          <w:sz w:val="24"/>
          <w:szCs w:val="24"/>
        </w:rPr>
        <w:t>euro</w:t>
      </w:r>
      <w:r w:rsidR="00666CEC" w:rsidRPr="00DB3A1A">
        <w:rPr>
          <w:rFonts w:ascii="Times New Roman" w:hAnsi="Times New Roman" w:cs="Times New Roman"/>
          <w:noProof/>
          <w:sz w:val="24"/>
          <w:szCs w:val="24"/>
        </w:rPr>
        <w:t xml:space="preserve">, bet negatīvs gan 2027. gadā 140,1 milj. </w:t>
      </w:r>
      <w:r w:rsidR="00666CEC" w:rsidRPr="00DB3A1A">
        <w:rPr>
          <w:rFonts w:ascii="Times New Roman" w:hAnsi="Times New Roman" w:cs="Times New Roman"/>
          <w:i/>
          <w:iCs/>
          <w:noProof/>
          <w:sz w:val="24"/>
          <w:szCs w:val="24"/>
        </w:rPr>
        <w:t>euro</w:t>
      </w:r>
      <w:r w:rsidR="00666CEC" w:rsidRPr="00DB3A1A">
        <w:rPr>
          <w:rFonts w:ascii="Times New Roman" w:hAnsi="Times New Roman" w:cs="Times New Roman"/>
          <w:noProof/>
          <w:sz w:val="24"/>
          <w:szCs w:val="24"/>
        </w:rPr>
        <w:t xml:space="preserve">, gan 2028. gadā 144,4 milj. </w:t>
      </w:r>
      <w:r w:rsidR="00666CEC" w:rsidRPr="00DB3A1A">
        <w:rPr>
          <w:rFonts w:ascii="Times New Roman" w:hAnsi="Times New Roman" w:cs="Times New Roman"/>
          <w:i/>
          <w:iCs/>
          <w:noProof/>
          <w:sz w:val="24"/>
          <w:szCs w:val="24"/>
        </w:rPr>
        <w:t xml:space="preserve">euro </w:t>
      </w:r>
      <w:r w:rsidRPr="00DB3A1A">
        <w:rPr>
          <w:rFonts w:ascii="Times New Roman" w:hAnsi="Times New Roman" w:cs="Times New Roman"/>
          <w:iCs/>
          <w:sz w:val="24"/>
          <w:szCs w:val="24"/>
        </w:rPr>
        <w:t>(</w:t>
      </w:r>
      <w:r w:rsidRPr="00DB3A1A">
        <w:rPr>
          <w:rFonts w:ascii="Times New Roman" w:hAnsi="Times New Roman" w:cs="Times New Roman"/>
          <w:bCs/>
          <w:sz w:val="24"/>
          <w:szCs w:val="24"/>
        </w:rPr>
        <w:t>protokols Nr.</w:t>
      </w:r>
      <w:r w:rsidR="00C01106" w:rsidRPr="00DB3A1A">
        <w:rPr>
          <w:rFonts w:ascii="Times New Roman" w:hAnsi="Times New Roman" w:cs="Times New Roman"/>
          <w:bCs/>
          <w:sz w:val="24"/>
          <w:szCs w:val="24"/>
        </w:rPr>
        <w:t> </w:t>
      </w:r>
      <w:r w:rsidRPr="00DB3A1A">
        <w:rPr>
          <w:rFonts w:ascii="Times New Roman" w:hAnsi="Times New Roman" w:cs="Times New Roman"/>
          <w:bCs/>
          <w:sz w:val="24"/>
          <w:szCs w:val="24"/>
        </w:rPr>
        <w:t xml:space="preserve">32 </w:t>
      </w:r>
      <w:r w:rsidR="00C01106" w:rsidRPr="00DB3A1A">
        <w:rPr>
          <w:rFonts w:ascii="Times New Roman" w:hAnsi="Times New Roman" w:cs="Times New Roman"/>
          <w:bCs/>
          <w:sz w:val="24"/>
          <w:szCs w:val="24"/>
        </w:rPr>
        <w:t>48</w:t>
      </w:r>
      <w:r w:rsidRPr="00DB3A1A">
        <w:rPr>
          <w:rFonts w:ascii="Times New Roman" w:hAnsi="Times New Roman" w:cs="Times New Roman"/>
          <w:bCs/>
          <w:sz w:val="24"/>
          <w:szCs w:val="24"/>
        </w:rPr>
        <w:t xml:space="preserve">. § </w:t>
      </w:r>
      <w:r w:rsidR="00C01106" w:rsidRPr="00DB3A1A">
        <w:rPr>
          <w:rFonts w:ascii="Times New Roman" w:hAnsi="Times New Roman" w:cs="Times New Roman"/>
          <w:bCs/>
          <w:sz w:val="24"/>
          <w:szCs w:val="24"/>
        </w:rPr>
        <w:t>6</w:t>
      </w:r>
      <w:r w:rsidRPr="00DB3A1A">
        <w:rPr>
          <w:rFonts w:ascii="Times New Roman" w:hAnsi="Times New Roman" w:cs="Times New Roman"/>
          <w:bCs/>
          <w:sz w:val="24"/>
          <w:szCs w:val="24"/>
        </w:rPr>
        <w:t>.</w:t>
      </w:r>
      <w:r w:rsidR="003B5777" w:rsidRPr="00DB3A1A">
        <w:rPr>
          <w:rFonts w:ascii="Times New Roman" w:hAnsi="Times New Roman" w:cs="Times New Roman"/>
          <w:bCs/>
          <w:sz w:val="24"/>
          <w:szCs w:val="24"/>
        </w:rPr>
        <w:t> </w:t>
      </w:r>
      <w:r w:rsidRPr="00DB3A1A">
        <w:rPr>
          <w:rFonts w:ascii="Times New Roman" w:hAnsi="Times New Roman" w:cs="Times New Roman"/>
          <w:bCs/>
          <w:sz w:val="24"/>
          <w:szCs w:val="24"/>
        </w:rPr>
        <w:t>punkts).</w:t>
      </w:r>
    </w:p>
    <w:p w14:paraId="4C4E4466" w14:textId="77777777" w:rsidR="00F042EC" w:rsidRPr="00DB3A1A" w:rsidRDefault="00F042EC" w:rsidP="006673E7">
      <w:pPr>
        <w:spacing w:after="120" w:line="240" w:lineRule="auto"/>
        <w:ind w:firstLine="720"/>
        <w:jc w:val="both"/>
        <w:rPr>
          <w:rFonts w:ascii="Times New Roman" w:hAnsi="Times New Roman" w:cs="Times New Roman"/>
          <w:noProof/>
          <w:sz w:val="24"/>
          <w:szCs w:val="24"/>
        </w:rPr>
      </w:pPr>
      <w:r w:rsidRPr="00DB3A1A">
        <w:rPr>
          <w:rFonts w:ascii="Times New Roman" w:hAnsi="Times New Roman" w:cs="Times New Roman"/>
          <w:sz w:val="24"/>
          <w:szCs w:val="24"/>
        </w:rPr>
        <w:t>Ministru kabineta 2025. gada 26. augusta sēdē, izskatot informatīvo ziņojumu “Par valsts pamatbudžeta un valsts speciālā budžeta bāzi un izdevumu pārskatīšanas rezultātiem 2026., 2027., 2028. un 2029. gadam”</w:t>
      </w:r>
      <w:r w:rsidRPr="00DB3A1A">
        <w:rPr>
          <w:rFonts w:ascii="Times New Roman" w:eastAsiaTheme="minorEastAsia" w:hAnsi="Times New Roman" w:cs="Times New Roman"/>
          <w:position w:val="6"/>
          <w:sz w:val="24"/>
          <w:szCs w:val="24"/>
          <w:vertAlign w:val="superscript"/>
        </w:rPr>
        <w:footnoteReference w:id="3"/>
      </w:r>
      <w:r w:rsidRPr="00DB3A1A">
        <w:rPr>
          <w:rFonts w:ascii="Times New Roman" w:hAnsi="Times New Roman" w:cs="Times New Roman"/>
          <w:sz w:val="24"/>
          <w:szCs w:val="24"/>
        </w:rPr>
        <w:t xml:space="preserve"> (protokols Nr. 33 53. § 17. punkts), </w:t>
      </w:r>
      <w:r w:rsidRPr="00DB3A1A">
        <w:rPr>
          <w:rFonts w:ascii="Times New Roman" w:hAnsi="Times New Roman" w:cs="Times New Roman"/>
          <w:noProof/>
          <w:sz w:val="24"/>
          <w:szCs w:val="24"/>
        </w:rPr>
        <w:t xml:space="preserve">tika atbalstīts, ka 2026. gadā pieejamā fiskālā telpa 39 717 846 </w:t>
      </w:r>
      <w:r w:rsidRPr="00DB3A1A">
        <w:rPr>
          <w:rFonts w:ascii="Times New Roman" w:hAnsi="Times New Roman" w:cs="Times New Roman"/>
          <w:i/>
          <w:iCs/>
          <w:noProof/>
          <w:sz w:val="24"/>
          <w:szCs w:val="24"/>
        </w:rPr>
        <w:t>euro</w:t>
      </w:r>
      <w:r w:rsidRPr="00DB3A1A">
        <w:rPr>
          <w:rFonts w:ascii="Times New Roman" w:hAnsi="Times New Roman" w:cs="Times New Roman"/>
          <w:noProof/>
          <w:sz w:val="24"/>
          <w:szCs w:val="24"/>
        </w:rPr>
        <w:t xml:space="preserve"> apmērā tiek novirzīta pasākumu plāna atbalsta sniegšanai Ukrainas civiliedzīvotājiem Latvijas Republikā īstenošanai.</w:t>
      </w:r>
    </w:p>
    <w:p w14:paraId="01BC3DCE" w14:textId="1BD07577" w:rsidR="00F042EC" w:rsidRPr="00DB3A1A" w:rsidRDefault="00F042EC" w:rsidP="006673E7">
      <w:pPr>
        <w:spacing w:after="120" w:line="240" w:lineRule="auto"/>
        <w:ind w:firstLine="720"/>
        <w:jc w:val="both"/>
        <w:rPr>
          <w:rFonts w:ascii="Times New Roman" w:hAnsi="Times New Roman" w:cs="Times New Roman"/>
          <w:sz w:val="24"/>
          <w:szCs w:val="24"/>
        </w:rPr>
      </w:pPr>
      <w:r w:rsidRPr="00DB3A1A">
        <w:rPr>
          <w:rFonts w:ascii="Times New Roman" w:hAnsi="Times New Roman" w:cs="Times New Roman"/>
          <w:noProof/>
          <w:sz w:val="24"/>
          <w:szCs w:val="24"/>
        </w:rPr>
        <w:t xml:space="preserve">Turklāt Ministru kabineta 2025. gada 26. augusta sēdē tika apstiprināts izdevumu samazinājums 2026. gadā  par 171 065 563 </w:t>
      </w:r>
      <w:r w:rsidRPr="00DB3A1A">
        <w:rPr>
          <w:rFonts w:ascii="Times New Roman" w:hAnsi="Times New Roman" w:cs="Times New Roman"/>
          <w:i/>
          <w:iCs/>
          <w:noProof/>
          <w:sz w:val="24"/>
          <w:szCs w:val="24"/>
        </w:rPr>
        <w:t>euro</w:t>
      </w:r>
      <w:r w:rsidRPr="00DB3A1A">
        <w:rPr>
          <w:rFonts w:ascii="Times New Roman" w:hAnsi="Times New Roman" w:cs="Times New Roman"/>
          <w:noProof/>
          <w:sz w:val="24"/>
          <w:szCs w:val="24"/>
        </w:rPr>
        <w:t xml:space="preserve">, 2027. gadā par 155 216 927 </w:t>
      </w:r>
      <w:r w:rsidRPr="00DB3A1A">
        <w:rPr>
          <w:rFonts w:ascii="Times New Roman" w:hAnsi="Times New Roman" w:cs="Times New Roman"/>
          <w:i/>
          <w:iCs/>
          <w:noProof/>
          <w:sz w:val="24"/>
          <w:szCs w:val="24"/>
        </w:rPr>
        <w:t>euro</w:t>
      </w:r>
      <w:r w:rsidR="002F500F" w:rsidRPr="00DB3A1A">
        <w:rPr>
          <w:rFonts w:ascii="Times New Roman" w:hAnsi="Times New Roman" w:cs="Times New Roman"/>
          <w:noProof/>
          <w:sz w:val="24"/>
          <w:szCs w:val="24"/>
        </w:rPr>
        <w:t xml:space="preserve"> un</w:t>
      </w:r>
      <w:r w:rsidRPr="00DB3A1A">
        <w:rPr>
          <w:rFonts w:ascii="Times New Roman" w:hAnsi="Times New Roman" w:cs="Times New Roman"/>
          <w:noProof/>
          <w:sz w:val="24"/>
          <w:szCs w:val="24"/>
        </w:rPr>
        <w:t xml:space="preserve"> 2028. gadā par 152 763 845 </w:t>
      </w:r>
      <w:r w:rsidRPr="00DB3A1A">
        <w:rPr>
          <w:rFonts w:ascii="Times New Roman" w:hAnsi="Times New Roman" w:cs="Times New Roman"/>
          <w:i/>
          <w:iCs/>
          <w:noProof/>
          <w:sz w:val="24"/>
          <w:szCs w:val="24"/>
        </w:rPr>
        <w:t>euro</w:t>
      </w:r>
      <w:r w:rsidRPr="00DB3A1A">
        <w:rPr>
          <w:rFonts w:ascii="Times New Roman" w:hAnsi="Times New Roman" w:cs="Times New Roman"/>
          <w:noProof/>
          <w:sz w:val="24"/>
          <w:szCs w:val="24"/>
        </w:rPr>
        <w:t xml:space="preserve">, kas primāri ir novirzāms fiskālās telpas uzlabošanai. </w:t>
      </w:r>
    </w:p>
    <w:p w14:paraId="3DFA0EA9" w14:textId="50691CEB" w:rsidR="0054125F" w:rsidRPr="00DB3A1A" w:rsidRDefault="00543625" w:rsidP="00543625">
      <w:pPr>
        <w:pStyle w:val="ListParagraph"/>
        <w:spacing w:after="120" w:line="240" w:lineRule="auto"/>
        <w:ind w:left="0"/>
        <w:contextualSpacing w:val="0"/>
        <w:jc w:val="center"/>
        <w:rPr>
          <w:rFonts w:ascii="Times New Roman" w:hAnsi="Times New Roman" w:cs="Times New Roman"/>
          <w:color w:val="000000"/>
          <w:sz w:val="20"/>
          <w:szCs w:val="20"/>
        </w:rPr>
      </w:pPr>
      <w:r w:rsidRPr="00DB3A1A">
        <w:rPr>
          <w:rFonts w:ascii="Times New Roman" w:hAnsi="Times New Roman" w:cs="Times New Roman"/>
          <w:bCs/>
          <w:iCs/>
          <w:noProof/>
          <w:sz w:val="20"/>
          <w:szCs w:val="20"/>
        </w:rPr>
        <w:t xml:space="preserve">1. </w:t>
      </w:r>
      <w:r w:rsidR="00615AD7" w:rsidRPr="00DB3A1A">
        <w:rPr>
          <w:rFonts w:ascii="Times New Roman" w:hAnsi="Times New Roman" w:cs="Times New Roman"/>
          <w:bCs/>
          <w:iCs/>
          <w:noProof/>
          <w:sz w:val="20"/>
          <w:szCs w:val="20"/>
        </w:rPr>
        <w:t>tabula.</w:t>
      </w:r>
      <w:r w:rsidR="00615AD7" w:rsidRPr="00DB3A1A">
        <w:rPr>
          <w:rFonts w:ascii="Times New Roman" w:hAnsi="Times New Roman" w:cs="Times New Roman"/>
          <w:b/>
          <w:iCs/>
          <w:noProof/>
          <w:sz w:val="20"/>
          <w:szCs w:val="20"/>
        </w:rPr>
        <w:t xml:space="preserve"> </w:t>
      </w:r>
      <w:r w:rsidR="0054125F" w:rsidRPr="00DB3A1A">
        <w:rPr>
          <w:rFonts w:ascii="Times New Roman" w:hAnsi="Times New Roman" w:cs="Times New Roman"/>
          <w:b/>
          <w:iCs/>
          <w:noProof/>
          <w:sz w:val="20"/>
          <w:szCs w:val="20"/>
        </w:rPr>
        <w:t>Fis</w:t>
      </w:r>
      <w:r w:rsidR="0054125F" w:rsidRPr="00DB3A1A">
        <w:rPr>
          <w:rFonts w:ascii="Times New Roman" w:hAnsi="Times New Roman" w:cs="Times New Roman"/>
          <w:b/>
          <w:noProof/>
          <w:sz w:val="20"/>
          <w:szCs w:val="20"/>
        </w:rPr>
        <w:t>kālā telpa</w:t>
      </w:r>
    </w:p>
    <w:tbl>
      <w:tblPr>
        <w:tblStyle w:val="GridTable2-Accent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1753"/>
        <w:gridCol w:w="1753"/>
        <w:gridCol w:w="1753"/>
      </w:tblGrid>
      <w:tr w:rsidR="002F500F" w:rsidRPr="00DB3A1A" w14:paraId="66944395" w14:textId="77777777" w:rsidTr="005C76EE">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bottom w:val="single" w:sz="4" w:space="0" w:color="auto"/>
              <w:right w:val="single" w:sz="4" w:space="0" w:color="auto"/>
            </w:tcBorders>
          </w:tcPr>
          <w:p w14:paraId="3D113AFE" w14:textId="77777777" w:rsidR="002F500F" w:rsidRPr="00DB3A1A" w:rsidRDefault="002F500F" w:rsidP="0003348B">
            <w:pPr>
              <w:tabs>
                <w:tab w:val="left" w:pos="851"/>
              </w:tabs>
              <w:spacing w:after="120"/>
              <w:rPr>
                <w:rFonts w:ascii="Times New Roman" w:hAnsi="Times New Roman" w:cs="Times New Roman"/>
                <w:b w:val="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910F4B1" w14:textId="538B0FE9" w:rsidR="002F500F" w:rsidRPr="00DB3A1A" w:rsidRDefault="002F500F" w:rsidP="0003348B">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DB3A1A">
              <w:rPr>
                <w:rFonts w:ascii="Times New Roman" w:hAnsi="Times New Roman" w:cs="Times New Roman"/>
                <w:sz w:val="20"/>
                <w:szCs w:val="20"/>
              </w:rPr>
              <w:t>2026. gadā</w:t>
            </w:r>
          </w:p>
        </w:tc>
        <w:tc>
          <w:tcPr>
            <w:tcW w:w="1701" w:type="dxa"/>
            <w:tcBorders>
              <w:top w:val="single" w:sz="4" w:space="0" w:color="auto"/>
              <w:left w:val="single" w:sz="4" w:space="0" w:color="auto"/>
              <w:bottom w:val="single" w:sz="4" w:space="0" w:color="auto"/>
              <w:right w:val="single" w:sz="4" w:space="0" w:color="auto"/>
            </w:tcBorders>
          </w:tcPr>
          <w:p w14:paraId="7A882302" w14:textId="0985172D" w:rsidR="002F500F" w:rsidRPr="00DB3A1A" w:rsidRDefault="002F500F" w:rsidP="0003348B">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0"/>
                <w:szCs w:val="20"/>
              </w:rPr>
            </w:pPr>
            <w:r w:rsidRPr="00DB3A1A">
              <w:rPr>
                <w:rFonts w:ascii="Times New Roman" w:hAnsi="Times New Roman" w:cs="Times New Roman"/>
                <w:sz w:val="20"/>
                <w:szCs w:val="20"/>
              </w:rPr>
              <w:t>2027. gadā</w:t>
            </w:r>
          </w:p>
        </w:tc>
        <w:tc>
          <w:tcPr>
            <w:tcW w:w="1701" w:type="dxa"/>
            <w:tcBorders>
              <w:top w:val="single" w:sz="4" w:space="0" w:color="auto"/>
              <w:left w:val="single" w:sz="4" w:space="0" w:color="auto"/>
              <w:bottom w:val="single" w:sz="4" w:space="0" w:color="auto"/>
            </w:tcBorders>
          </w:tcPr>
          <w:p w14:paraId="53B3F578" w14:textId="367443BC" w:rsidR="002F500F" w:rsidRPr="00DB3A1A" w:rsidRDefault="002F500F" w:rsidP="0003348B">
            <w:pPr>
              <w:tabs>
                <w:tab w:val="left" w:pos="851"/>
              </w:tabs>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DB3A1A">
              <w:rPr>
                <w:rFonts w:ascii="Times New Roman" w:hAnsi="Times New Roman" w:cs="Times New Roman"/>
                <w:sz w:val="20"/>
                <w:szCs w:val="20"/>
              </w:rPr>
              <w:t>2028. gadā</w:t>
            </w:r>
          </w:p>
        </w:tc>
      </w:tr>
      <w:tr w:rsidR="002F500F" w:rsidRPr="00DB3A1A" w14:paraId="5D6627F8" w14:textId="77777777" w:rsidTr="005C76E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bottom w:val="single" w:sz="4" w:space="0" w:color="auto"/>
            </w:tcBorders>
          </w:tcPr>
          <w:p w14:paraId="60F19BE5" w14:textId="77777777" w:rsidR="002F500F" w:rsidRPr="00DB3A1A" w:rsidRDefault="002F500F" w:rsidP="0003348B">
            <w:pPr>
              <w:tabs>
                <w:tab w:val="left" w:pos="851"/>
              </w:tabs>
              <w:spacing w:after="120"/>
              <w:rPr>
                <w:rFonts w:ascii="Times New Roman" w:hAnsi="Times New Roman" w:cs="Times New Roman"/>
                <w:b w:val="0"/>
                <w:bCs w:val="0"/>
                <w:sz w:val="20"/>
                <w:szCs w:val="20"/>
              </w:rPr>
            </w:pPr>
            <w:r w:rsidRPr="00DB3A1A">
              <w:rPr>
                <w:rFonts w:ascii="Times New Roman" w:eastAsia="Times New Roman" w:hAnsi="Times New Roman" w:cs="Times New Roman"/>
                <w:b w:val="0"/>
                <w:bCs w:val="0"/>
                <w:color w:val="000000"/>
                <w:sz w:val="20"/>
                <w:szCs w:val="20"/>
                <w:lang w:eastAsia="lv-LV"/>
              </w:rPr>
              <w:t xml:space="preserve">IKP, milj. </w:t>
            </w:r>
            <w:r w:rsidRPr="00DB3A1A">
              <w:rPr>
                <w:rFonts w:ascii="Times New Roman" w:eastAsia="Times New Roman" w:hAnsi="Times New Roman" w:cs="Times New Roman"/>
                <w:b w:val="0"/>
                <w:bCs w:val="0"/>
                <w:i/>
                <w:iCs/>
                <w:color w:val="000000"/>
                <w:sz w:val="20"/>
                <w:szCs w:val="20"/>
                <w:lang w:eastAsia="lv-LV"/>
              </w:rPr>
              <w:t>euro</w:t>
            </w:r>
          </w:p>
        </w:tc>
        <w:tc>
          <w:tcPr>
            <w:tcW w:w="1701" w:type="dxa"/>
            <w:tcBorders>
              <w:top w:val="single" w:sz="4" w:space="0" w:color="auto"/>
              <w:bottom w:val="single" w:sz="4" w:space="0" w:color="auto"/>
            </w:tcBorders>
            <w:vAlign w:val="bottom"/>
          </w:tcPr>
          <w:p w14:paraId="2FF68831" w14:textId="7B0242B2" w:rsidR="002F500F" w:rsidRPr="00DB3A1A" w:rsidRDefault="002F500F" w:rsidP="0003348B">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C00000"/>
                <w:sz w:val="20"/>
                <w:szCs w:val="20"/>
              </w:rPr>
            </w:pPr>
            <w:r w:rsidRPr="00DB3A1A">
              <w:rPr>
                <w:rFonts w:ascii="Times New Roman" w:hAnsi="Times New Roman" w:cs="Times New Roman"/>
                <w:sz w:val="20"/>
                <w:szCs w:val="20"/>
              </w:rPr>
              <w:t>43 953</w:t>
            </w:r>
          </w:p>
        </w:tc>
        <w:tc>
          <w:tcPr>
            <w:tcW w:w="1701" w:type="dxa"/>
            <w:tcBorders>
              <w:top w:val="single" w:sz="4" w:space="0" w:color="auto"/>
              <w:bottom w:val="single" w:sz="4" w:space="0" w:color="auto"/>
            </w:tcBorders>
            <w:vAlign w:val="bottom"/>
          </w:tcPr>
          <w:p w14:paraId="1FD39E23" w14:textId="4B9A3E3E" w:rsidR="002F500F" w:rsidRPr="00DB3A1A" w:rsidRDefault="002F500F" w:rsidP="0003348B">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C00000"/>
                <w:sz w:val="20"/>
                <w:szCs w:val="20"/>
              </w:rPr>
            </w:pPr>
            <w:r w:rsidRPr="00DB3A1A">
              <w:rPr>
                <w:rFonts w:ascii="Times New Roman" w:hAnsi="Times New Roman" w:cs="Times New Roman"/>
                <w:sz w:val="20"/>
                <w:szCs w:val="20"/>
              </w:rPr>
              <w:t>46 026</w:t>
            </w:r>
          </w:p>
        </w:tc>
        <w:tc>
          <w:tcPr>
            <w:tcW w:w="1701" w:type="dxa"/>
            <w:tcBorders>
              <w:top w:val="single" w:sz="4" w:space="0" w:color="auto"/>
              <w:bottom w:val="single" w:sz="4" w:space="0" w:color="auto"/>
            </w:tcBorders>
            <w:vAlign w:val="bottom"/>
          </w:tcPr>
          <w:p w14:paraId="1466727E" w14:textId="714DB893" w:rsidR="002F500F" w:rsidRPr="00DB3A1A" w:rsidRDefault="002F500F" w:rsidP="0003348B">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C00000"/>
                <w:sz w:val="20"/>
                <w:szCs w:val="20"/>
              </w:rPr>
            </w:pPr>
            <w:r w:rsidRPr="00DB3A1A">
              <w:rPr>
                <w:rFonts w:ascii="Times New Roman" w:hAnsi="Times New Roman" w:cs="Times New Roman"/>
                <w:sz w:val="20"/>
                <w:szCs w:val="20"/>
              </w:rPr>
              <w:t>48 154</w:t>
            </w:r>
          </w:p>
        </w:tc>
      </w:tr>
      <w:tr w:rsidR="002F500F" w:rsidRPr="00DB3A1A" w14:paraId="1C39A65B" w14:textId="77777777" w:rsidTr="005C76EE">
        <w:trPr>
          <w:trHeight w:val="355"/>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bottom w:val="single" w:sz="4" w:space="0" w:color="auto"/>
              <w:right w:val="single" w:sz="4" w:space="0" w:color="auto"/>
            </w:tcBorders>
            <w:shd w:val="clear" w:color="auto" w:fill="FFF2CC" w:themeFill="accent4" w:themeFillTint="33"/>
          </w:tcPr>
          <w:p w14:paraId="331833BB" w14:textId="4C98BD18" w:rsidR="002F500F" w:rsidRPr="00DB3A1A" w:rsidRDefault="002F500F" w:rsidP="0003348B">
            <w:pPr>
              <w:tabs>
                <w:tab w:val="left" w:pos="851"/>
              </w:tabs>
              <w:spacing w:after="120"/>
              <w:rPr>
                <w:rFonts w:ascii="Times New Roman" w:hAnsi="Times New Roman" w:cs="Times New Roman"/>
                <w:b w:val="0"/>
                <w:bCs w:val="0"/>
                <w:sz w:val="20"/>
                <w:szCs w:val="20"/>
              </w:rPr>
            </w:pPr>
            <w:r w:rsidRPr="00DB3A1A">
              <w:rPr>
                <w:rFonts w:ascii="Times New Roman" w:hAnsi="Times New Roman" w:cs="Times New Roman"/>
                <w:b w:val="0"/>
                <w:bCs w:val="0"/>
                <w:sz w:val="20"/>
                <w:szCs w:val="20"/>
              </w:rPr>
              <w:t>Fiskālā telpa pie nemainīgas politikas, milj. </w:t>
            </w:r>
            <w:r w:rsidRPr="00DB3A1A">
              <w:rPr>
                <w:rFonts w:ascii="Times New Roman" w:hAnsi="Times New Roman" w:cs="Times New Roman"/>
                <w:b w:val="0"/>
                <w:bCs w:val="0"/>
                <w:i/>
                <w:iCs/>
                <w:sz w:val="20"/>
                <w:szCs w:val="20"/>
              </w:rPr>
              <w:t>euro</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855038" w14:textId="1BEBE82C" w:rsidR="002F500F" w:rsidRPr="00880622" w:rsidRDefault="002F500F" w:rsidP="0003348B">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80622">
              <w:rPr>
                <w:rFonts w:ascii="Times New Roman" w:hAnsi="Times New Roman" w:cs="Times New Roman"/>
                <w:b/>
                <w:bCs/>
                <w:noProof/>
                <w:sz w:val="20"/>
                <w:szCs w:val="20"/>
              </w:rPr>
              <w:t>39,7</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635288" w14:textId="37978719" w:rsidR="002F500F" w:rsidRPr="00DB3A1A" w:rsidRDefault="002F500F" w:rsidP="0003348B">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0000"/>
                <w:sz w:val="20"/>
                <w:szCs w:val="20"/>
              </w:rPr>
            </w:pPr>
            <w:r w:rsidRPr="00DB3A1A">
              <w:rPr>
                <w:rFonts w:ascii="Times New Roman" w:hAnsi="Times New Roman" w:cs="Times New Roman"/>
                <w:b/>
                <w:bCs/>
                <w:noProof/>
                <w:color w:val="C00000"/>
                <w:sz w:val="20"/>
                <w:szCs w:val="20"/>
              </w:rPr>
              <w:t>-140,1</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61EB3E" w14:textId="0684DD96" w:rsidR="002F500F" w:rsidRPr="00DB3A1A" w:rsidRDefault="002F500F" w:rsidP="0003348B">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0000"/>
                <w:sz w:val="20"/>
                <w:szCs w:val="20"/>
              </w:rPr>
            </w:pPr>
            <w:r w:rsidRPr="00DB3A1A">
              <w:rPr>
                <w:rFonts w:ascii="Times New Roman" w:hAnsi="Times New Roman" w:cs="Times New Roman"/>
                <w:b/>
                <w:bCs/>
                <w:noProof/>
                <w:color w:val="C00000"/>
                <w:sz w:val="20"/>
                <w:szCs w:val="20"/>
              </w:rPr>
              <w:t>-144,4</w:t>
            </w:r>
          </w:p>
        </w:tc>
      </w:tr>
      <w:tr w:rsidR="002F500F" w:rsidRPr="00DB3A1A" w14:paraId="6FDA2A26" w14:textId="77777777" w:rsidTr="005C76E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bottom w:val="single" w:sz="4" w:space="0" w:color="auto"/>
            </w:tcBorders>
          </w:tcPr>
          <w:p w14:paraId="6AAFB76A" w14:textId="4C99A1D1" w:rsidR="002F500F" w:rsidRPr="00DB3A1A" w:rsidRDefault="002F500F" w:rsidP="0003348B">
            <w:pPr>
              <w:tabs>
                <w:tab w:val="left" w:pos="851"/>
              </w:tabs>
              <w:spacing w:after="120"/>
              <w:rPr>
                <w:rFonts w:ascii="Times New Roman" w:hAnsi="Times New Roman" w:cs="Times New Roman"/>
                <w:sz w:val="20"/>
                <w:szCs w:val="20"/>
              </w:rPr>
            </w:pPr>
            <w:r w:rsidRPr="00DB3A1A">
              <w:rPr>
                <w:rFonts w:ascii="Times New Roman" w:hAnsi="Times New Roman" w:cs="Times New Roman"/>
                <w:b w:val="0"/>
                <w:bCs w:val="0"/>
                <w:sz w:val="20"/>
                <w:szCs w:val="20"/>
              </w:rPr>
              <w:t>Fiskālā telpa pie nemainīgas politikas, % no IKP</w:t>
            </w:r>
          </w:p>
        </w:tc>
        <w:tc>
          <w:tcPr>
            <w:tcW w:w="1701" w:type="dxa"/>
            <w:tcBorders>
              <w:top w:val="single" w:sz="4" w:space="0" w:color="auto"/>
              <w:bottom w:val="single" w:sz="4" w:space="0" w:color="auto"/>
            </w:tcBorders>
          </w:tcPr>
          <w:p w14:paraId="721C4CD9" w14:textId="04132EA6" w:rsidR="002F500F" w:rsidRPr="00880622" w:rsidRDefault="002F500F" w:rsidP="0003348B">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rPr>
            </w:pPr>
            <w:r w:rsidRPr="00880622">
              <w:rPr>
                <w:rFonts w:ascii="Times New Roman" w:hAnsi="Times New Roman" w:cs="Times New Roman"/>
                <w:b/>
                <w:noProof/>
                <w:sz w:val="20"/>
                <w:szCs w:val="20"/>
              </w:rPr>
              <w:t>0,09%</w:t>
            </w:r>
          </w:p>
        </w:tc>
        <w:tc>
          <w:tcPr>
            <w:tcW w:w="1701" w:type="dxa"/>
            <w:tcBorders>
              <w:top w:val="single" w:sz="4" w:space="0" w:color="auto"/>
              <w:bottom w:val="single" w:sz="4" w:space="0" w:color="auto"/>
            </w:tcBorders>
          </w:tcPr>
          <w:p w14:paraId="42BD1DE3" w14:textId="79D999D0" w:rsidR="002F500F" w:rsidRPr="00DB3A1A" w:rsidRDefault="002F500F" w:rsidP="0003348B">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C00000"/>
                <w:sz w:val="20"/>
                <w:szCs w:val="20"/>
              </w:rPr>
            </w:pPr>
            <w:r w:rsidRPr="00DB3A1A">
              <w:rPr>
                <w:rFonts w:ascii="Times New Roman" w:hAnsi="Times New Roman" w:cs="Times New Roman"/>
                <w:b/>
                <w:noProof/>
                <w:color w:val="C00000"/>
                <w:sz w:val="20"/>
                <w:szCs w:val="20"/>
              </w:rPr>
              <w:t>-0,30%</w:t>
            </w:r>
          </w:p>
        </w:tc>
        <w:tc>
          <w:tcPr>
            <w:tcW w:w="1701" w:type="dxa"/>
            <w:tcBorders>
              <w:top w:val="single" w:sz="4" w:space="0" w:color="auto"/>
              <w:bottom w:val="single" w:sz="4" w:space="0" w:color="auto"/>
            </w:tcBorders>
          </w:tcPr>
          <w:p w14:paraId="6C306D72" w14:textId="6126D1F3" w:rsidR="002F500F" w:rsidRPr="00DB3A1A" w:rsidRDefault="002F500F" w:rsidP="0003348B">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C00000"/>
                <w:sz w:val="20"/>
                <w:szCs w:val="20"/>
              </w:rPr>
            </w:pPr>
            <w:r w:rsidRPr="00DB3A1A">
              <w:rPr>
                <w:rFonts w:ascii="Times New Roman" w:hAnsi="Times New Roman" w:cs="Times New Roman"/>
                <w:b/>
                <w:noProof/>
                <w:color w:val="C00000"/>
                <w:sz w:val="20"/>
                <w:szCs w:val="20"/>
              </w:rPr>
              <w:t>-0,30%</w:t>
            </w:r>
          </w:p>
        </w:tc>
      </w:tr>
      <w:tr w:rsidR="002F500F" w:rsidRPr="00DB3A1A" w14:paraId="10C0A820" w14:textId="77777777" w:rsidTr="005C76EE">
        <w:trPr>
          <w:trHeight w:val="355"/>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bottom w:val="single" w:sz="4" w:space="0" w:color="auto"/>
            </w:tcBorders>
          </w:tcPr>
          <w:p w14:paraId="7344B90E" w14:textId="5C00F1CE" w:rsidR="002F500F" w:rsidRPr="00DB3A1A" w:rsidRDefault="002F500F" w:rsidP="0003348B">
            <w:pPr>
              <w:tabs>
                <w:tab w:val="left" w:pos="851"/>
              </w:tabs>
              <w:spacing w:after="120"/>
              <w:rPr>
                <w:rFonts w:ascii="Times New Roman" w:hAnsi="Times New Roman" w:cs="Times New Roman"/>
                <w:sz w:val="20"/>
                <w:szCs w:val="20"/>
              </w:rPr>
            </w:pPr>
            <w:r w:rsidRPr="00DB3A1A">
              <w:rPr>
                <w:rFonts w:ascii="Times New Roman" w:hAnsi="Times New Roman" w:cs="Times New Roman"/>
                <w:sz w:val="20"/>
                <w:szCs w:val="20"/>
              </w:rPr>
              <w:t>MK 26.08.2025. apstiprināts izdevumu samazinājums</w:t>
            </w:r>
          </w:p>
        </w:tc>
        <w:tc>
          <w:tcPr>
            <w:tcW w:w="1701" w:type="dxa"/>
            <w:tcBorders>
              <w:top w:val="single" w:sz="4" w:space="0" w:color="auto"/>
              <w:bottom w:val="single" w:sz="4" w:space="0" w:color="auto"/>
            </w:tcBorders>
          </w:tcPr>
          <w:p w14:paraId="2E7C3484" w14:textId="35BC4FA1" w:rsidR="002F500F" w:rsidRPr="00880622" w:rsidRDefault="002F500F" w:rsidP="0003348B">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rPr>
            </w:pPr>
            <w:r w:rsidRPr="00880622">
              <w:rPr>
                <w:rFonts w:ascii="Times New Roman" w:hAnsi="Times New Roman" w:cs="Times New Roman"/>
                <w:b/>
                <w:noProof/>
                <w:sz w:val="20"/>
                <w:szCs w:val="20"/>
              </w:rPr>
              <w:t xml:space="preserve">171,1 </w:t>
            </w:r>
          </w:p>
        </w:tc>
        <w:tc>
          <w:tcPr>
            <w:tcW w:w="1701" w:type="dxa"/>
            <w:tcBorders>
              <w:top w:val="single" w:sz="4" w:space="0" w:color="auto"/>
              <w:bottom w:val="single" w:sz="4" w:space="0" w:color="auto"/>
            </w:tcBorders>
          </w:tcPr>
          <w:p w14:paraId="6DF76B1D" w14:textId="3E3C7134" w:rsidR="002F500F" w:rsidRPr="00880622" w:rsidRDefault="002F500F" w:rsidP="0003348B">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rPr>
            </w:pPr>
            <w:r w:rsidRPr="00880622">
              <w:rPr>
                <w:rFonts w:ascii="Times New Roman" w:hAnsi="Times New Roman" w:cs="Times New Roman"/>
                <w:b/>
                <w:noProof/>
                <w:sz w:val="20"/>
                <w:szCs w:val="20"/>
              </w:rPr>
              <w:t>155,5</w:t>
            </w:r>
          </w:p>
        </w:tc>
        <w:tc>
          <w:tcPr>
            <w:tcW w:w="1701" w:type="dxa"/>
            <w:tcBorders>
              <w:top w:val="single" w:sz="4" w:space="0" w:color="auto"/>
              <w:bottom w:val="single" w:sz="4" w:space="0" w:color="auto"/>
            </w:tcBorders>
          </w:tcPr>
          <w:p w14:paraId="47D53C75" w14:textId="41264371" w:rsidR="002F500F" w:rsidRPr="00880622" w:rsidRDefault="002F500F" w:rsidP="0003348B">
            <w:pPr>
              <w:tabs>
                <w:tab w:val="left" w:pos="851"/>
              </w:tabs>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rPr>
            </w:pPr>
            <w:r w:rsidRPr="00880622">
              <w:rPr>
                <w:rFonts w:ascii="Times New Roman" w:hAnsi="Times New Roman" w:cs="Times New Roman"/>
                <w:b/>
                <w:noProof/>
                <w:sz w:val="20"/>
                <w:szCs w:val="20"/>
              </w:rPr>
              <w:t>152,8</w:t>
            </w:r>
          </w:p>
        </w:tc>
      </w:tr>
      <w:tr w:rsidR="002F500F" w:rsidRPr="00DB3A1A" w14:paraId="2E2C1BD6" w14:textId="77777777" w:rsidTr="005C76EE">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tcBorders>
          </w:tcPr>
          <w:p w14:paraId="5F53B7A2" w14:textId="6BC05754" w:rsidR="002F500F" w:rsidRPr="00DB3A1A" w:rsidRDefault="002F500F" w:rsidP="0003348B">
            <w:pPr>
              <w:tabs>
                <w:tab w:val="left" w:pos="851"/>
              </w:tabs>
              <w:spacing w:after="120"/>
              <w:rPr>
                <w:rFonts w:ascii="Times New Roman" w:hAnsi="Times New Roman" w:cs="Times New Roman"/>
                <w:sz w:val="20"/>
                <w:szCs w:val="20"/>
              </w:rPr>
            </w:pPr>
            <w:r w:rsidRPr="00DB3A1A">
              <w:rPr>
                <w:rFonts w:ascii="Times New Roman" w:hAnsi="Times New Roman" w:cs="Times New Roman"/>
                <w:sz w:val="20"/>
                <w:szCs w:val="20"/>
              </w:rPr>
              <w:t>Precizēta fiskālā telpa</w:t>
            </w:r>
          </w:p>
        </w:tc>
        <w:tc>
          <w:tcPr>
            <w:tcW w:w="1701" w:type="dxa"/>
            <w:tcBorders>
              <w:top w:val="single" w:sz="4" w:space="0" w:color="auto"/>
            </w:tcBorders>
          </w:tcPr>
          <w:p w14:paraId="29B8A9A1" w14:textId="6081E8DA" w:rsidR="002F500F" w:rsidRPr="00880622" w:rsidRDefault="002F500F" w:rsidP="0003348B">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rPr>
            </w:pPr>
            <w:r w:rsidRPr="00880622">
              <w:rPr>
                <w:rFonts w:ascii="Times New Roman" w:hAnsi="Times New Roman" w:cs="Times New Roman"/>
                <w:b/>
                <w:noProof/>
                <w:sz w:val="20"/>
                <w:szCs w:val="20"/>
              </w:rPr>
              <w:t>171,1</w:t>
            </w:r>
          </w:p>
        </w:tc>
        <w:tc>
          <w:tcPr>
            <w:tcW w:w="1701" w:type="dxa"/>
            <w:tcBorders>
              <w:top w:val="single" w:sz="4" w:space="0" w:color="auto"/>
            </w:tcBorders>
          </w:tcPr>
          <w:p w14:paraId="2C504EEB" w14:textId="60DE6ABB" w:rsidR="002F500F" w:rsidRPr="00880622" w:rsidRDefault="002F500F" w:rsidP="0003348B">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rPr>
            </w:pPr>
            <w:r w:rsidRPr="00880622">
              <w:rPr>
                <w:rFonts w:ascii="Times New Roman" w:hAnsi="Times New Roman" w:cs="Times New Roman"/>
                <w:b/>
                <w:noProof/>
                <w:sz w:val="20"/>
                <w:szCs w:val="20"/>
              </w:rPr>
              <w:t>15,1</w:t>
            </w:r>
          </w:p>
        </w:tc>
        <w:tc>
          <w:tcPr>
            <w:tcW w:w="1701" w:type="dxa"/>
            <w:tcBorders>
              <w:top w:val="single" w:sz="4" w:space="0" w:color="auto"/>
            </w:tcBorders>
          </w:tcPr>
          <w:p w14:paraId="1FF06783" w14:textId="60356A28" w:rsidR="002F500F" w:rsidRPr="00880622" w:rsidRDefault="002F500F" w:rsidP="0003348B">
            <w:pPr>
              <w:tabs>
                <w:tab w:val="left" w:pos="851"/>
              </w:tabs>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rPr>
            </w:pPr>
            <w:r w:rsidRPr="00880622">
              <w:rPr>
                <w:rFonts w:ascii="Times New Roman" w:hAnsi="Times New Roman" w:cs="Times New Roman"/>
                <w:b/>
                <w:noProof/>
                <w:sz w:val="20"/>
                <w:szCs w:val="20"/>
              </w:rPr>
              <w:t>8,3</w:t>
            </w:r>
          </w:p>
        </w:tc>
      </w:tr>
    </w:tbl>
    <w:p w14:paraId="48E57D32" w14:textId="4B7C7E99" w:rsidR="00F042EC" w:rsidRPr="00DB3A1A" w:rsidRDefault="00F042EC" w:rsidP="00994E90">
      <w:pPr>
        <w:spacing w:before="120" w:after="120" w:line="240" w:lineRule="auto"/>
        <w:ind w:firstLine="720"/>
        <w:jc w:val="both"/>
        <w:rPr>
          <w:rFonts w:ascii="Times New Roman" w:hAnsi="Times New Roman" w:cs="Times New Roman"/>
          <w:noProof/>
          <w:sz w:val="24"/>
          <w:szCs w:val="24"/>
        </w:rPr>
      </w:pPr>
    </w:p>
    <w:p w14:paraId="086763C7" w14:textId="77777777" w:rsidR="005229E4" w:rsidRPr="00DB3A1A" w:rsidRDefault="005229E4" w:rsidP="00B1512C">
      <w:pPr>
        <w:pStyle w:val="ListParagraph"/>
        <w:numPr>
          <w:ilvl w:val="0"/>
          <w:numId w:val="3"/>
        </w:numPr>
        <w:shd w:val="clear" w:color="auto" w:fill="FFF2CC" w:themeFill="accent4" w:themeFillTint="33"/>
        <w:tabs>
          <w:tab w:val="left" w:pos="0"/>
          <w:tab w:val="left" w:pos="993"/>
        </w:tabs>
        <w:spacing w:before="120" w:after="120" w:line="240" w:lineRule="auto"/>
        <w:contextualSpacing w:val="0"/>
        <w:jc w:val="both"/>
        <w:rPr>
          <w:rFonts w:ascii="Times New Roman" w:hAnsi="Times New Roman" w:cs="Times New Roman"/>
          <w:b/>
          <w:sz w:val="28"/>
          <w:szCs w:val="28"/>
        </w:rPr>
      </w:pPr>
      <w:r w:rsidRPr="00DB3A1A">
        <w:rPr>
          <w:rFonts w:ascii="Times New Roman" w:hAnsi="Times New Roman" w:cs="Times New Roman"/>
          <w:b/>
          <w:sz w:val="28"/>
          <w:szCs w:val="28"/>
        </w:rPr>
        <w:t>Priekšlikumi prioritārajiem pasākumiem</w:t>
      </w:r>
    </w:p>
    <w:p w14:paraId="02291546" w14:textId="5939CEF5" w:rsidR="00FC526C" w:rsidRPr="00DB3A1A" w:rsidRDefault="00FC526C" w:rsidP="00D47AD0">
      <w:pPr>
        <w:spacing w:after="120" w:line="240" w:lineRule="auto"/>
        <w:ind w:firstLine="720"/>
        <w:jc w:val="both"/>
        <w:rPr>
          <w:rFonts w:ascii="Times New Roman" w:hAnsi="Times New Roman" w:cs="Times New Roman"/>
          <w:sz w:val="24"/>
          <w:szCs w:val="24"/>
        </w:rPr>
      </w:pPr>
      <w:r w:rsidRPr="00DB3A1A">
        <w:rPr>
          <w:rFonts w:ascii="Times New Roman" w:hAnsi="Times New Roman" w:cs="Times New Roman"/>
          <w:sz w:val="24"/>
          <w:szCs w:val="24"/>
        </w:rPr>
        <w:t>Ministru kabineta 2025. gada 27. maija sēdē, izskatot likumprojektu “Grozījumi Izglītības likumā”, tika nolemts noteikt pāreju uz jaunu vispārējās pamata un vidējās izglītības pedagogu darba samaksas finansēšanas modeli “Programma skolā” par prioritāti likumprojekta “Par valsts budžetu 2026. gadam un budžeta ietvaru 2026., 2027. un 2028. gadam” izstrādes procesā (prot</w:t>
      </w:r>
      <w:r w:rsidR="00BC2C01" w:rsidRPr="00DB3A1A">
        <w:rPr>
          <w:rFonts w:ascii="Times New Roman" w:hAnsi="Times New Roman" w:cs="Times New Roman"/>
          <w:sz w:val="24"/>
          <w:szCs w:val="24"/>
        </w:rPr>
        <w:t>okols</w:t>
      </w:r>
      <w:r w:rsidRPr="00DB3A1A">
        <w:rPr>
          <w:rFonts w:ascii="Times New Roman" w:hAnsi="Times New Roman" w:cs="Times New Roman"/>
          <w:sz w:val="24"/>
          <w:szCs w:val="24"/>
        </w:rPr>
        <w:t xml:space="preserve"> Nr. 21 41. §).</w:t>
      </w:r>
    </w:p>
    <w:p w14:paraId="2071FABC" w14:textId="10AFF1C2" w:rsidR="00B32B3D" w:rsidRPr="00DB3A1A" w:rsidRDefault="00B32B3D" w:rsidP="00FF6435">
      <w:pPr>
        <w:spacing w:after="120" w:line="240" w:lineRule="auto"/>
        <w:ind w:firstLine="720"/>
        <w:jc w:val="both"/>
        <w:rPr>
          <w:rFonts w:ascii="Times New Roman" w:hAnsi="Times New Roman" w:cs="Times New Roman"/>
          <w:color w:val="000000"/>
          <w:sz w:val="24"/>
          <w:szCs w:val="24"/>
        </w:rPr>
      </w:pPr>
      <w:r w:rsidRPr="00DB3A1A">
        <w:rPr>
          <w:rFonts w:ascii="Times New Roman" w:hAnsi="Times New Roman" w:cs="Times New Roman"/>
          <w:sz w:val="24"/>
          <w:szCs w:val="24"/>
        </w:rPr>
        <w:lastRenderedPageBreak/>
        <w:t>M</w:t>
      </w:r>
      <w:r w:rsidR="00B11BBC" w:rsidRPr="00DB3A1A">
        <w:rPr>
          <w:rFonts w:ascii="Times New Roman" w:hAnsi="Times New Roman" w:cs="Times New Roman"/>
          <w:sz w:val="24"/>
          <w:szCs w:val="24"/>
        </w:rPr>
        <w:t>inistru kabineta</w:t>
      </w:r>
      <w:r w:rsidRPr="00DB3A1A">
        <w:rPr>
          <w:rFonts w:ascii="Times New Roman" w:hAnsi="Times New Roman" w:cs="Times New Roman"/>
          <w:sz w:val="24"/>
          <w:szCs w:val="24"/>
        </w:rPr>
        <w:t xml:space="preserve"> 202</w:t>
      </w:r>
      <w:r w:rsidR="00AF2A93" w:rsidRPr="00DB3A1A">
        <w:rPr>
          <w:rFonts w:ascii="Times New Roman" w:hAnsi="Times New Roman" w:cs="Times New Roman"/>
          <w:sz w:val="24"/>
          <w:szCs w:val="24"/>
        </w:rPr>
        <w:t>5</w:t>
      </w:r>
      <w:r w:rsidRPr="00DB3A1A">
        <w:rPr>
          <w:rFonts w:ascii="Times New Roman" w:hAnsi="Times New Roman" w:cs="Times New Roman"/>
          <w:sz w:val="24"/>
          <w:szCs w:val="24"/>
        </w:rPr>
        <w:t>.</w:t>
      </w:r>
      <w:r w:rsidR="003D6403" w:rsidRPr="00DB3A1A">
        <w:rPr>
          <w:rFonts w:ascii="Times New Roman" w:hAnsi="Times New Roman" w:cs="Times New Roman"/>
          <w:sz w:val="24"/>
          <w:szCs w:val="24"/>
        </w:rPr>
        <w:t xml:space="preserve"> </w:t>
      </w:r>
      <w:r w:rsidRPr="00DB3A1A">
        <w:rPr>
          <w:rFonts w:ascii="Times New Roman" w:hAnsi="Times New Roman" w:cs="Times New Roman"/>
          <w:sz w:val="24"/>
          <w:szCs w:val="24"/>
        </w:rPr>
        <w:t xml:space="preserve">gada </w:t>
      </w:r>
      <w:r w:rsidR="00AF2A93" w:rsidRPr="00DB3A1A">
        <w:rPr>
          <w:rFonts w:ascii="Times New Roman" w:hAnsi="Times New Roman" w:cs="Times New Roman"/>
          <w:sz w:val="24"/>
          <w:szCs w:val="24"/>
        </w:rPr>
        <w:t>19</w:t>
      </w:r>
      <w:r w:rsidRPr="00DB3A1A">
        <w:rPr>
          <w:rFonts w:ascii="Times New Roman" w:hAnsi="Times New Roman" w:cs="Times New Roman"/>
          <w:sz w:val="24"/>
          <w:szCs w:val="24"/>
        </w:rPr>
        <w:t>.</w:t>
      </w:r>
      <w:r w:rsidR="003D6403" w:rsidRPr="00DB3A1A">
        <w:rPr>
          <w:rFonts w:ascii="Times New Roman" w:hAnsi="Times New Roman" w:cs="Times New Roman"/>
          <w:sz w:val="24"/>
          <w:szCs w:val="24"/>
        </w:rPr>
        <w:t xml:space="preserve"> </w:t>
      </w:r>
      <w:r w:rsidR="001743FD" w:rsidRPr="00DB3A1A">
        <w:rPr>
          <w:rFonts w:ascii="Times New Roman" w:hAnsi="Times New Roman" w:cs="Times New Roman"/>
          <w:sz w:val="24"/>
          <w:szCs w:val="24"/>
        </w:rPr>
        <w:t>augusta</w:t>
      </w:r>
      <w:r w:rsidRPr="00DB3A1A">
        <w:rPr>
          <w:rFonts w:ascii="Times New Roman" w:hAnsi="Times New Roman" w:cs="Times New Roman"/>
          <w:sz w:val="24"/>
          <w:szCs w:val="24"/>
        </w:rPr>
        <w:t xml:space="preserve"> sēdē, izskatot i</w:t>
      </w:r>
      <w:r w:rsidRPr="00DB3A1A">
        <w:rPr>
          <w:rFonts w:ascii="Times New Roman" w:hAnsi="Times New Roman" w:cs="Times New Roman"/>
          <w:color w:val="000000"/>
          <w:sz w:val="24"/>
          <w:szCs w:val="24"/>
        </w:rPr>
        <w:t xml:space="preserve">nformatīvo ziņojumu “Par </w:t>
      </w:r>
      <w:r w:rsidR="00AF2A93" w:rsidRPr="00DB3A1A">
        <w:rPr>
          <w:rFonts w:ascii="Times New Roman" w:hAnsi="Times New Roman" w:cs="Times New Roman"/>
          <w:color w:val="000000"/>
          <w:sz w:val="24"/>
          <w:szCs w:val="24"/>
        </w:rPr>
        <w:t>neatkarīgo institūciju</w:t>
      </w:r>
      <w:r w:rsidRPr="00DB3A1A">
        <w:rPr>
          <w:rFonts w:ascii="Times New Roman" w:hAnsi="Times New Roman" w:cs="Times New Roman"/>
          <w:color w:val="000000"/>
          <w:sz w:val="24"/>
          <w:szCs w:val="24"/>
        </w:rPr>
        <w:t xml:space="preserve"> prioritārajiem pasākumiem 202</w:t>
      </w:r>
      <w:r w:rsidR="00AF2A93" w:rsidRPr="00DB3A1A">
        <w:rPr>
          <w:rFonts w:ascii="Times New Roman" w:hAnsi="Times New Roman" w:cs="Times New Roman"/>
          <w:color w:val="000000"/>
          <w:sz w:val="24"/>
          <w:szCs w:val="24"/>
        </w:rPr>
        <w:t>6</w:t>
      </w:r>
      <w:r w:rsidRPr="00DB3A1A">
        <w:rPr>
          <w:rFonts w:ascii="Times New Roman" w:hAnsi="Times New Roman" w:cs="Times New Roman"/>
          <w:color w:val="000000"/>
          <w:sz w:val="24"/>
          <w:szCs w:val="24"/>
        </w:rPr>
        <w:t>., 202</w:t>
      </w:r>
      <w:r w:rsidR="00AF2A93" w:rsidRPr="00DB3A1A">
        <w:rPr>
          <w:rFonts w:ascii="Times New Roman" w:hAnsi="Times New Roman" w:cs="Times New Roman"/>
          <w:color w:val="000000"/>
          <w:sz w:val="24"/>
          <w:szCs w:val="24"/>
        </w:rPr>
        <w:t>7</w:t>
      </w:r>
      <w:r w:rsidRPr="00DB3A1A">
        <w:rPr>
          <w:rFonts w:ascii="Times New Roman" w:hAnsi="Times New Roman" w:cs="Times New Roman"/>
          <w:color w:val="000000"/>
          <w:sz w:val="24"/>
          <w:szCs w:val="24"/>
        </w:rPr>
        <w:t>.</w:t>
      </w:r>
      <w:r w:rsidR="00B04B14" w:rsidRPr="00DB3A1A">
        <w:rPr>
          <w:rFonts w:ascii="Times New Roman" w:hAnsi="Times New Roman" w:cs="Times New Roman"/>
          <w:color w:val="000000"/>
          <w:sz w:val="24"/>
          <w:szCs w:val="24"/>
        </w:rPr>
        <w:t>, 202</w:t>
      </w:r>
      <w:r w:rsidR="00AF2A93" w:rsidRPr="00DB3A1A">
        <w:rPr>
          <w:rFonts w:ascii="Times New Roman" w:hAnsi="Times New Roman" w:cs="Times New Roman"/>
          <w:color w:val="000000"/>
          <w:sz w:val="24"/>
          <w:szCs w:val="24"/>
        </w:rPr>
        <w:t>8</w:t>
      </w:r>
      <w:r w:rsidR="00B04B14" w:rsidRPr="00DB3A1A">
        <w:rPr>
          <w:rFonts w:ascii="Times New Roman" w:hAnsi="Times New Roman" w:cs="Times New Roman"/>
          <w:color w:val="000000"/>
          <w:sz w:val="24"/>
          <w:szCs w:val="24"/>
        </w:rPr>
        <w:t>.</w:t>
      </w:r>
      <w:r w:rsidRPr="00DB3A1A">
        <w:rPr>
          <w:rFonts w:ascii="Times New Roman" w:hAnsi="Times New Roman" w:cs="Times New Roman"/>
          <w:color w:val="000000"/>
          <w:sz w:val="24"/>
          <w:szCs w:val="24"/>
        </w:rPr>
        <w:t xml:space="preserve"> un 202</w:t>
      </w:r>
      <w:r w:rsidR="00AF2A93" w:rsidRPr="00DB3A1A">
        <w:rPr>
          <w:rFonts w:ascii="Times New Roman" w:hAnsi="Times New Roman" w:cs="Times New Roman"/>
          <w:color w:val="000000"/>
          <w:sz w:val="24"/>
          <w:szCs w:val="24"/>
        </w:rPr>
        <w:t>9</w:t>
      </w:r>
      <w:r w:rsidRPr="00DB3A1A">
        <w:rPr>
          <w:rFonts w:ascii="Times New Roman" w:hAnsi="Times New Roman" w:cs="Times New Roman"/>
          <w:color w:val="000000"/>
          <w:sz w:val="24"/>
          <w:szCs w:val="24"/>
        </w:rPr>
        <w:t>. gadam”</w:t>
      </w:r>
      <w:r w:rsidR="00F67E35" w:rsidRPr="00DB3A1A">
        <w:rPr>
          <w:rFonts w:ascii="Times New Roman" w:hAnsi="Times New Roman" w:cs="Times New Roman"/>
          <w:color w:val="000000"/>
          <w:sz w:val="24"/>
          <w:szCs w:val="24"/>
        </w:rPr>
        <w:t xml:space="preserve"> </w:t>
      </w:r>
      <w:r w:rsidR="00F67E35" w:rsidRPr="00DB3A1A">
        <w:rPr>
          <w:rFonts w:ascii="Times New Roman" w:hAnsi="Times New Roman" w:cs="Times New Roman"/>
          <w:sz w:val="24"/>
          <w:szCs w:val="24"/>
        </w:rPr>
        <w:t>(prot. Nr.</w:t>
      </w:r>
      <w:r w:rsidR="00B04B14" w:rsidRPr="00DB3A1A">
        <w:rPr>
          <w:rFonts w:ascii="Times New Roman" w:hAnsi="Times New Roman" w:cs="Times New Roman"/>
          <w:sz w:val="24"/>
          <w:szCs w:val="24"/>
        </w:rPr>
        <w:t>32</w:t>
      </w:r>
      <w:r w:rsidR="00F67E35" w:rsidRPr="00DB3A1A">
        <w:rPr>
          <w:rFonts w:ascii="Times New Roman" w:hAnsi="Times New Roman" w:cs="Times New Roman"/>
          <w:sz w:val="24"/>
          <w:szCs w:val="24"/>
        </w:rPr>
        <w:t xml:space="preserve"> </w:t>
      </w:r>
      <w:r w:rsidR="00AF2A93" w:rsidRPr="00DB3A1A">
        <w:rPr>
          <w:rFonts w:ascii="Times New Roman" w:hAnsi="Times New Roman" w:cs="Times New Roman"/>
          <w:sz w:val="24"/>
          <w:szCs w:val="24"/>
        </w:rPr>
        <w:t>50</w:t>
      </w:r>
      <w:r w:rsidR="00F67E35" w:rsidRPr="00DB3A1A">
        <w:rPr>
          <w:rFonts w:ascii="Times New Roman" w:hAnsi="Times New Roman" w:cs="Times New Roman"/>
          <w:sz w:val="24"/>
          <w:szCs w:val="24"/>
        </w:rPr>
        <w:t>. §)</w:t>
      </w:r>
      <w:r w:rsidRPr="00DB3A1A">
        <w:rPr>
          <w:rFonts w:ascii="Times New Roman" w:hAnsi="Times New Roman" w:cs="Times New Roman"/>
          <w:color w:val="000000"/>
          <w:sz w:val="24"/>
          <w:szCs w:val="24"/>
        </w:rPr>
        <w:t xml:space="preserve">, tika </w:t>
      </w:r>
      <w:r w:rsidR="00A91868" w:rsidRPr="00DB3A1A">
        <w:rPr>
          <w:rFonts w:ascii="Times New Roman" w:hAnsi="Times New Roman" w:cs="Times New Roman"/>
          <w:color w:val="000000"/>
          <w:sz w:val="24"/>
          <w:szCs w:val="24"/>
        </w:rPr>
        <w:t>pieņemti zināšanai neatkarīgo iestāžu</w:t>
      </w:r>
      <w:r w:rsidR="00A91868" w:rsidRPr="00DB3A1A">
        <w:rPr>
          <w:rFonts w:ascii="Times New Roman" w:hAnsi="Times New Roman" w:cs="Times New Roman"/>
          <w:sz w:val="24"/>
          <w:szCs w:val="24"/>
        </w:rPr>
        <w:t xml:space="preserve"> </w:t>
      </w:r>
      <w:r w:rsidRPr="00DB3A1A">
        <w:rPr>
          <w:rFonts w:ascii="Times New Roman" w:hAnsi="Times New Roman" w:cs="Times New Roman"/>
          <w:color w:val="000000"/>
          <w:sz w:val="24"/>
          <w:szCs w:val="24"/>
        </w:rPr>
        <w:t>papildu finansējuma pieprasījum</w:t>
      </w:r>
      <w:r w:rsidR="00A91868" w:rsidRPr="00DB3A1A">
        <w:rPr>
          <w:rFonts w:ascii="Times New Roman" w:hAnsi="Times New Roman" w:cs="Times New Roman"/>
          <w:color w:val="000000"/>
          <w:sz w:val="24"/>
          <w:szCs w:val="24"/>
        </w:rPr>
        <w:t>i</w:t>
      </w:r>
      <w:r w:rsidRPr="00DB3A1A">
        <w:rPr>
          <w:rFonts w:ascii="Times New Roman" w:hAnsi="Times New Roman" w:cs="Times New Roman"/>
          <w:color w:val="000000"/>
          <w:sz w:val="24"/>
          <w:szCs w:val="24"/>
        </w:rPr>
        <w:t xml:space="preserve"> prioritārajiem pasākumiem</w:t>
      </w:r>
      <w:r w:rsidR="004D57D7" w:rsidRPr="00DB3A1A">
        <w:rPr>
          <w:rFonts w:ascii="Times New Roman" w:hAnsi="Times New Roman" w:cs="Times New Roman"/>
          <w:color w:val="000000"/>
          <w:sz w:val="24"/>
          <w:szCs w:val="24"/>
        </w:rPr>
        <w:t xml:space="preserve">, kā arī </w:t>
      </w:r>
      <w:r w:rsidR="008D45B3" w:rsidRPr="00DB3A1A">
        <w:rPr>
          <w:rFonts w:ascii="Times New Roman" w:hAnsi="Times New Roman" w:cs="Times New Roman"/>
          <w:color w:val="000000"/>
          <w:sz w:val="24"/>
          <w:szCs w:val="24"/>
        </w:rPr>
        <w:t>uzklausīt</w:t>
      </w:r>
      <w:r w:rsidR="00AF2A93" w:rsidRPr="00DB3A1A">
        <w:rPr>
          <w:rFonts w:ascii="Times New Roman" w:hAnsi="Times New Roman" w:cs="Times New Roman"/>
          <w:color w:val="000000"/>
          <w:sz w:val="24"/>
          <w:szCs w:val="24"/>
        </w:rPr>
        <w:t>s</w:t>
      </w:r>
      <w:r w:rsidR="008D45B3" w:rsidRPr="00DB3A1A">
        <w:rPr>
          <w:rFonts w:ascii="Times New Roman" w:hAnsi="Times New Roman" w:cs="Times New Roman"/>
          <w:color w:val="000000"/>
          <w:sz w:val="24"/>
          <w:szCs w:val="24"/>
        </w:rPr>
        <w:t xml:space="preserve"> </w:t>
      </w:r>
      <w:r w:rsidR="00AF2A93" w:rsidRPr="00DB3A1A">
        <w:rPr>
          <w:rFonts w:ascii="Times New Roman" w:hAnsi="Times New Roman" w:cs="Times New Roman"/>
          <w:color w:val="000000"/>
          <w:sz w:val="24"/>
          <w:szCs w:val="24"/>
        </w:rPr>
        <w:t>Datu valsts inspekcijas un Konkurences padomes</w:t>
      </w:r>
      <w:r w:rsidR="004D57D7" w:rsidRPr="00DB3A1A">
        <w:rPr>
          <w:rFonts w:ascii="Times New Roman" w:hAnsi="Times New Roman" w:cs="Times New Roman"/>
          <w:color w:val="000000"/>
          <w:sz w:val="24"/>
          <w:szCs w:val="24"/>
        </w:rPr>
        <w:t xml:space="preserve"> pārstāvj</w:t>
      </w:r>
      <w:r w:rsidR="00AF2A93" w:rsidRPr="00DB3A1A">
        <w:rPr>
          <w:rFonts w:ascii="Times New Roman" w:hAnsi="Times New Roman" w:cs="Times New Roman"/>
          <w:color w:val="000000"/>
          <w:sz w:val="24"/>
          <w:szCs w:val="24"/>
        </w:rPr>
        <w:t>u</w:t>
      </w:r>
      <w:r w:rsidR="004D57D7" w:rsidRPr="00DB3A1A">
        <w:rPr>
          <w:rFonts w:ascii="Times New Roman" w:hAnsi="Times New Roman" w:cs="Times New Roman"/>
          <w:color w:val="000000"/>
          <w:sz w:val="24"/>
          <w:szCs w:val="24"/>
        </w:rPr>
        <w:t xml:space="preserve"> </w:t>
      </w:r>
      <w:r w:rsidR="00AF2A93" w:rsidRPr="00DB3A1A">
        <w:rPr>
          <w:rFonts w:ascii="Times New Roman" w:hAnsi="Times New Roman" w:cs="Times New Roman"/>
          <w:color w:val="000000"/>
          <w:sz w:val="24"/>
          <w:szCs w:val="24"/>
        </w:rPr>
        <w:t>izteiktais viedoklis</w:t>
      </w:r>
      <w:r w:rsidRPr="00DB3A1A">
        <w:rPr>
          <w:rFonts w:ascii="Times New Roman" w:hAnsi="Times New Roman" w:cs="Times New Roman"/>
          <w:color w:val="000000"/>
          <w:sz w:val="24"/>
          <w:szCs w:val="24"/>
        </w:rPr>
        <w:t xml:space="preserve">. </w:t>
      </w:r>
    </w:p>
    <w:p w14:paraId="5A35AF30" w14:textId="01399819" w:rsidR="003334CA" w:rsidRPr="00DB3A1A" w:rsidRDefault="00A1297C" w:rsidP="00FF6435">
      <w:pPr>
        <w:spacing w:after="120" w:line="240" w:lineRule="auto"/>
        <w:ind w:firstLine="720"/>
        <w:jc w:val="both"/>
        <w:rPr>
          <w:rFonts w:ascii="Times New Roman" w:hAnsi="Times New Roman" w:cs="Times New Roman"/>
          <w:sz w:val="24"/>
          <w:szCs w:val="24"/>
        </w:rPr>
      </w:pPr>
      <w:r w:rsidRPr="00DB3A1A">
        <w:rPr>
          <w:rFonts w:ascii="Times New Roman" w:hAnsi="Times New Roman" w:cs="Times New Roman"/>
          <w:sz w:val="24"/>
          <w:szCs w:val="24"/>
        </w:rPr>
        <w:t xml:space="preserve">Budžeta diskusiju rezultātā ir </w:t>
      </w:r>
      <w:r w:rsidR="0007470B" w:rsidRPr="00DB3A1A">
        <w:rPr>
          <w:rFonts w:ascii="Times New Roman" w:hAnsi="Times New Roman" w:cs="Times New Roman"/>
          <w:sz w:val="24"/>
          <w:szCs w:val="24"/>
        </w:rPr>
        <w:t>izdiskutē</w:t>
      </w:r>
      <w:r w:rsidRPr="00DB3A1A">
        <w:rPr>
          <w:rFonts w:ascii="Times New Roman" w:hAnsi="Times New Roman" w:cs="Times New Roman"/>
          <w:sz w:val="24"/>
          <w:szCs w:val="24"/>
        </w:rPr>
        <w:t>ti</w:t>
      </w:r>
      <w:r w:rsidR="0007470B" w:rsidRPr="00DB3A1A">
        <w:rPr>
          <w:rFonts w:ascii="Times New Roman" w:hAnsi="Times New Roman" w:cs="Times New Roman"/>
          <w:sz w:val="24"/>
          <w:szCs w:val="24"/>
        </w:rPr>
        <w:t xml:space="preserve"> un </w:t>
      </w:r>
      <w:r w:rsidR="00B32B3D" w:rsidRPr="00DB3A1A">
        <w:rPr>
          <w:rFonts w:ascii="Times New Roman" w:hAnsi="Times New Roman" w:cs="Times New Roman"/>
          <w:sz w:val="24"/>
          <w:szCs w:val="24"/>
        </w:rPr>
        <w:t>sagatavo</w:t>
      </w:r>
      <w:r w:rsidRPr="00DB3A1A">
        <w:rPr>
          <w:rFonts w:ascii="Times New Roman" w:hAnsi="Times New Roman" w:cs="Times New Roman"/>
          <w:sz w:val="24"/>
          <w:szCs w:val="24"/>
        </w:rPr>
        <w:t>ti</w:t>
      </w:r>
      <w:r w:rsidR="00B32B3D" w:rsidRPr="00DB3A1A">
        <w:rPr>
          <w:rFonts w:ascii="Times New Roman" w:hAnsi="Times New Roman" w:cs="Times New Roman"/>
          <w:sz w:val="24"/>
          <w:szCs w:val="24"/>
        </w:rPr>
        <w:t xml:space="preserve"> priekšlikum</w:t>
      </w:r>
      <w:r w:rsidRPr="00DB3A1A">
        <w:rPr>
          <w:rFonts w:ascii="Times New Roman" w:hAnsi="Times New Roman" w:cs="Times New Roman"/>
          <w:sz w:val="24"/>
          <w:szCs w:val="24"/>
        </w:rPr>
        <w:t>i</w:t>
      </w:r>
      <w:r w:rsidR="00B32B3D" w:rsidRPr="00DB3A1A">
        <w:rPr>
          <w:rFonts w:ascii="Times New Roman" w:hAnsi="Times New Roman" w:cs="Times New Roman"/>
          <w:sz w:val="24"/>
          <w:szCs w:val="24"/>
        </w:rPr>
        <w:t xml:space="preserve"> atbalstāmajiem prioritārajiem pasākumiem</w:t>
      </w:r>
      <w:r w:rsidR="0007470B" w:rsidRPr="00DB3A1A">
        <w:rPr>
          <w:rFonts w:ascii="Times New Roman" w:hAnsi="Times New Roman" w:cs="Times New Roman"/>
          <w:sz w:val="24"/>
          <w:szCs w:val="24"/>
        </w:rPr>
        <w:t xml:space="preserve"> </w:t>
      </w:r>
      <w:r w:rsidR="00B32B3D" w:rsidRPr="00DB3A1A">
        <w:rPr>
          <w:rFonts w:ascii="Times New Roman" w:hAnsi="Times New Roman" w:cs="Times New Roman"/>
          <w:sz w:val="24"/>
          <w:szCs w:val="24"/>
        </w:rPr>
        <w:t>saskaņā ar informatīvā ziņojuma</w:t>
      </w:r>
      <w:r w:rsidR="003D6403" w:rsidRPr="00DB3A1A">
        <w:rPr>
          <w:rFonts w:ascii="Times New Roman" w:hAnsi="Times New Roman" w:cs="Times New Roman"/>
          <w:sz w:val="24"/>
          <w:szCs w:val="24"/>
        </w:rPr>
        <w:t xml:space="preserve"> </w:t>
      </w:r>
      <w:r w:rsidR="00407BDE" w:rsidRPr="00DB3A1A">
        <w:rPr>
          <w:rFonts w:ascii="Times New Roman" w:hAnsi="Times New Roman" w:cs="Times New Roman"/>
          <w:sz w:val="24"/>
          <w:szCs w:val="24"/>
        </w:rPr>
        <w:t xml:space="preserve">1. </w:t>
      </w:r>
      <w:r w:rsidR="00B32B3D" w:rsidRPr="00DB3A1A">
        <w:rPr>
          <w:rFonts w:ascii="Times New Roman" w:hAnsi="Times New Roman" w:cs="Times New Roman"/>
          <w:sz w:val="24"/>
          <w:szCs w:val="24"/>
        </w:rPr>
        <w:t>pielikumu.</w:t>
      </w:r>
      <w:r w:rsidR="00265060" w:rsidRPr="00DB3A1A">
        <w:rPr>
          <w:rFonts w:ascii="Times New Roman" w:hAnsi="Times New Roman" w:cs="Times New Roman"/>
          <w:sz w:val="24"/>
          <w:szCs w:val="24"/>
        </w:rPr>
        <w:t xml:space="preserve"> </w:t>
      </w:r>
    </w:p>
    <w:p w14:paraId="3B7FCBDB" w14:textId="372AA577" w:rsidR="00C21FB6" w:rsidRPr="00DB3A1A" w:rsidRDefault="00C21FB6" w:rsidP="00FF6435">
      <w:pPr>
        <w:spacing w:after="120" w:line="240" w:lineRule="auto"/>
        <w:ind w:firstLine="720"/>
        <w:jc w:val="both"/>
        <w:rPr>
          <w:rFonts w:ascii="Times New Roman" w:hAnsi="Times New Roman" w:cs="Times New Roman"/>
          <w:sz w:val="24"/>
          <w:szCs w:val="24"/>
        </w:rPr>
      </w:pPr>
      <w:r w:rsidRPr="00DB3A1A">
        <w:rPr>
          <w:rFonts w:ascii="Times New Roman" w:hAnsi="Times New Roman" w:cs="Times New Roman"/>
          <w:sz w:val="24"/>
          <w:szCs w:val="24"/>
        </w:rPr>
        <w:t>Tiek piedāvāts finansēt prioritātes 202</w:t>
      </w:r>
      <w:r w:rsidR="003B223D" w:rsidRPr="00DB3A1A">
        <w:rPr>
          <w:rFonts w:ascii="Times New Roman" w:hAnsi="Times New Roman" w:cs="Times New Roman"/>
          <w:sz w:val="24"/>
          <w:szCs w:val="24"/>
        </w:rPr>
        <w:t>6</w:t>
      </w:r>
      <w:r w:rsidRPr="00DB3A1A">
        <w:rPr>
          <w:rFonts w:ascii="Times New Roman" w:hAnsi="Times New Roman" w:cs="Times New Roman"/>
          <w:sz w:val="24"/>
          <w:szCs w:val="24"/>
        </w:rPr>
        <w:t xml:space="preserve">. gadam </w:t>
      </w:r>
      <w:r w:rsidR="00E90076" w:rsidRPr="006D46C5">
        <w:rPr>
          <w:rFonts w:ascii="Times New Roman" w:hAnsi="Times New Roman" w:cs="Times New Roman"/>
          <w:sz w:val="24"/>
          <w:szCs w:val="24"/>
        </w:rPr>
        <w:t>565</w:t>
      </w:r>
      <w:r w:rsidR="00320BE0" w:rsidRPr="006D46C5">
        <w:rPr>
          <w:rFonts w:ascii="Times New Roman" w:hAnsi="Times New Roman" w:cs="Times New Roman"/>
          <w:sz w:val="24"/>
          <w:szCs w:val="24"/>
        </w:rPr>
        <w:t> </w:t>
      </w:r>
      <w:r w:rsidR="00E90076" w:rsidRPr="006D46C5">
        <w:rPr>
          <w:rFonts w:ascii="Times New Roman" w:hAnsi="Times New Roman" w:cs="Times New Roman"/>
          <w:sz w:val="24"/>
          <w:szCs w:val="24"/>
        </w:rPr>
        <w:t>525</w:t>
      </w:r>
      <w:r w:rsidR="00320BE0" w:rsidRPr="006D46C5">
        <w:rPr>
          <w:rFonts w:ascii="Times New Roman" w:hAnsi="Times New Roman" w:cs="Times New Roman"/>
          <w:sz w:val="24"/>
          <w:szCs w:val="24"/>
        </w:rPr>
        <w:t xml:space="preserve"> </w:t>
      </w:r>
      <w:r w:rsidR="00E90076">
        <w:rPr>
          <w:rFonts w:ascii="Times New Roman" w:hAnsi="Times New Roman" w:cs="Times New Roman"/>
          <w:sz w:val="24"/>
          <w:szCs w:val="24"/>
        </w:rPr>
        <w:t>538</w:t>
      </w:r>
      <w:r w:rsidRPr="00DB3A1A">
        <w:rPr>
          <w:rFonts w:ascii="Times New Roman" w:hAnsi="Times New Roman" w:cs="Times New Roman"/>
          <w:sz w:val="24"/>
          <w:szCs w:val="24"/>
        </w:rPr>
        <w:t xml:space="preserve"> </w:t>
      </w:r>
      <w:r w:rsidRPr="00DB3A1A">
        <w:rPr>
          <w:rFonts w:ascii="Times New Roman" w:hAnsi="Times New Roman" w:cs="Times New Roman"/>
          <w:i/>
          <w:iCs/>
          <w:sz w:val="24"/>
          <w:szCs w:val="24"/>
        </w:rPr>
        <w:t>euro</w:t>
      </w:r>
      <w:r w:rsidRPr="00DB3A1A">
        <w:rPr>
          <w:rFonts w:ascii="Times New Roman" w:hAnsi="Times New Roman" w:cs="Times New Roman"/>
          <w:sz w:val="24"/>
          <w:szCs w:val="24"/>
        </w:rPr>
        <w:t xml:space="preserve"> apmērā, 202</w:t>
      </w:r>
      <w:r w:rsidR="003B223D" w:rsidRPr="00DB3A1A">
        <w:rPr>
          <w:rFonts w:ascii="Times New Roman" w:hAnsi="Times New Roman" w:cs="Times New Roman"/>
          <w:sz w:val="24"/>
          <w:szCs w:val="24"/>
        </w:rPr>
        <w:t>7</w:t>
      </w:r>
      <w:r w:rsidRPr="00DB3A1A">
        <w:rPr>
          <w:rFonts w:ascii="Times New Roman" w:hAnsi="Times New Roman" w:cs="Times New Roman"/>
          <w:sz w:val="24"/>
          <w:szCs w:val="24"/>
        </w:rPr>
        <w:t xml:space="preserve">. gadam </w:t>
      </w:r>
      <w:r w:rsidR="00E90076" w:rsidRPr="006D46C5">
        <w:rPr>
          <w:rFonts w:ascii="Times New Roman" w:hAnsi="Times New Roman" w:cs="Times New Roman"/>
          <w:sz w:val="24"/>
          <w:szCs w:val="24"/>
        </w:rPr>
        <w:t>661</w:t>
      </w:r>
      <w:r w:rsidR="00320BE0" w:rsidRPr="006D46C5">
        <w:rPr>
          <w:rFonts w:ascii="Times New Roman" w:hAnsi="Times New Roman" w:cs="Times New Roman"/>
          <w:sz w:val="24"/>
          <w:szCs w:val="24"/>
        </w:rPr>
        <w:t> </w:t>
      </w:r>
      <w:r w:rsidR="00E90076" w:rsidRPr="006D46C5">
        <w:rPr>
          <w:rFonts w:ascii="Times New Roman" w:hAnsi="Times New Roman" w:cs="Times New Roman"/>
          <w:sz w:val="24"/>
          <w:szCs w:val="24"/>
        </w:rPr>
        <w:t>846</w:t>
      </w:r>
      <w:r w:rsidR="00320BE0" w:rsidRPr="006D46C5">
        <w:rPr>
          <w:rFonts w:ascii="Times New Roman" w:hAnsi="Times New Roman" w:cs="Times New Roman"/>
          <w:sz w:val="24"/>
          <w:szCs w:val="24"/>
        </w:rPr>
        <w:t xml:space="preserve"> </w:t>
      </w:r>
      <w:r w:rsidR="00E90076">
        <w:rPr>
          <w:rFonts w:ascii="Times New Roman" w:hAnsi="Times New Roman" w:cs="Times New Roman"/>
          <w:sz w:val="24"/>
          <w:szCs w:val="24"/>
        </w:rPr>
        <w:t>326</w:t>
      </w:r>
      <w:r w:rsidRPr="00DB3A1A">
        <w:rPr>
          <w:rFonts w:ascii="Times New Roman" w:hAnsi="Times New Roman" w:cs="Times New Roman"/>
          <w:sz w:val="24"/>
          <w:szCs w:val="24"/>
        </w:rPr>
        <w:t xml:space="preserve"> </w:t>
      </w:r>
      <w:r w:rsidRPr="00DB3A1A">
        <w:rPr>
          <w:rFonts w:ascii="Times New Roman" w:hAnsi="Times New Roman" w:cs="Times New Roman"/>
          <w:i/>
          <w:iCs/>
          <w:sz w:val="24"/>
          <w:szCs w:val="24"/>
        </w:rPr>
        <w:t>euro</w:t>
      </w:r>
      <w:r w:rsidRPr="00DB3A1A">
        <w:rPr>
          <w:rFonts w:ascii="Times New Roman" w:hAnsi="Times New Roman" w:cs="Times New Roman"/>
          <w:sz w:val="24"/>
          <w:szCs w:val="24"/>
        </w:rPr>
        <w:t xml:space="preserve"> apmērā</w:t>
      </w:r>
      <w:r w:rsidR="002F500F" w:rsidRPr="00DB3A1A">
        <w:rPr>
          <w:rFonts w:ascii="Times New Roman" w:hAnsi="Times New Roman" w:cs="Times New Roman"/>
          <w:sz w:val="24"/>
          <w:szCs w:val="24"/>
        </w:rPr>
        <w:t xml:space="preserve"> un</w:t>
      </w:r>
      <w:r w:rsidRPr="00DB3A1A">
        <w:rPr>
          <w:rFonts w:ascii="Times New Roman" w:hAnsi="Times New Roman" w:cs="Times New Roman"/>
          <w:sz w:val="24"/>
          <w:szCs w:val="24"/>
        </w:rPr>
        <w:t xml:space="preserve">  202</w:t>
      </w:r>
      <w:r w:rsidR="003B223D" w:rsidRPr="00DB3A1A">
        <w:rPr>
          <w:rFonts w:ascii="Times New Roman" w:hAnsi="Times New Roman" w:cs="Times New Roman"/>
          <w:sz w:val="24"/>
          <w:szCs w:val="24"/>
        </w:rPr>
        <w:t>8</w:t>
      </w:r>
      <w:r w:rsidRPr="00DB3A1A">
        <w:rPr>
          <w:rFonts w:ascii="Times New Roman" w:hAnsi="Times New Roman" w:cs="Times New Roman"/>
          <w:sz w:val="24"/>
          <w:szCs w:val="24"/>
        </w:rPr>
        <w:t xml:space="preserve">. gadam </w:t>
      </w:r>
      <w:r w:rsidR="00E90076">
        <w:rPr>
          <w:rFonts w:ascii="Times New Roman" w:hAnsi="Times New Roman" w:cs="Times New Roman"/>
          <w:sz w:val="24"/>
          <w:szCs w:val="24"/>
        </w:rPr>
        <w:t>871 103 085</w:t>
      </w:r>
      <w:r w:rsidRPr="00DB3A1A">
        <w:rPr>
          <w:rFonts w:ascii="Times New Roman" w:hAnsi="Times New Roman" w:cs="Times New Roman"/>
          <w:sz w:val="24"/>
          <w:szCs w:val="24"/>
        </w:rPr>
        <w:t xml:space="preserve"> </w:t>
      </w:r>
      <w:r w:rsidRPr="00DB3A1A">
        <w:rPr>
          <w:rFonts w:ascii="Times New Roman" w:hAnsi="Times New Roman" w:cs="Times New Roman"/>
          <w:i/>
          <w:iCs/>
          <w:sz w:val="24"/>
          <w:szCs w:val="24"/>
        </w:rPr>
        <w:t>euro</w:t>
      </w:r>
      <w:r w:rsidRPr="00DB3A1A">
        <w:rPr>
          <w:rFonts w:ascii="Times New Roman" w:hAnsi="Times New Roman" w:cs="Times New Roman"/>
          <w:sz w:val="24"/>
          <w:szCs w:val="24"/>
        </w:rPr>
        <w:t xml:space="preserve"> apmērā. </w:t>
      </w:r>
    </w:p>
    <w:p w14:paraId="6AF54C48" w14:textId="6B55167C" w:rsidR="008915DD" w:rsidRPr="00DB3A1A" w:rsidRDefault="008915DD" w:rsidP="00FF6435">
      <w:pPr>
        <w:spacing w:after="120" w:line="240" w:lineRule="auto"/>
        <w:ind w:firstLine="720"/>
        <w:jc w:val="both"/>
        <w:rPr>
          <w:rFonts w:ascii="Times New Roman" w:eastAsia="Times New Roman" w:hAnsi="Times New Roman" w:cs="Times New Roman"/>
          <w:sz w:val="24"/>
          <w:szCs w:val="24"/>
        </w:rPr>
      </w:pPr>
      <w:r w:rsidRPr="00DB3A1A">
        <w:rPr>
          <w:rFonts w:ascii="Times New Roman" w:eastAsia="Times New Roman" w:hAnsi="Times New Roman" w:cs="Times New Roman"/>
          <w:sz w:val="24"/>
          <w:szCs w:val="24"/>
        </w:rPr>
        <w:t xml:space="preserve">Budžeta projektā paredzēts papildu finansējums ar valsts </w:t>
      </w:r>
      <w:r w:rsidR="00851FCB" w:rsidRPr="00DB3A1A">
        <w:rPr>
          <w:rFonts w:ascii="Times New Roman" w:eastAsia="Times New Roman" w:hAnsi="Times New Roman" w:cs="Times New Roman"/>
          <w:sz w:val="24"/>
          <w:szCs w:val="24"/>
        </w:rPr>
        <w:t xml:space="preserve">iekšējo </w:t>
      </w:r>
      <w:r w:rsidRPr="00DB3A1A">
        <w:rPr>
          <w:rFonts w:ascii="Times New Roman" w:eastAsia="Times New Roman" w:hAnsi="Times New Roman" w:cs="Times New Roman"/>
          <w:sz w:val="24"/>
          <w:szCs w:val="24"/>
        </w:rPr>
        <w:t xml:space="preserve">drošību saistītiem pasākumiem, </w:t>
      </w:r>
      <w:r w:rsidR="00851FCB" w:rsidRPr="00DB3A1A">
        <w:rPr>
          <w:rFonts w:ascii="Times New Roman" w:eastAsia="Times New Roman" w:hAnsi="Times New Roman" w:cs="Times New Roman"/>
          <w:sz w:val="24"/>
          <w:szCs w:val="24"/>
        </w:rPr>
        <w:t xml:space="preserve">finansēšanas modeļa “Programma skolā” ieviešanai un demogrāfijas pasākumiem, kā arī </w:t>
      </w:r>
      <w:r w:rsidRPr="00DB3A1A">
        <w:rPr>
          <w:rFonts w:ascii="Times New Roman" w:eastAsia="Times New Roman" w:hAnsi="Times New Roman" w:cs="Times New Roman"/>
          <w:sz w:val="24"/>
          <w:szCs w:val="24"/>
        </w:rPr>
        <w:t xml:space="preserve"> </w:t>
      </w:r>
      <w:r w:rsidR="00851FCB" w:rsidRPr="00DB3A1A">
        <w:rPr>
          <w:rFonts w:ascii="Times New Roman" w:eastAsia="Times New Roman" w:hAnsi="Times New Roman" w:cs="Times New Roman"/>
          <w:sz w:val="24"/>
          <w:szCs w:val="24"/>
        </w:rPr>
        <w:t>normatīvo aktu</w:t>
      </w:r>
      <w:r w:rsidRPr="00DB3A1A">
        <w:rPr>
          <w:rFonts w:ascii="Times New Roman" w:eastAsia="Times New Roman" w:hAnsi="Times New Roman" w:cs="Times New Roman"/>
          <w:sz w:val="24"/>
          <w:szCs w:val="24"/>
        </w:rPr>
        <w:t xml:space="preserve"> izpildes nodrošināšanai </w:t>
      </w:r>
      <w:r w:rsidR="00851FCB" w:rsidRPr="00DB3A1A">
        <w:rPr>
          <w:rFonts w:ascii="Times New Roman" w:eastAsia="Times New Roman" w:hAnsi="Times New Roman" w:cs="Times New Roman"/>
          <w:sz w:val="24"/>
          <w:szCs w:val="24"/>
        </w:rPr>
        <w:t>un</w:t>
      </w:r>
      <w:r w:rsidR="00AB54D8" w:rsidRPr="00DB3A1A">
        <w:rPr>
          <w:rFonts w:ascii="Times New Roman" w:eastAsia="Times New Roman" w:hAnsi="Times New Roman" w:cs="Times New Roman"/>
          <w:sz w:val="24"/>
          <w:szCs w:val="24"/>
        </w:rPr>
        <w:t xml:space="preserve"> </w:t>
      </w:r>
      <w:r w:rsidR="00480700" w:rsidRPr="00DB3A1A">
        <w:rPr>
          <w:rFonts w:ascii="Times New Roman" w:eastAsia="Times New Roman" w:hAnsi="Times New Roman" w:cs="Times New Roman"/>
          <w:sz w:val="24"/>
          <w:szCs w:val="24"/>
        </w:rPr>
        <w:t xml:space="preserve">citiem </w:t>
      </w:r>
      <w:r w:rsidR="00AB54D8" w:rsidRPr="00DB3A1A">
        <w:rPr>
          <w:rFonts w:ascii="Times New Roman" w:eastAsia="Times New Roman" w:hAnsi="Times New Roman" w:cs="Times New Roman"/>
          <w:sz w:val="24"/>
          <w:szCs w:val="24"/>
        </w:rPr>
        <w:t>pasākumiem</w:t>
      </w:r>
      <w:r w:rsidRPr="00DB3A1A">
        <w:rPr>
          <w:rFonts w:ascii="Times New Roman" w:eastAsia="Times New Roman" w:hAnsi="Times New Roman" w:cs="Times New Roman"/>
          <w:sz w:val="24"/>
          <w:szCs w:val="24"/>
        </w:rPr>
        <w:t xml:space="preserve">. </w:t>
      </w:r>
    </w:p>
    <w:p w14:paraId="0CF4A16B" w14:textId="77777777" w:rsidR="00B46DBC" w:rsidRPr="00DB3A1A" w:rsidRDefault="00B46DBC" w:rsidP="00AD36DC">
      <w:pPr>
        <w:spacing w:after="120" w:line="240" w:lineRule="auto"/>
        <w:ind w:firstLine="720"/>
        <w:jc w:val="both"/>
        <w:rPr>
          <w:rFonts w:ascii="Times New Roman" w:hAnsi="Times New Roman" w:cs="Times New Roman"/>
          <w:sz w:val="24"/>
          <w:szCs w:val="24"/>
          <w:lang w:eastAsia="lv-LV"/>
        </w:rPr>
      </w:pPr>
    </w:p>
    <w:p w14:paraId="67FF2C8C" w14:textId="479B1682" w:rsidR="00100C51" w:rsidRPr="00DB3A1A" w:rsidRDefault="00826F6E" w:rsidP="00B1512C">
      <w:pPr>
        <w:pStyle w:val="ListParagraph"/>
        <w:numPr>
          <w:ilvl w:val="0"/>
          <w:numId w:val="4"/>
        </w:numPr>
        <w:shd w:val="clear" w:color="auto" w:fill="FFF2CC" w:themeFill="accent4" w:themeFillTint="33"/>
        <w:tabs>
          <w:tab w:val="left" w:pos="0"/>
          <w:tab w:val="left" w:pos="993"/>
        </w:tabs>
        <w:spacing w:before="120" w:after="120" w:line="240" w:lineRule="auto"/>
        <w:contextualSpacing w:val="0"/>
        <w:jc w:val="both"/>
        <w:rPr>
          <w:rFonts w:ascii="Times New Roman" w:hAnsi="Times New Roman" w:cs="Times New Roman"/>
          <w:b/>
          <w:sz w:val="28"/>
          <w:szCs w:val="28"/>
        </w:rPr>
      </w:pPr>
      <w:r w:rsidRPr="00DB3A1A">
        <w:rPr>
          <w:rFonts w:ascii="Times New Roman" w:hAnsi="Times New Roman" w:cs="Times New Roman"/>
          <w:b/>
          <w:sz w:val="28"/>
          <w:szCs w:val="28"/>
        </w:rPr>
        <w:t>Iespējamie kompensējošie pasākumi</w:t>
      </w:r>
    </w:p>
    <w:p w14:paraId="19DD0BE9" w14:textId="7B15F143" w:rsidR="00A90F01" w:rsidRPr="00DB3A1A" w:rsidRDefault="009F7FF0" w:rsidP="00FF6435">
      <w:pPr>
        <w:spacing w:after="120" w:line="240" w:lineRule="auto"/>
        <w:ind w:firstLine="720"/>
        <w:jc w:val="both"/>
        <w:rPr>
          <w:rFonts w:ascii="Times New Roman" w:hAnsi="Times New Roman" w:cs="Times New Roman"/>
          <w:sz w:val="24"/>
          <w:szCs w:val="24"/>
        </w:rPr>
      </w:pPr>
      <w:r w:rsidRPr="00DB3A1A">
        <w:rPr>
          <w:rFonts w:ascii="Times New Roman" w:hAnsi="Times New Roman" w:cs="Times New Roman"/>
          <w:sz w:val="24"/>
          <w:szCs w:val="24"/>
        </w:rPr>
        <w:t xml:space="preserve">Lai varētu nodrošināt nepieciešamo finansējumu prioritārajiem pasākumiem, papildus fiskālajai telpai </w:t>
      </w:r>
      <w:r w:rsidR="00651AE8" w:rsidRPr="00DB3A1A">
        <w:rPr>
          <w:rFonts w:ascii="Times New Roman" w:hAnsi="Times New Roman" w:cs="Times New Roman"/>
          <w:sz w:val="24"/>
          <w:szCs w:val="24"/>
        </w:rPr>
        <w:t>tiek paredzēti vairāki</w:t>
      </w:r>
      <w:r w:rsidRPr="00DB3A1A">
        <w:rPr>
          <w:rFonts w:ascii="Times New Roman" w:hAnsi="Times New Roman" w:cs="Times New Roman"/>
          <w:sz w:val="24"/>
          <w:szCs w:val="24"/>
        </w:rPr>
        <w:t xml:space="preserve"> kompensē</w:t>
      </w:r>
      <w:r w:rsidR="00651AE8" w:rsidRPr="00DB3A1A">
        <w:rPr>
          <w:rFonts w:ascii="Times New Roman" w:hAnsi="Times New Roman" w:cs="Times New Roman"/>
          <w:sz w:val="24"/>
          <w:szCs w:val="24"/>
        </w:rPr>
        <w:t>jošie</w:t>
      </w:r>
      <w:r w:rsidRPr="00DB3A1A">
        <w:rPr>
          <w:rFonts w:ascii="Times New Roman" w:hAnsi="Times New Roman" w:cs="Times New Roman"/>
          <w:sz w:val="24"/>
          <w:szCs w:val="24"/>
        </w:rPr>
        <w:t xml:space="preserve"> pasākumi (skat. informatīvā ziņojuma </w:t>
      </w:r>
      <w:r w:rsidR="00581A9C" w:rsidRPr="00DB3A1A">
        <w:rPr>
          <w:rFonts w:ascii="Times New Roman" w:hAnsi="Times New Roman" w:cs="Times New Roman"/>
          <w:sz w:val="24"/>
          <w:szCs w:val="24"/>
        </w:rPr>
        <w:t>1</w:t>
      </w:r>
      <w:r w:rsidRPr="00DB3A1A">
        <w:rPr>
          <w:rFonts w:ascii="Times New Roman" w:hAnsi="Times New Roman" w:cs="Times New Roman"/>
          <w:sz w:val="24"/>
          <w:szCs w:val="24"/>
        </w:rPr>
        <w:t>.</w:t>
      </w:r>
      <w:r w:rsidR="009F70C2" w:rsidRPr="00DB3A1A">
        <w:rPr>
          <w:rFonts w:ascii="Times New Roman" w:hAnsi="Times New Roman" w:cs="Times New Roman"/>
          <w:sz w:val="24"/>
          <w:szCs w:val="24"/>
        </w:rPr>
        <w:t> </w:t>
      </w:r>
      <w:r w:rsidRPr="00DB3A1A">
        <w:rPr>
          <w:rFonts w:ascii="Times New Roman" w:hAnsi="Times New Roman" w:cs="Times New Roman"/>
          <w:sz w:val="24"/>
          <w:szCs w:val="24"/>
        </w:rPr>
        <w:t>pielikumu)</w:t>
      </w:r>
      <w:r w:rsidR="002E21F1" w:rsidRPr="00DB3A1A">
        <w:rPr>
          <w:rFonts w:ascii="Times New Roman" w:hAnsi="Times New Roman" w:cs="Times New Roman"/>
          <w:sz w:val="24"/>
          <w:szCs w:val="24"/>
        </w:rPr>
        <w:t>.</w:t>
      </w:r>
    </w:p>
    <w:p w14:paraId="132E41A2" w14:textId="77777777" w:rsidR="002E21F1" w:rsidRPr="00DB3A1A" w:rsidRDefault="002E21F1" w:rsidP="00AD36DC">
      <w:pPr>
        <w:spacing w:after="120" w:line="240" w:lineRule="auto"/>
        <w:ind w:firstLine="720"/>
        <w:jc w:val="both"/>
        <w:rPr>
          <w:rFonts w:ascii="Times New Roman" w:hAnsi="Times New Roman" w:cs="Times New Roman"/>
          <w:sz w:val="24"/>
          <w:szCs w:val="24"/>
          <w:lang w:eastAsia="lv-LV"/>
        </w:rPr>
      </w:pPr>
    </w:p>
    <w:p w14:paraId="48746D0B" w14:textId="1C747356" w:rsidR="00BE3445" w:rsidRPr="00DB3A1A" w:rsidRDefault="00BE3445" w:rsidP="00BE3445">
      <w:pPr>
        <w:pStyle w:val="ListParagraph"/>
        <w:numPr>
          <w:ilvl w:val="1"/>
          <w:numId w:val="2"/>
        </w:numPr>
        <w:shd w:val="clear" w:color="auto" w:fill="FFF2CC" w:themeFill="accent4" w:themeFillTint="33"/>
        <w:spacing w:after="120" w:line="240" w:lineRule="auto"/>
        <w:ind w:left="714" w:hanging="357"/>
        <w:contextualSpacing w:val="0"/>
        <w:jc w:val="both"/>
        <w:rPr>
          <w:rFonts w:ascii="Times New Roman" w:hAnsi="Times New Roman" w:cs="Times New Roman"/>
          <w:b/>
          <w:sz w:val="28"/>
          <w:szCs w:val="28"/>
        </w:rPr>
      </w:pPr>
      <w:r w:rsidRPr="00DB3A1A">
        <w:rPr>
          <w:rFonts w:ascii="Times New Roman" w:hAnsi="Times New Roman" w:cs="Times New Roman"/>
          <w:b/>
          <w:bCs/>
          <w:sz w:val="28"/>
          <w:szCs w:val="28"/>
        </w:rPr>
        <w:t xml:space="preserve">     </w:t>
      </w:r>
      <w:r w:rsidR="002B15A4" w:rsidRPr="00DB3A1A">
        <w:rPr>
          <w:rFonts w:ascii="Times New Roman" w:hAnsi="Times New Roman" w:cs="Times New Roman"/>
          <w:b/>
          <w:bCs/>
          <w:sz w:val="28"/>
          <w:szCs w:val="28"/>
        </w:rPr>
        <w:t>Izdevumu samazinājums</w:t>
      </w:r>
    </w:p>
    <w:p w14:paraId="73799989" w14:textId="363A53B9" w:rsidR="002B15A4" w:rsidRPr="00DB3A1A" w:rsidRDefault="002B15A4" w:rsidP="00B1512C">
      <w:pPr>
        <w:pStyle w:val="ListParagraph"/>
        <w:numPr>
          <w:ilvl w:val="2"/>
          <w:numId w:val="15"/>
        </w:numPr>
        <w:shd w:val="clear" w:color="auto" w:fill="FFF2CC" w:themeFill="accent4" w:themeFillTint="33"/>
        <w:spacing w:after="120" w:line="240" w:lineRule="auto"/>
        <w:jc w:val="both"/>
        <w:rPr>
          <w:rFonts w:ascii="Times New Roman" w:hAnsi="Times New Roman" w:cs="Times New Roman"/>
          <w:b/>
          <w:sz w:val="28"/>
          <w:szCs w:val="28"/>
        </w:rPr>
      </w:pPr>
      <w:r w:rsidRPr="00DB3A1A">
        <w:rPr>
          <w:rFonts w:ascii="Times New Roman" w:hAnsi="Times New Roman" w:cs="Times New Roman"/>
          <w:b/>
          <w:sz w:val="28"/>
          <w:szCs w:val="28"/>
        </w:rPr>
        <w:t>Iemaksas ES budžetā</w:t>
      </w:r>
    </w:p>
    <w:p w14:paraId="5057BF54" w14:textId="792CB610" w:rsidR="00B61503" w:rsidRPr="00DB3A1A" w:rsidRDefault="00B61503" w:rsidP="00FF6435">
      <w:pPr>
        <w:spacing w:after="120" w:line="240" w:lineRule="auto"/>
        <w:ind w:firstLine="720"/>
        <w:jc w:val="both"/>
        <w:rPr>
          <w:rFonts w:ascii="Times New Roman" w:hAnsi="Times New Roman" w:cs="Times New Roman"/>
          <w:bCs/>
          <w:sz w:val="24"/>
          <w:szCs w:val="24"/>
        </w:rPr>
      </w:pPr>
      <w:r w:rsidRPr="00DB3A1A">
        <w:rPr>
          <w:rFonts w:ascii="Times New Roman" w:hAnsi="Times New Roman" w:cs="Times New Roman"/>
          <w:sz w:val="24"/>
          <w:szCs w:val="24"/>
        </w:rPr>
        <w:t xml:space="preserve">Priekšlikums paredz samazināt prognozes kārtējiem maksājumiem Eiropas Savienības budžetā (pēc naudas plūsmas) </w:t>
      </w:r>
      <w:r w:rsidRPr="00DB3A1A">
        <w:rPr>
          <w:rFonts w:ascii="Times New Roman" w:hAnsi="Times New Roman" w:cs="Times New Roman"/>
          <w:bCs/>
          <w:sz w:val="24"/>
          <w:szCs w:val="24"/>
        </w:rPr>
        <w:t>2028. gadā par 5</w:t>
      </w:r>
      <w:r w:rsidR="0084365F" w:rsidRPr="00DB3A1A">
        <w:rPr>
          <w:rFonts w:ascii="Times New Roman" w:hAnsi="Times New Roman" w:cs="Times New Roman"/>
          <w:bCs/>
          <w:sz w:val="24"/>
          <w:szCs w:val="24"/>
        </w:rPr>
        <w:t>6</w:t>
      </w:r>
      <w:r w:rsidRPr="00DB3A1A">
        <w:rPr>
          <w:rFonts w:ascii="Times New Roman" w:hAnsi="Times New Roman" w:cs="Times New Roman"/>
          <w:bCs/>
          <w:sz w:val="24"/>
          <w:szCs w:val="24"/>
        </w:rPr>
        <w:t> </w:t>
      </w:r>
      <w:r w:rsidR="0084365F" w:rsidRPr="00DB3A1A">
        <w:rPr>
          <w:rFonts w:ascii="Times New Roman" w:hAnsi="Times New Roman" w:cs="Times New Roman"/>
          <w:bCs/>
          <w:sz w:val="24"/>
          <w:szCs w:val="24"/>
        </w:rPr>
        <w:t>624</w:t>
      </w:r>
      <w:r w:rsidRPr="00DB3A1A">
        <w:rPr>
          <w:rFonts w:ascii="Times New Roman" w:hAnsi="Times New Roman" w:cs="Times New Roman"/>
          <w:bCs/>
          <w:sz w:val="24"/>
          <w:szCs w:val="24"/>
        </w:rPr>
        <w:t xml:space="preserve"> 000 </w:t>
      </w:r>
      <w:r w:rsidRPr="00DB3A1A">
        <w:rPr>
          <w:rFonts w:ascii="Times New Roman" w:hAnsi="Times New Roman" w:cs="Times New Roman"/>
          <w:bCs/>
          <w:i/>
          <w:iCs/>
          <w:sz w:val="24"/>
          <w:szCs w:val="24"/>
        </w:rPr>
        <w:t>euro</w:t>
      </w:r>
      <w:r w:rsidRPr="00DB3A1A">
        <w:rPr>
          <w:rFonts w:ascii="Times New Roman" w:hAnsi="Times New Roman" w:cs="Times New Roman"/>
          <w:bCs/>
          <w:sz w:val="24"/>
          <w:szCs w:val="24"/>
        </w:rPr>
        <w:t xml:space="preserve">. </w:t>
      </w:r>
    </w:p>
    <w:p w14:paraId="641ED279" w14:textId="77777777" w:rsidR="00780C7D" w:rsidRPr="00DB3A1A" w:rsidRDefault="00780C7D" w:rsidP="00BE3445">
      <w:pPr>
        <w:spacing w:after="120" w:line="240" w:lineRule="auto"/>
        <w:ind w:firstLine="714"/>
        <w:jc w:val="both"/>
        <w:rPr>
          <w:rFonts w:ascii="Times New Roman" w:hAnsi="Times New Roman" w:cs="Times New Roman"/>
          <w:sz w:val="24"/>
          <w:szCs w:val="24"/>
          <w:highlight w:val="cyan"/>
          <w:shd w:val="clear" w:color="auto" w:fill="FFFFFF"/>
        </w:rPr>
      </w:pPr>
    </w:p>
    <w:p w14:paraId="3CCE1321" w14:textId="1C851818" w:rsidR="00BE3445" w:rsidRPr="00DB3A1A" w:rsidRDefault="00BE3445" w:rsidP="00B1512C">
      <w:pPr>
        <w:pStyle w:val="ListParagraph"/>
        <w:numPr>
          <w:ilvl w:val="2"/>
          <w:numId w:val="15"/>
        </w:numPr>
        <w:shd w:val="clear" w:color="auto" w:fill="FFF2CC" w:themeFill="accent4" w:themeFillTint="33"/>
        <w:spacing w:after="120" w:line="240" w:lineRule="auto"/>
        <w:jc w:val="both"/>
        <w:rPr>
          <w:rFonts w:ascii="Times New Roman" w:hAnsi="Times New Roman" w:cs="Times New Roman"/>
          <w:b/>
          <w:sz w:val="28"/>
          <w:szCs w:val="28"/>
        </w:rPr>
      </w:pPr>
      <w:r w:rsidRPr="00DB3A1A">
        <w:rPr>
          <w:rFonts w:ascii="Times New Roman" w:hAnsi="Times New Roman" w:cs="Times New Roman"/>
          <w:b/>
          <w:sz w:val="28"/>
          <w:szCs w:val="28"/>
        </w:rPr>
        <w:t>Parāda vadības izdevumi</w:t>
      </w:r>
    </w:p>
    <w:p w14:paraId="0CFC3162" w14:textId="6C49E73A" w:rsidR="00111C42" w:rsidRPr="00DB3A1A" w:rsidRDefault="00111C42" w:rsidP="00FF6435">
      <w:pPr>
        <w:spacing w:after="120" w:line="240" w:lineRule="auto"/>
        <w:ind w:firstLine="720"/>
        <w:jc w:val="both"/>
        <w:rPr>
          <w:rFonts w:ascii="Times New Roman" w:hAnsi="Times New Roman" w:cs="Times New Roman"/>
          <w:bCs/>
          <w:sz w:val="24"/>
          <w:szCs w:val="24"/>
        </w:rPr>
      </w:pPr>
      <w:r w:rsidRPr="00DB3A1A">
        <w:rPr>
          <w:rFonts w:ascii="Times New Roman" w:hAnsi="Times New Roman" w:cs="Times New Roman"/>
          <w:bCs/>
          <w:sz w:val="24"/>
          <w:szCs w:val="24"/>
        </w:rPr>
        <w:t>Līdzekļu ietaupījums Finanšu ministrijas apakšprogrammā 31.02.00 “Valsts parāda vadība” 2026.</w:t>
      </w:r>
      <w:r w:rsidR="00C0330F" w:rsidRPr="00DB3A1A">
        <w:rPr>
          <w:rFonts w:ascii="Times New Roman" w:hAnsi="Times New Roman" w:cs="Times New Roman"/>
          <w:i/>
          <w:iCs/>
          <w:sz w:val="24"/>
          <w:szCs w:val="24"/>
        </w:rPr>
        <w:t>–</w:t>
      </w:r>
      <w:r w:rsidR="008E2BC8" w:rsidRPr="00DB3A1A">
        <w:rPr>
          <w:rFonts w:ascii="Times New Roman" w:hAnsi="Times New Roman" w:cs="Times New Roman"/>
          <w:bCs/>
          <w:sz w:val="24"/>
          <w:szCs w:val="24"/>
        </w:rPr>
        <w:t>2028</w:t>
      </w:r>
      <w:r w:rsidRPr="00DB3A1A">
        <w:rPr>
          <w:rFonts w:ascii="Times New Roman" w:hAnsi="Times New Roman" w:cs="Times New Roman"/>
          <w:bCs/>
          <w:sz w:val="24"/>
          <w:szCs w:val="24"/>
        </w:rPr>
        <w:t xml:space="preserve">. gadā ir iespējams, jo aizņemšanās pasākumi finanšu tirgos 2025. gadā faktiski veikti ar zemākām procentu likmēm nekā sākotnēji tika prognozēts. Aizņemšanās darījumi veikti ar izdevīgiem nosacījumiem, izvēloties labvēlīgu aizņemšanās brīdi un uzturot elastību aizņēmumu nosacījumu izvēlē. Papildus, saskaņā ar aktuālām prognozēm, precizēti pieņēmumi par līdz </w:t>
      </w:r>
      <w:r w:rsidR="008E2BC8" w:rsidRPr="00DB3A1A">
        <w:rPr>
          <w:rFonts w:ascii="Times New Roman" w:hAnsi="Times New Roman" w:cs="Times New Roman"/>
          <w:bCs/>
          <w:sz w:val="24"/>
          <w:szCs w:val="24"/>
        </w:rPr>
        <w:t>2028</w:t>
      </w:r>
      <w:r w:rsidRPr="00DB3A1A">
        <w:rPr>
          <w:rFonts w:ascii="Times New Roman" w:hAnsi="Times New Roman" w:cs="Times New Roman"/>
          <w:bCs/>
          <w:sz w:val="24"/>
          <w:szCs w:val="24"/>
        </w:rPr>
        <w:t xml:space="preserve">. gadam nepieciešamo aizņemšanās apjomu, instrumentiem un procentu likmēm. 2025. gada maijā starptautiskajos finanšu tirgos emitētas 5 gadu obligācijas 1 mljrd. </w:t>
      </w:r>
      <w:r w:rsidRPr="00DB3A1A">
        <w:rPr>
          <w:rFonts w:ascii="Times New Roman" w:hAnsi="Times New Roman" w:cs="Times New Roman"/>
          <w:bCs/>
          <w:i/>
          <w:iCs/>
          <w:sz w:val="24"/>
          <w:szCs w:val="24"/>
        </w:rPr>
        <w:t>euro</w:t>
      </w:r>
      <w:r w:rsidRPr="00DB3A1A">
        <w:rPr>
          <w:rFonts w:ascii="Times New Roman" w:hAnsi="Times New Roman" w:cs="Times New Roman"/>
          <w:bCs/>
          <w:sz w:val="24"/>
          <w:szCs w:val="24"/>
        </w:rPr>
        <w:t xml:space="preserve"> apmērā, fiksējot kupona (procentu) likmi 2.875% līmenī. Augstais investoru pieprasījums ļāva darījumā fiksēt iespējami zemāku kredītriska uzcenojumu un Latvijas 5 gadu obligācijas izcenotas ar ienesīgumu 2.971%, kas ir bijis zemāks nekā salīdzināmo Eiropas valstu (Lietuvas un Polijas) līdzīga termiņa obligācijām 2025. gadā. Šogad regulāri veiktas arī apgrozībā esošo Latvijas obligāciju papildu laidienu izsoles 680 milj. </w:t>
      </w:r>
      <w:r w:rsidRPr="00DB3A1A">
        <w:rPr>
          <w:rFonts w:ascii="Times New Roman" w:hAnsi="Times New Roman" w:cs="Times New Roman"/>
          <w:bCs/>
          <w:i/>
          <w:iCs/>
          <w:sz w:val="24"/>
          <w:szCs w:val="24"/>
        </w:rPr>
        <w:t>euro</w:t>
      </w:r>
      <w:r w:rsidRPr="00DB3A1A">
        <w:rPr>
          <w:rFonts w:ascii="Times New Roman" w:hAnsi="Times New Roman" w:cs="Times New Roman"/>
          <w:bCs/>
          <w:sz w:val="24"/>
          <w:szCs w:val="24"/>
        </w:rPr>
        <w:t xml:space="preserve"> apmērā ar dzēšanas termiņiem 2028.</w:t>
      </w:r>
      <w:r w:rsidR="00C0330F" w:rsidRPr="00DB3A1A">
        <w:rPr>
          <w:rFonts w:ascii="Times New Roman" w:hAnsi="Times New Roman" w:cs="Times New Roman"/>
          <w:i/>
          <w:iCs/>
          <w:sz w:val="24"/>
          <w:szCs w:val="24"/>
        </w:rPr>
        <w:t xml:space="preserve"> – </w:t>
      </w:r>
      <w:r w:rsidRPr="00DB3A1A">
        <w:rPr>
          <w:rFonts w:ascii="Times New Roman" w:hAnsi="Times New Roman" w:cs="Times New Roman"/>
          <w:bCs/>
          <w:sz w:val="24"/>
          <w:szCs w:val="24"/>
        </w:rPr>
        <w:t>2033.</w:t>
      </w:r>
      <w:r w:rsidR="00C0330F" w:rsidRPr="00DB3A1A">
        <w:rPr>
          <w:rFonts w:ascii="Times New Roman" w:hAnsi="Times New Roman" w:cs="Times New Roman"/>
          <w:bCs/>
          <w:sz w:val="24"/>
          <w:szCs w:val="24"/>
        </w:rPr>
        <w:t> </w:t>
      </w:r>
      <w:r w:rsidRPr="00DB3A1A">
        <w:rPr>
          <w:rFonts w:ascii="Times New Roman" w:hAnsi="Times New Roman" w:cs="Times New Roman"/>
          <w:bCs/>
          <w:sz w:val="24"/>
          <w:szCs w:val="24"/>
        </w:rPr>
        <w:t xml:space="preserve">gadā, fiksējot ienesīguma līmeņus robežās no 2,571% līdz 3,367% (atkarībā no termiņa un situācijas finanšu tirgos). </w:t>
      </w:r>
    </w:p>
    <w:p w14:paraId="56AA6EC0" w14:textId="77777777" w:rsidR="00BE3445" w:rsidRPr="00DB3A1A" w:rsidRDefault="00BE3445" w:rsidP="00BE3445">
      <w:pPr>
        <w:pStyle w:val="ListParagraph"/>
        <w:spacing w:after="120" w:line="240" w:lineRule="auto"/>
        <w:ind w:left="1077"/>
        <w:contextualSpacing w:val="0"/>
        <w:jc w:val="both"/>
        <w:rPr>
          <w:rFonts w:ascii="Times New Roman" w:hAnsi="Times New Roman" w:cs="Times New Roman"/>
          <w:b/>
          <w:sz w:val="24"/>
          <w:szCs w:val="24"/>
        </w:rPr>
      </w:pPr>
    </w:p>
    <w:p w14:paraId="64DB617C" w14:textId="1B7E86B5" w:rsidR="00826F6E" w:rsidRPr="00DB3A1A" w:rsidRDefault="002958DA" w:rsidP="00B1512C">
      <w:pPr>
        <w:pStyle w:val="ListParagraph"/>
        <w:numPr>
          <w:ilvl w:val="2"/>
          <w:numId w:val="15"/>
        </w:numPr>
        <w:shd w:val="clear" w:color="auto" w:fill="FFF2CC" w:themeFill="accent4" w:themeFillTint="33"/>
        <w:spacing w:after="120" w:line="240" w:lineRule="auto"/>
        <w:jc w:val="both"/>
        <w:rPr>
          <w:rFonts w:ascii="Times New Roman" w:hAnsi="Times New Roman" w:cs="Times New Roman"/>
          <w:b/>
          <w:sz w:val="28"/>
          <w:szCs w:val="28"/>
        </w:rPr>
      </w:pPr>
      <w:r w:rsidRPr="00DB3A1A">
        <w:rPr>
          <w:rFonts w:ascii="Times New Roman" w:hAnsi="Times New Roman" w:cs="Times New Roman"/>
          <w:b/>
          <w:sz w:val="28"/>
          <w:szCs w:val="28"/>
        </w:rPr>
        <w:t>Atlīdzības i</w:t>
      </w:r>
      <w:r w:rsidR="003C0E1B" w:rsidRPr="00DB3A1A">
        <w:rPr>
          <w:rFonts w:ascii="Times New Roman" w:hAnsi="Times New Roman" w:cs="Times New Roman"/>
          <w:b/>
          <w:sz w:val="28"/>
          <w:szCs w:val="28"/>
        </w:rPr>
        <w:t xml:space="preserve">zdevumu samazinājums ministrijām </w:t>
      </w:r>
    </w:p>
    <w:p w14:paraId="343D5724" w14:textId="509A2B01" w:rsidR="0047278D" w:rsidRPr="00DB3A1A" w:rsidRDefault="0047278D" w:rsidP="0047278D">
      <w:pPr>
        <w:spacing w:after="120" w:line="240" w:lineRule="auto"/>
        <w:ind w:firstLine="720"/>
        <w:jc w:val="both"/>
        <w:rPr>
          <w:rFonts w:ascii="Times New Roman" w:hAnsi="Times New Roman" w:cs="Times New Roman"/>
          <w:sz w:val="24"/>
          <w:szCs w:val="24"/>
        </w:rPr>
      </w:pPr>
      <w:r w:rsidRPr="00DB3A1A">
        <w:rPr>
          <w:rFonts w:ascii="Times New Roman" w:hAnsi="Times New Roman" w:cs="Times New Roman"/>
          <w:sz w:val="24"/>
          <w:szCs w:val="24"/>
        </w:rPr>
        <w:t xml:space="preserve">Lai nodrošinātu sistēmisku pieeju atlīdzības pieauguma ierobežošanai un tas būtu samērojams ar līdzvērtīga darba vērtību privātajā sektorā (vidēji nepārsniedzot 80%) nepieciešams pārvērtēt dažādu atlīdzības bonusu sistēmas elementus, tos  ierobežojot sākotnēji uz noteiktu laiku. Šobrīd, ņemot vērā kopējo situāciju ar augsti kvalificēta darba spēka piesaisti nebūtu racionāli iet </w:t>
      </w:r>
      <w:r w:rsidRPr="00DB3A1A">
        <w:rPr>
          <w:rFonts w:ascii="Times New Roman" w:hAnsi="Times New Roman" w:cs="Times New Roman"/>
          <w:sz w:val="24"/>
          <w:szCs w:val="24"/>
        </w:rPr>
        <w:lastRenderedPageBreak/>
        <w:t xml:space="preserve">virzienā par noteiktās mēnešalgas apmēra pārskatīšanu samazinājuma virzienā, bet gan vērtējami citi atlīdzības elementi. Tādejādi </w:t>
      </w:r>
      <w:r>
        <w:rPr>
          <w:rFonts w:ascii="Times New Roman" w:hAnsi="Times New Roman" w:cs="Times New Roman"/>
          <w:sz w:val="24"/>
          <w:szCs w:val="24"/>
        </w:rPr>
        <w:t xml:space="preserve">papildu jau veiktajiem atlīdzības fondu samazinājumiem, kas akceptēti valdībā 2025.gada 26.augustā, plānots valsts pārvaldē samazināt atlīdzības fondu par 24 milj. eiro (skatīt </w:t>
      </w:r>
      <w:r w:rsidRPr="00DB3A1A">
        <w:rPr>
          <w:rFonts w:ascii="Times New Roman" w:hAnsi="Times New Roman" w:cs="Times New Roman"/>
          <w:sz w:val="24"/>
          <w:szCs w:val="24"/>
        </w:rPr>
        <w:t>informatīvā ziņojuma</w:t>
      </w:r>
      <w:r>
        <w:rPr>
          <w:rFonts w:ascii="Times New Roman" w:hAnsi="Times New Roman" w:cs="Times New Roman"/>
          <w:sz w:val="24"/>
          <w:szCs w:val="24"/>
        </w:rPr>
        <w:t xml:space="preserve"> 2. pielikumu). Tas paredz, ka ar 2027.gadu </w:t>
      </w:r>
      <w:r w:rsidRPr="00DB3A1A">
        <w:rPr>
          <w:rFonts w:ascii="Times New Roman" w:hAnsi="Times New Roman" w:cs="Times New Roman"/>
          <w:sz w:val="24"/>
          <w:szCs w:val="24"/>
        </w:rPr>
        <w:t>tiek atceltas prēmija</w:t>
      </w:r>
      <w:r>
        <w:rPr>
          <w:rFonts w:ascii="Times New Roman" w:hAnsi="Times New Roman" w:cs="Times New Roman"/>
          <w:sz w:val="24"/>
          <w:szCs w:val="24"/>
        </w:rPr>
        <w:t>s</w:t>
      </w:r>
      <w:r w:rsidRPr="00DB3A1A">
        <w:rPr>
          <w:rFonts w:ascii="Times New Roman" w:hAnsi="Times New Roman" w:cs="Times New Roman"/>
          <w:sz w:val="24"/>
          <w:szCs w:val="24"/>
        </w:rPr>
        <w:t xml:space="preserve"> par ikgadējo darbības un tās rezultātu novērtējumu un </w:t>
      </w:r>
      <w:r>
        <w:rPr>
          <w:rFonts w:ascii="Times New Roman" w:hAnsi="Times New Roman" w:cs="Times New Roman"/>
          <w:sz w:val="24"/>
          <w:szCs w:val="24"/>
        </w:rPr>
        <w:t>turpināts vērtēt citus iespējamos ierobežojumus</w:t>
      </w:r>
      <w:r w:rsidRPr="00DB3A1A">
        <w:rPr>
          <w:rFonts w:ascii="Times New Roman" w:hAnsi="Times New Roman" w:cs="Times New Roman"/>
          <w:sz w:val="24"/>
          <w:szCs w:val="24"/>
        </w:rPr>
        <w:t xml:space="preserve">. Vienlaikus tiek saglabātā piemaksa par  nozīmīgu ieguldījumu attiecīgās institūcijas stratēģisko mērķu sasniegšanā, kas joprojām ļaus papildus motivēt nodarbinātos. Minētais attiecināms uz valsts un pašvaldību institūcijās nodarbinātajiem. </w:t>
      </w:r>
    </w:p>
    <w:p w14:paraId="15CC0214" w14:textId="55136AE3" w:rsidR="002958DA" w:rsidRPr="00DB3A1A" w:rsidRDefault="002958DA" w:rsidP="00FA5E1E">
      <w:pPr>
        <w:spacing w:after="120" w:line="240" w:lineRule="auto"/>
        <w:ind w:firstLine="720"/>
        <w:jc w:val="both"/>
        <w:rPr>
          <w:rFonts w:ascii="Times New Roman" w:hAnsi="Times New Roman" w:cs="Times New Roman"/>
          <w:sz w:val="24"/>
          <w:szCs w:val="24"/>
        </w:rPr>
      </w:pPr>
      <w:r w:rsidRPr="00DB3A1A">
        <w:rPr>
          <w:rFonts w:ascii="Times New Roman" w:hAnsi="Times New Roman" w:cs="Times New Roman"/>
          <w:sz w:val="24"/>
          <w:szCs w:val="24"/>
        </w:rPr>
        <w:t xml:space="preserve">Lai neietekmētu iedzīvotajiem nepieciešamos pakalpojumus, kurus nodrošina dienesti 24/7 piemaksa par virsstundu darbu joprojām saglabājama 100% apmērā, savukārt valsts un pašvaldību institūcijās (izņemot nepārtrauktu darba gaitu) tā turpmāk piemērojama ne vairāk kā 75% apmērā. Lai pilnībā īstenotu minēto pilnvērtīgi, ir nepieciešami arī grozījumi Darba likumā, par kuru virzību atbildība būtu nododama Ekonomikas ministrijai. </w:t>
      </w:r>
    </w:p>
    <w:p w14:paraId="5DD8B6A0" w14:textId="7BB1AF84" w:rsidR="008C118D" w:rsidRPr="00DB3A1A" w:rsidRDefault="002958DA" w:rsidP="00FA5E1E">
      <w:pPr>
        <w:spacing w:after="120" w:line="240" w:lineRule="auto"/>
        <w:ind w:firstLine="720"/>
        <w:jc w:val="both"/>
        <w:rPr>
          <w:rFonts w:ascii="Times New Roman" w:hAnsi="Times New Roman" w:cs="Times New Roman"/>
          <w:sz w:val="24"/>
          <w:szCs w:val="24"/>
        </w:rPr>
      </w:pPr>
      <w:r w:rsidRPr="00DB3A1A">
        <w:rPr>
          <w:rFonts w:ascii="Times New Roman" w:hAnsi="Times New Roman" w:cs="Times New Roman"/>
          <w:sz w:val="24"/>
          <w:szCs w:val="24"/>
        </w:rPr>
        <w:t>Lai nodrošinātu virzību uz mazu un efektīvu valsts pārvaldi, īpaši ņemot vērā arī tendences, kuras saistītas ar iedzīvotāju kopēja skaita samazināšanos, ir primāri nepieciešams vērtēt kas notiek ar vakantajiem amatiem. Vidējais vakanto amata vietu īpatsvars valsts pārvaldes iestādēs ir 10%, taču amplitūdas apmērs ir no 3% līdz pat 28%, kas jau liecina par nopietnām problēmām kvalificētu cilvēkresursu piesaistē. Atsevišķu vakanto amata vietu ilgums ir virs 6 mēnešiem no vakantās amata vietas izveides brīža un pat pārsniedz 12 mēnešu periodu. Vienlaikus ir nepieciešams arī vērtēt vai visas iestādei uzlikto funkciju un uzdevumu izpilde ir  tikusi ietekmēta brīdī kad iztrūka nodarbinātie (amats bija vakants).  Vērtējot kopējo vakanto amata vietu skaitu par amata vietām, kuras kopumā ir vakantas 6 un vairāk mēnešus (iestāžu sniegtie dati Atlīdzības uzskaites sistēmā aprīlis 2025) kopumā ir 737 amata vietas jeb 686,09 amatu slodzes, bet vērtējot minēto rādītāju par vakantajiem amatiem kuri ir ilgāki par 3 mēnešiem jau krietni pieaug rādītājs – kopumā 1383 amata vietas ir 1311,21 amatu slodze.  Lai piesaistītu kvalificētus darbiniekus, t.sk. izsludinot konkursu un atlasot nepieciešamos kandidātus ir nepieciešams laika periods līdz 6 mēnešiem. Ņemot vērā minēto un lai optimizētu kopējo iespējamo valsts pārvaldes lielumu tiek piedāvāts veikt vakanto amata vietu, kuras ir vakantas vairāk kā 6 mēneši, likvidāciju vienlaikus iestādes rīcībā atstājot finansējumu 30% apmērā no attiecīgai amata klasifikācijai atbilstošās mēnešalgu grupas skalas intervāla minimumam, bet atlikušie 70% tiek novirzīti budžeta prioritātes – drošība nepieciešamo izdevumu segšanai.  Minētais ir pilnībā attiecināms uz valsts pārvaldes iestādēm, bet vienlaikus arī pašvaldību institūcijas tiek aicinātas rīkoties līdzīgi</w:t>
      </w:r>
      <w:r w:rsidR="0047278D">
        <w:rPr>
          <w:rFonts w:ascii="Times New Roman" w:hAnsi="Times New Roman" w:cs="Times New Roman"/>
          <w:sz w:val="24"/>
          <w:szCs w:val="24"/>
        </w:rPr>
        <w:t>.</w:t>
      </w:r>
    </w:p>
    <w:p w14:paraId="09BE2DB4" w14:textId="0BB2EF1A" w:rsidR="008737A0" w:rsidRPr="00DB3A1A" w:rsidRDefault="008737A0" w:rsidP="0068166F">
      <w:pPr>
        <w:spacing w:after="120" w:line="240" w:lineRule="auto"/>
        <w:ind w:left="357"/>
        <w:jc w:val="both"/>
        <w:rPr>
          <w:rFonts w:ascii="Times New Roman" w:hAnsi="Times New Roman" w:cs="Times New Roman"/>
          <w:b/>
          <w:sz w:val="24"/>
          <w:szCs w:val="24"/>
        </w:rPr>
      </w:pPr>
      <w:r w:rsidRPr="00DB3A1A">
        <w:rPr>
          <w:rFonts w:ascii="Times New Roman" w:hAnsi="Times New Roman" w:cs="Times New Roman"/>
          <w:bCs/>
          <w:sz w:val="24"/>
          <w:szCs w:val="24"/>
        </w:rPr>
        <w:t> </w:t>
      </w:r>
    </w:p>
    <w:p w14:paraId="30AF461A" w14:textId="57E8E7E1" w:rsidR="00082C4D" w:rsidRPr="00DB3A1A" w:rsidRDefault="00082C4D" w:rsidP="00B1512C">
      <w:pPr>
        <w:pStyle w:val="ListParagraph"/>
        <w:numPr>
          <w:ilvl w:val="2"/>
          <w:numId w:val="15"/>
        </w:numPr>
        <w:shd w:val="clear" w:color="auto" w:fill="FFF2CC" w:themeFill="accent4" w:themeFillTint="33"/>
        <w:spacing w:after="120" w:line="240" w:lineRule="auto"/>
        <w:jc w:val="both"/>
        <w:rPr>
          <w:rFonts w:ascii="Times New Roman" w:hAnsi="Times New Roman" w:cs="Times New Roman"/>
          <w:b/>
          <w:sz w:val="28"/>
          <w:szCs w:val="28"/>
        </w:rPr>
      </w:pPr>
      <w:r w:rsidRPr="00DB3A1A">
        <w:rPr>
          <w:rFonts w:ascii="Times New Roman" w:hAnsi="Times New Roman" w:cs="Times New Roman"/>
          <w:b/>
          <w:sz w:val="28"/>
          <w:szCs w:val="28"/>
        </w:rPr>
        <w:t>Pieklasificēto kapitālsabiedrību ietekmes pārvērtēšana</w:t>
      </w:r>
    </w:p>
    <w:p w14:paraId="3E2EE57A" w14:textId="0602E81F" w:rsidR="008737A0" w:rsidRPr="00DB3A1A" w:rsidRDefault="00C03FB1" w:rsidP="00FA5E1E">
      <w:pPr>
        <w:spacing w:after="120" w:line="240" w:lineRule="auto"/>
        <w:ind w:firstLine="720"/>
        <w:jc w:val="both"/>
        <w:rPr>
          <w:rFonts w:ascii="Times New Roman" w:hAnsi="Times New Roman" w:cs="Times New Roman"/>
          <w:b/>
          <w:sz w:val="24"/>
          <w:szCs w:val="24"/>
        </w:rPr>
      </w:pPr>
      <w:r w:rsidRPr="00DB3A1A">
        <w:rPr>
          <w:rFonts w:ascii="Times New Roman" w:hAnsi="Times New Roman" w:cs="Times New Roman"/>
          <w:sz w:val="24"/>
          <w:szCs w:val="24"/>
        </w:rPr>
        <w:t xml:space="preserve">Satiksmes ministrijas kapitālsabiedrība VAS “Latvijas dzelzceļš” </w:t>
      </w:r>
      <w:r w:rsidR="002B3473" w:rsidRPr="00DB3A1A">
        <w:rPr>
          <w:rFonts w:ascii="Times New Roman" w:hAnsi="Times New Roman" w:cs="Times New Roman"/>
          <w:sz w:val="24"/>
          <w:szCs w:val="24"/>
        </w:rPr>
        <w:t xml:space="preserve">un Finanšu ministrijas </w:t>
      </w:r>
      <w:r w:rsidR="00A32CE8" w:rsidRPr="00DB3A1A">
        <w:rPr>
          <w:rFonts w:ascii="Times New Roman" w:hAnsi="Times New Roman" w:cs="Times New Roman"/>
          <w:sz w:val="24"/>
          <w:szCs w:val="24"/>
        </w:rPr>
        <w:t xml:space="preserve">kapitālsabiedrība </w:t>
      </w:r>
      <w:r w:rsidR="002B3473" w:rsidRPr="00DB3A1A">
        <w:rPr>
          <w:rFonts w:ascii="Times New Roman" w:hAnsi="Times New Roman" w:cs="Times New Roman"/>
          <w:sz w:val="24"/>
          <w:szCs w:val="24"/>
        </w:rPr>
        <w:t xml:space="preserve">VAS “Valsts nekustamie īpašumi” </w:t>
      </w:r>
      <w:r w:rsidRPr="00DB3A1A">
        <w:rPr>
          <w:rFonts w:ascii="Times New Roman" w:hAnsi="Times New Roman" w:cs="Times New Roman"/>
          <w:sz w:val="24"/>
          <w:szCs w:val="24"/>
        </w:rPr>
        <w:t xml:space="preserve">ir pārskatījušas savus plānotos izdevumus, kā rezultātā ir mainījusies šo kapitālsabiedrību ietekme uz vispārējās valdības budžeta bilanci, to uzlabojot </w:t>
      </w:r>
      <w:r w:rsidRPr="00DB3A1A">
        <w:rPr>
          <w:rFonts w:ascii="Times New Roman" w:hAnsi="Times New Roman" w:cs="Times New Roman"/>
          <w:bCs/>
          <w:sz w:val="24"/>
          <w:szCs w:val="24"/>
        </w:rPr>
        <w:t>2026.</w:t>
      </w:r>
      <w:r w:rsidRPr="00DB3A1A">
        <w:rPr>
          <w:rFonts w:ascii="Times New Roman" w:hAnsi="Times New Roman" w:cs="Times New Roman"/>
          <w:sz w:val="24"/>
          <w:szCs w:val="24"/>
        </w:rPr>
        <w:t>–</w:t>
      </w:r>
      <w:r w:rsidR="008E2BC8" w:rsidRPr="00DB3A1A">
        <w:rPr>
          <w:rFonts w:ascii="Times New Roman" w:hAnsi="Times New Roman" w:cs="Times New Roman"/>
          <w:bCs/>
          <w:sz w:val="24"/>
          <w:szCs w:val="24"/>
        </w:rPr>
        <w:t>2028</w:t>
      </w:r>
      <w:r w:rsidRPr="00DB3A1A">
        <w:rPr>
          <w:rFonts w:ascii="Times New Roman" w:hAnsi="Times New Roman" w:cs="Times New Roman"/>
          <w:bCs/>
          <w:sz w:val="24"/>
          <w:szCs w:val="24"/>
        </w:rPr>
        <w:t>. gadā</w:t>
      </w:r>
      <w:r w:rsidRPr="00DB3A1A">
        <w:rPr>
          <w:rFonts w:ascii="Times New Roman" w:hAnsi="Times New Roman" w:cs="Times New Roman"/>
          <w:sz w:val="24"/>
          <w:szCs w:val="24"/>
        </w:rPr>
        <w:t>.</w:t>
      </w:r>
    </w:p>
    <w:p w14:paraId="66542DD4" w14:textId="69A7D70F" w:rsidR="0025079F" w:rsidRPr="00DB3A1A" w:rsidRDefault="00F85BE4" w:rsidP="00F85BE4">
      <w:pPr>
        <w:pStyle w:val="ListParagraph"/>
        <w:spacing w:after="120" w:line="240" w:lineRule="auto"/>
        <w:ind w:left="0"/>
        <w:contextualSpacing w:val="0"/>
        <w:jc w:val="center"/>
        <w:rPr>
          <w:rFonts w:ascii="Times New Roman" w:eastAsia="Calibri" w:hAnsi="Times New Roman" w:cs="Times New Roman"/>
          <w:sz w:val="20"/>
          <w:szCs w:val="20"/>
        </w:rPr>
      </w:pPr>
      <w:r w:rsidRPr="00DB3A1A">
        <w:rPr>
          <w:rFonts w:ascii="Times New Roman" w:eastAsia="Calibri" w:hAnsi="Times New Roman" w:cs="Times New Roman"/>
          <w:sz w:val="20"/>
          <w:szCs w:val="20"/>
        </w:rPr>
        <w:t xml:space="preserve">2. </w:t>
      </w:r>
      <w:r w:rsidR="0025079F" w:rsidRPr="00DB3A1A">
        <w:rPr>
          <w:rFonts w:ascii="Times New Roman" w:eastAsia="Calibri" w:hAnsi="Times New Roman" w:cs="Times New Roman"/>
          <w:sz w:val="20"/>
          <w:szCs w:val="20"/>
        </w:rPr>
        <w:t>tab</w:t>
      </w:r>
      <w:r w:rsidR="0025079F" w:rsidRPr="00DB3A1A">
        <w:rPr>
          <w:rFonts w:ascii="Times New Roman" w:eastAsia="Calibri" w:hAnsi="Times New Roman" w:cs="Times New Roman"/>
          <w:bCs/>
          <w:sz w:val="20"/>
          <w:szCs w:val="20"/>
        </w:rPr>
        <w:t xml:space="preserve">ula. </w:t>
      </w:r>
      <w:r w:rsidR="0025079F" w:rsidRPr="00DB3A1A">
        <w:rPr>
          <w:rFonts w:ascii="Times New Roman" w:eastAsia="Calibri" w:hAnsi="Times New Roman" w:cs="Times New Roman"/>
          <w:b/>
          <w:sz w:val="20"/>
          <w:szCs w:val="20"/>
        </w:rPr>
        <w:t>Priekšlikuma indikatīva fiskālā ietekme</w:t>
      </w:r>
      <w:r w:rsidR="0025079F" w:rsidRPr="00DB3A1A">
        <w:rPr>
          <w:rFonts w:ascii="Times New Roman" w:eastAsia="Calibri" w:hAnsi="Times New Roman" w:cs="Times New Roman"/>
          <w:bCs/>
          <w:sz w:val="20"/>
          <w:szCs w:val="20"/>
        </w:rPr>
        <w:t>,</w:t>
      </w:r>
      <w:r w:rsidR="0025079F" w:rsidRPr="00DB3A1A">
        <w:rPr>
          <w:rFonts w:ascii="Times New Roman" w:eastAsia="Calibri" w:hAnsi="Times New Roman" w:cs="Times New Roman"/>
          <w:bCs/>
          <w:i/>
          <w:iCs/>
          <w:sz w:val="20"/>
          <w:szCs w:val="20"/>
        </w:rPr>
        <w:t> euro</w:t>
      </w:r>
    </w:p>
    <w:tbl>
      <w:tblPr>
        <w:tblStyle w:val="TableGrid1"/>
        <w:tblW w:w="9346" w:type="dxa"/>
        <w:tblInd w:w="5" w:type="dxa"/>
        <w:tblLook w:val="04A0" w:firstRow="1" w:lastRow="0" w:firstColumn="1" w:lastColumn="0" w:noHBand="0" w:noVBand="1"/>
      </w:tblPr>
      <w:tblGrid>
        <w:gridCol w:w="4090"/>
        <w:gridCol w:w="1752"/>
        <w:gridCol w:w="1752"/>
        <w:gridCol w:w="1752"/>
      </w:tblGrid>
      <w:tr w:rsidR="008E2BC8" w:rsidRPr="00DB3A1A" w14:paraId="53BB51FD" w14:textId="77777777" w:rsidTr="005A01C0">
        <w:tc>
          <w:tcPr>
            <w:tcW w:w="3969" w:type="dxa"/>
            <w:shd w:val="clear" w:color="auto" w:fill="FFFFFF"/>
          </w:tcPr>
          <w:p w14:paraId="466F17B3" w14:textId="77777777" w:rsidR="008E2BC8" w:rsidRPr="00DB3A1A" w:rsidRDefault="008E2BC8" w:rsidP="0003348B">
            <w:pPr>
              <w:pStyle w:val="ListParagraph"/>
              <w:spacing w:after="120"/>
              <w:ind w:left="0"/>
              <w:contextualSpacing w:val="0"/>
              <w:jc w:val="both"/>
              <w:rPr>
                <w:rFonts w:ascii="Times New Roman" w:hAnsi="Times New Roman"/>
                <w:b/>
                <w:bCs/>
                <w:sz w:val="20"/>
                <w:szCs w:val="20"/>
              </w:rPr>
            </w:pPr>
          </w:p>
        </w:tc>
        <w:tc>
          <w:tcPr>
            <w:tcW w:w="1701" w:type="dxa"/>
            <w:shd w:val="clear" w:color="auto" w:fill="FFFFFF"/>
            <w:vAlign w:val="bottom"/>
          </w:tcPr>
          <w:p w14:paraId="2EED0745" w14:textId="77777777" w:rsidR="008E2BC8" w:rsidRPr="00DB3A1A" w:rsidRDefault="008E2BC8" w:rsidP="0003348B">
            <w:pPr>
              <w:pStyle w:val="ListParagraph"/>
              <w:spacing w:after="120"/>
              <w:ind w:left="0"/>
              <w:contextualSpacing w:val="0"/>
              <w:jc w:val="center"/>
              <w:rPr>
                <w:rFonts w:ascii="Times New Roman" w:hAnsi="Times New Roman"/>
                <w:b/>
                <w:bCs/>
                <w:sz w:val="20"/>
                <w:szCs w:val="20"/>
              </w:rPr>
            </w:pPr>
            <w:r w:rsidRPr="00DB3A1A">
              <w:rPr>
                <w:rFonts w:ascii="Times New Roman" w:hAnsi="Times New Roman"/>
                <w:b/>
                <w:bCs/>
                <w:sz w:val="20"/>
                <w:szCs w:val="20"/>
              </w:rPr>
              <w:t>2026</w:t>
            </w:r>
          </w:p>
        </w:tc>
        <w:tc>
          <w:tcPr>
            <w:tcW w:w="1701" w:type="dxa"/>
            <w:shd w:val="clear" w:color="auto" w:fill="FFFFFF"/>
            <w:vAlign w:val="bottom"/>
          </w:tcPr>
          <w:p w14:paraId="563CA25B" w14:textId="77777777" w:rsidR="008E2BC8" w:rsidRPr="00DB3A1A" w:rsidRDefault="008E2BC8" w:rsidP="0003348B">
            <w:pPr>
              <w:pStyle w:val="ListParagraph"/>
              <w:spacing w:after="120"/>
              <w:ind w:left="0"/>
              <w:contextualSpacing w:val="0"/>
              <w:jc w:val="center"/>
              <w:rPr>
                <w:rFonts w:ascii="Times New Roman" w:hAnsi="Times New Roman"/>
                <w:b/>
                <w:bCs/>
                <w:sz w:val="20"/>
                <w:szCs w:val="20"/>
              </w:rPr>
            </w:pPr>
            <w:r w:rsidRPr="00DB3A1A">
              <w:rPr>
                <w:rFonts w:ascii="Times New Roman" w:hAnsi="Times New Roman"/>
                <w:b/>
                <w:bCs/>
                <w:sz w:val="20"/>
                <w:szCs w:val="20"/>
              </w:rPr>
              <w:t>2027</w:t>
            </w:r>
          </w:p>
        </w:tc>
        <w:tc>
          <w:tcPr>
            <w:tcW w:w="1701" w:type="dxa"/>
            <w:shd w:val="clear" w:color="auto" w:fill="FFFFFF"/>
            <w:vAlign w:val="bottom"/>
          </w:tcPr>
          <w:p w14:paraId="6F2D510D" w14:textId="77777777" w:rsidR="008E2BC8" w:rsidRPr="00DB3A1A" w:rsidRDefault="008E2BC8" w:rsidP="0003348B">
            <w:pPr>
              <w:pStyle w:val="ListParagraph"/>
              <w:spacing w:after="120"/>
              <w:ind w:left="0"/>
              <w:contextualSpacing w:val="0"/>
              <w:jc w:val="center"/>
              <w:rPr>
                <w:rFonts w:ascii="Times New Roman" w:hAnsi="Times New Roman"/>
                <w:b/>
                <w:bCs/>
                <w:sz w:val="20"/>
                <w:szCs w:val="20"/>
              </w:rPr>
            </w:pPr>
            <w:r w:rsidRPr="00DB3A1A">
              <w:rPr>
                <w:rFonts w:ascii="Times New Roman" w:hAnsi="Times New Roman"/>
                <w:b/>
                <w:bCs/>
                <w:sz w:val="20"/>
                <w:szCs w:val="20"/>
              </w:rPr>
              <w:t>2028</w:t>
            </w:r>
          </w:p>
        </w:tc>
      </w:tr>
      <w:tr w:rsidR="008E2BC8" w:rsidRPr="00DB3A1A" w14:paraId="3E8B56B7" w14:textId="77777777" w:rsidTr="005A01C0">
        <w:tc>
          <w:tcPr>
            <w:tcW w:w="3969" w:type="dxa"/>
            <w:vAlign w:val="center"/>
          </w:tcPr>
          <w:p w14:paraId="54452E47" w14:textId="0B734BBC" w:rsidR="008E2BC8" w:rsidRPr="00DB3A1A" w:rsidRDefault="008E2BC8" w:rsidP="0003348B">
            <w:pPr>
              <w:pStyle w:val="ListParagraph"/>
              <w:spacing w:after="120"/>
              <w:ind w:left="0"/>
              <w:contextualSpacing w:val="0"/>
              <w:jc w:val="both"/>
              <w:rPr>
                <w:rFonts w:ascii="Times New Roman" w:hAnsi="Times New Roman"/>
                <w:sz w:val="20"/>
                <w:szCs w:val="20"/>
              </w:rPr>
            </w:pPr>
            <w:r w:rsidRPr="00DB3A1A">
              <w:rPr>
                <w:rFonts w:ascii="Times New Roman" w:hAnsi="Times New Roman"/>
                <w:sz w:val="20"/>
                <w:szCs w:val="20"/>
              </w:rPr>
              <w:t>VAS “Valsts nekustamie īpašumi”</w:t>
            </w:r>
          </w:p>
        </w:tc>
        <w:tc>
          <w:tcPr>
            <w:tcW w:w="1701" w:type="dxa"/>
          </w:tcPr>
          <w:p w14:paraId="7D0D2BB0" w14:textId="7D01091C" w:rsidR="008E2BC8" w:rsidRPr="00DB3A1A" w:rsidRDefault="008E2BC8" w:rsidP="0003348B">
            <w:pPr>
              <w:pStyle w:val="ListParagraph"/>
              <w:spacing w:after="120"/>
              <w:ind w:left="0"/>
              <w:contextualSpacing w:val="0"/>
              <w:jc w:val="right"/>
              <w:rPr>
                <w:rFonts w:ascii="Times New Roman" w:hAnsi="Times New Roman"/>
                <w:sz w:val="20"/>
                <w:szCs w:val="20"/>
              </w:rPr>
            </w:pPr>
            <w:r w:rsidRPr="00DB3A1A">
              <w:rPr>
                <w:rFonts w:ascii="Times New Roman" w:hAnsi="Times New Roman"/>
                <w:sz w:val="20"/>
                <w:szCs w:val="20"/>
              </w:rPr>
              <w:t>+2 300 000</w:t>
            </w:r>
          </w:p>
        </w:tc>
        <w:tc>
          <w:tcPr>
            <w:tcW w:w="1701" w:type="dxa"/>
          </w:tcPr>
          <w:p w14:paraId="7D51ED3B" w14:textId="361D6361" w:rsidR="008E2BC8" w:rsidRPr="00DB3A1A" w:rsidRDefault="008E2BC8" w:rsidP="0003348B">
            <w:pPr>
              <w:pStyle w:val="ListParagraph"/>
              <w:spacing w:after="120"/>
              <w:ind w:left="0"/>
              <w:contextualSpacing w:val="0"/>
              <w:jc w:val="right"/>
              <w:rPr>
                <w:rFonts w:ascii="Times New Roman" w:hAnsi="Times New Roman"/>
                <w:sz w:val="20"/>
                <w:szCs w:val="20"/>
              </w:rPr>
            </w:pPr>
            <w:r w:rsidRPr="00DB3A1A">
              <w:rPr>
                <w:rFonts w:ascii="Times New Roman" w:hAnsi="Times New Roman"/>
                <w:sz w:val="20"/>
                <w:szCs w:val="20"/>
              </w:rPr>
              <w:t xml:space="preserve"> +2 300 000</w:t>
            </w:r>
          </w:p>
        </w:tc>
        <w:tc>
          <w:tcPr>
            <w:tcW w:w="1701" w:type="dxa"/>
          </w:tcPr>
          <w:p w14:paraId="4B06D8A9" w14:textId="2373DAFC" w:rsidR="008E2BC8" w:rsidRPr="00DB3A1A" w:rsidRDefault="008E2BC8" w:rsidP="0003348B">
            <w:pPr>
              <w:pStyle w:val="ListParagraph"/>
              <w:spacing w:after="120"/>
              <w:ind w:left="0"/>
              <w:contextualSpacing w:val="0"/>
              <w:jc w:val="right"/>
              <w:rPr>
                <w:rFonts w:ascii="Times New Roman" w:hAnsi="Times New Roman"/>
                <w:sz w:val="20"/>
                <w:szCs w:val="20"/>
              </w:rPr>
            </w:pPr>
            <w:r w:rsidRPr="00DB3A1A">
              <w:rPr>
                <w:rFonts w:ascii="Times New Roman" w:hAnsi="Times New Roman"/>
                <w:sz w:val="20"/>
                <w:szCs w:val="20"/>
              </w:rPr>
              <w:t>+2 600 000</w:t>
            </w:r>
          </w:p>
        </w:tc>
      </w:tr>
      <w:tr w:rsidR="008E2BC8" w:rsidRPr="00DB3A1A" w14:paraId="737E0CFC" w14:textId="77777777" w:rsidTr="005A01C0">
        <w:tc>
          <w:tcPr>
            <w:tcW w:w="3969" w:type="dxa"/>
            <w:vAlign w:val="center"/>
          </w:tcPr>
          <w:p w14:paraId="028A6FCB" w14:textId="2F0CA583" w:rsidR="008E2BC8" w:rsidRPr="00DB3A1A" w:rsidRDefault="008E2BC8" w:rsidP="0003348B">
            <w:pPr>
              <w:pStyle w:val="ListParagraph"/>
              <w:spacing w:after="120"/>
              <w:ind w:left="0"/>
              <w:contextualSpacing w:val="0"/>
              <w:jc w:val="both"/>
              <w:rPr>
                <w:rFonts w:ascii="Times New Roman" w:hAnsi="Times New Roman"/>
                <w:sz w:val="20"/>
                <w:szCs w:val="20"/>
              </w:rPr>
            </w:pPr>
            <w:r w:rsidRPr="00DB3A1A">
              <w:rPr>
                <w:rFonts w:ascii="Times New Roman" w:hAnsi="Times New Roman"/>
                <w:sz w:val="20"/>
                <w:szCs w:val="20"/>
              </w:rPr>
              <w:t>VAS “Latvijas dzelzceļš”</w:t>
            </w:r>
          </w:p>
        </w:tc>
        <w:tc>
          <w:tcPr>
            <w:tcW w:w="1701" w:type="dxa"/>
          </w:tcPr>
          <w:p w14:paraId="13EF72E6" w14:textId="22CDF6A4" w:rsidR="008E2BC8" w:rsidRPr="00DB3A1A" w:rsidRDefault="008E2BC8" w:rsidP="00AA0301">
            <w:pPr>
              <w:pStyle w:val="ListParagraph"/>
              <w:spacing w:after="120"/>
              <w:ind w:left="0"/>
              <w:contextualSpacing w:val="0"/>
              <w:jc w:val="right"/>
              <w:rPr>
                <w:rFonts w:ascii="Times New Roman" w:hAnsi="Times New Roman"/>
                <w:sz w:val="20"/>
                <w:szCs w:val="20"/>
              </w:rPr>
            </w:pPr>
            <w:r w:rsidRPr="00DB3A1A">
              <w:rPr>
                <w:rFonts w:ascii="Times New Roman" w:hAnsi="Times New Roman"/>
                <w:sz w:val="20"/>
                <w:szCs w:val="20"/>
              </w:rPr>
              <w:t>+61 660</w:t>
            </w:r>
          </w:p>
        </w:tc>
        <w:tc>
          <w:tcPr>
            <w:tcW w:w="1701" w:type="dxa"/>
          </w:tcPr>
          <w:p w14:paraId="6417A537" w14:textId="1ECF91FE" w:rsidR="008E2BC8" w:rsidRPr="00DB3A1A" w:rsidRDefault="008E2BC8" w:rsidP="0003348B">
            <w:pPr>
              <w:pStyle w:val="ListParagraph"/>
              <w:spacing w:after="120"/>
              <w:ind w:left="0"/>
              <w:contextualSpacing w:val="0"/>
              <w:jc w:val="right"/>
              <w:rPr>
                <w:rFonts w:ascii="Times New Roman" w:hAnsi="Times New Roman"/>
                <w:sz w:val="20"/>
                <w:szCs w:val="20"/>
              </w:rPr>
            </w:pPr>
            <w:r w:rsidRPr="00DB3A1A">
              <w:rPr>
                <w:rFonts w:ascii="Times New Roman" w:hAnsi="Times New Roman"/>
                <w:sz w:val="20"/>
                <w:szCs w:val="20"/>
              </w:rPr>
              <w:t>+7 851 231</w:t>
            </w:r>
          </w:p>
        </w:tc>
        <w:tc>
          <w:tcPr>
            <w:tcW w:w="1701" w:type="dxa"/>
          </w:tcPr>
          <w:p w14:paraId="7A2A20A5" w14:textId="04D619E6" w:rsidR="008E2BC8" w:rsidRPr="00DB3A1A" w:rsidRDefault="008E2BC8" w:rsidP="006455D7">
            <w:pPr>
              <w:pStyle w:val="ListParagraph"/>
              <w:spacing w:after="120"/>
              <w:ind w:left="0"/>
              <w:contextualSpacing w:val="0"/>
              <w:jc w:val="right"/>
              <w:rPr>
                <w:rFonts w:ascii="Times New Roman" w:hAnsi="Times New Roman"/>
                <w:sz w:val="20"/>
                <w:szCs w:val="20"/>
              </w:rPr>
            </w:pPr>
            <w:r w:rsidRPr="00DB3A1A">
              <w:rPr>
                <w:rFonts w:ascii="Times New Roman" w:hAnsi="Times New Roman"/>
                <w:sz w:val="20"/>
                <w:szCs w:val="20"/>
              </w:rPr>
              <w:t>+497 898</w:t>
            </w:r>
          </w:p>
        </w:tc>
      </w:tr>
      <w:tr w:rsidR="008E2BC8" w:rsidRPr="00DB3A1A" w14:paraId="0994A2F2" w14:textId="77777777" w:rsidTr="005A01C0">
        <w:tc>
          <w:tcPr>
            <w:tcW w:w="3969" w:type="dxa"/>
            <w:shd w:val="clear" w:color="auto" w:fill="E7E6E6"/>
            <w:vAlign w:val="center"/>
          </w:tcPr>
          <w:p w14:paraId="45C5182E" w14:textId="68CD166D" w:rsidR="008E2BC8" w:rsidRPr="00DB3A1A" w:rsidRDefault="008E2BC8" w:rsidP="0003348B">
            <w:pPr>
              <w:pStyle w:val="ListParagraph"/>
              <w:spacing w:after="120"/>
              <w:ind w:left="0"/>
              <w:contextualSpacing w:val="0"/>
              <w:jc w:val="both"/>
              <w:rPr>
                <w:rFonts w:ascii="Times New Roman" w:hAnsi="Times New Roman"/>
                <w:b/>
                <w:bCs/>
                <w:sz w:val="20"/>
                <w:szCs w:val="20"/>
              </w:rPr>
            </w:pPr>
            <w:r w:rsidRPr="00DB3A1A">
              <w:rPr>
                <w:rFonts w:ascii="Times New Roman" w:hAnsi="Times New Roman"/>
                <w:b/>
                <w:bCs/>
                <w:sz w:val="20"/>
                <w:szCs w:val="20"/>
              </w:rPr>
              <w:t>KOPĀ</w:t>
            </w:r>
          </w:p>
        </w:tc>
        <w:tc>
          <w:tcPr>
            <w:tcW w:w="1701" w:type="dxa"/>
            <w:shd w:val="clear" w:color="auto" w:fill="E7E6E6"/>
          </w:tcPr>
          <w:p w14:paraId="353D87A2" w14:textId="5C06819B" w:rsidR="008E2BC8" w:rsidRPr="00DB3A1A" w:rsidRDefault="008E2BC8" w:rsidP="0003348B">
            <w:pPr>
              <w:pStyle w:val="ListParagraph"/>
              <w:spacing w:after="120"/>
              <w:ind w:left="0"/>
              <w:contextualSpacing w:val="0"/>
              <w:jc w:val="right"/>
              <w:rPr>
                <w:rFonts w:ascii="Times New Roman" w:hAnsi="Times New Roman"/>
                <w:b/>
                <w:bCs/>
                <w:sz w:val="20"/>
                <w:szCs w:val="20"/>
              </w:rPr>
            </w:pPr>
            <w:r w:rsidRPr="00DB3A1A">
              <w:rPr>
                <w:rFonts w:ascii="Times New Roman" w:hAnsi="Times New Roman"/>
                <w:b/>
                <w:bCs/>
                <w:sz w:val="20"/>
                <w:szCs w:val="20"/>
              </w:rPr>
              <w:t>+2 361 660</w:t>
            </w:r>
          </w:p>
        </w:tc>
        <w:tc>
          <w:tcPr>
            <w:tcW w:w="1701" w:type="dxa"/>
            <w:shd w:val="clear" w:color="auto" w:fill="E7E6E6"/>
          </w:tcPr>
          <w:p w14:paraId="14893369" w14:textId="7372AF50" w:rsidR="008E2BC8" w:rsidRPr="00DB3A1A" w:rsidRDefault="008E2BC8" w:rsidP="0003348B">
            <w:pPr>
              <w:pStyle w:val="ListParagraph"/>
              <w:spacing w:after="120"/>
              <w:ind w:left="0"/>
              <w:contextualSpacing w:val="0"/>
              <w:jc w:val="right"/>
              <w:rPr>
                <w:rFonts w:ascii="Times New Roman" w:hAnsi="Times New Roman"/>
                <w:b/>
                <w:bCs/>
                <w:sz w:val="20"/>
                <w:szCs w:val="20"/>
              </w:rPr>
            </w:pPr>
            <w:r w:rsidRPr="00DB3A1A">
              <w:rPr>
                <w:rFonts w:ascii="Times New Roman" w:hAnsi="Times New Roman"/>
                <w:b/>
                <w:bCs/>
                <w:sz w:val="20"/>
                <w:szCs w:val="20"/>
              </w:rPr>
              <w:t>+10 151 231</w:t>
            </w:r>
          </w:p>
        </w:tc>
        <w:tc>
          <w:tcPr>
            <w:tcW w:w="1701" w:type="dxa"/>
            <w:shd w:val="clear" w:color="auto" w:fill="E7E6E6"/>
          </w:tcPr>
          <w:p w14:paraId="6E8609A6" w14:textId="5AD48072" w:rsidR="008E2BC8" w:rsidRPr="00DB3A1A" w:rsidRDefault="008E2BC8" w:rsidP="0003348B">
            <w:pPr>
              <w:pStyle w:val="ListParagraph"/>
              <w:spacing w:after="120"/>
              <w:ind w:left="0"/>
              <w:contextualSpacing w:val="0"/>
              <w:jc w:val="right"/>
              <w:rPr>
                <w:rFonts w:ascii="Times New Roman" w:hAnsi="Times New Roman"/>
                <w:b/>
                <w:bCs/>
                <w:sz w:val="20"/>
                <w:szCs w:val="20"/>
              </w:rPr>
            </w:pPr>
            <w:r w:rsidRPr="00DB3A1A">
              <w:rPr>
                <w:rFonts w:ascii="Times New Roman" w:hAnsi="Times New Roman"/>
                <w:b/>
                <w:bCs/>
                <w:sz w:val="20"/>
                <w:szCs w:val="20"/>
              </w:rPr>
              <w:t>+3 097 898</w:t>
            </w:r>
          </w:p>
        </w:tc>
      </w:tr>
    </w:tbl>
    <w:p w14:paraId="509E5C9F" w14:textId="77777777" w:rsidR="0025079F" w:rsidRPr="00DB3A1A" w:rsidRDefault="0025079F" w:rsidP="00C03FB1">
      <w:pPr>
        <w:spacing w:after="120" w:line="240" w:lineRule="auto"/>
        <w:jc w:val="both"/>
        <w:rPr>
          <w:rFonts w:ascii="Times New Roman" w:hAnsi="Times New Roman" w:cs="Times New Roman"/>
          <w:b/>
          <w:sz w:val="24"/>
          <w:szCs w:val="24"/>
        </w:rPr>
      </w:pPr>
    </w:p>
    <w:p w14:paraId="1BA0FBCE" w14:textId="75FB0089" w:rsidR="002F6E37" w:rsidRPr="00DB3A1A" w:rsidRDefault="00D55A32" w:rsidP="00B1512C">
      <w:pPr>
        <w:pStyle w:val="ListParagraph"/>
        <w:numPr>
          <w:ilvl w:val="2"/>
          <w:numId w:val="15"/>
        </w:numPr>
        <w:shd w:val="clear" w:color="auto" w:fill="FFF2CC" w:themeFill="accent4" w:themeFillTint="33"/>
        <w:spacing w:after="120" w:line="240" w:lineRule="auto"/>
        <w:jc w:val="both"/>
        <w:rPr>
          <w:rFonts w:ascii="Times New Roman" w:hAnsi="Times New Roman" w:cs="Times New Roman"/>
          <w:b/>
          <w:sz w:val="28"/>
          <w:szCs w:val="28"/>
        </w:rPr>
      </w:pPr>
      <w:r w:rsidRPr="00DB3A1A">
        <w:rPr>
          <w:rFonts w:ascii="Times New Roman" w:hAnsi="Times New Roman" w:cs="Times New Roman"/>
          <w:b/>
          <w:sz w:val="28"/>
          <w:szCs w:val="28"/>
        </w:rPr>
        <w:t>Speciālā budžeta izdevumu pārskatīšana</w:t>
      </w:r>
    </w:p>
    <w:p w14:paraId="0D7D02F1" w14:textId="77777777" w:rsidR="008F581A" w:rsidRPr="00DB3A1A" w:rsidRDefault="008F581A" w:rsidP="007E3C99">
      <w:pPr>
        <w:spacing w:after="120" w:line="240" w:lineRule="auto"/>
        <w:ind w:firstLine="720"/>
        <w:jc w:val="both"/>
        <w:rPr>
          <w:rFonts w:ascii="Times New Roman" w:hAnsi="Times New Roman" w:cs="Times New Roman"/>
          <w:i/>
          <w:iCs/>
          <w:sz w:val="24"/>
          <w:szCs w:val="24"/>
        </w:rPr>
      </w:pPr>
      <w:r w:rsidRPr="00DB3A1A">
        <w:rPr>
          <w:rFonts w:ascii="Times New Roman" w:hAnsi="Times New Roman" w:cs="Times New Roman"/>
          <w:sz w:val="24"/>
          <w:szCs w:val="24"/>
        </w:rPr>
        <w:t xml:space="preserve">Labklājības ministrija (turpmāk – LM), veicot detalizētu speciālā budžeta izdevumu analīzi 2025. gada 8 mēnešos, ir secinājusi, ka atbilstoši 2025. gada izpildes tendencēm slimības pabalsta </w:t>
      </w:r>
      <w:r w:rsidRPr="00DB3A1A">
        <w:rPr>
          <w:rFonts w:ascii="Times New Roman" w:hAnsi="Times New Roman" w:cs="Times New Roman"/>
          <w:sz w:val="24"/>
          <w:szCs w:val="24"/>
        </w:rPr>
        <w:lastRenderedPageBreak/>
        <w:t xml:space="preserve">izmaksām 2025.gadā būs nepieciešams mazāks finansējums nekā prognozēts uz 2025.gada jūliju, t.i. indikatīvi 1,1 milj. </w:t>
      </w:r>
      <w:r w:rsidRPr="00DB3A1A">
        <w:rPr>
          <w:rFonts w:ascii="Times New Roman" w:hAnsi="Times New Roman" w:cs="Times New Roman"/>
          <w:i/>
          <w:iCs/>
          <w:sz w:val="24"/>
          <w:szCs w:val="24"/>
        </w:rPr>
        <w:t>euro</w:t>
      </w:r>
      <w:r w:rsidRPr="00DB3A1A">
        <w:rPr>
          <w:rFonts w:ascii="Times New Roman" w:hAnsi="Times New Roman" w:cs="Times New Roman"/>
          <w:sz w:val="24"/>
          <w:szCs w:val="24"/>
        </w:rPr>
        <w:t xml:space="preserve"> apmērā, saistībā ar to, ka slimības pabalsta apmērs nesasniedz prognozēto līmeni.</w:t>
      </w:r>
      <w:r w:rsidRPr="00DB3A1A">
        <w:rPr>
          <w:rFonts w:ascii="Times New Roman" w:hAnsi="Times New Roman" w:cs="Times New Roman"/>
          <w:i/>
          <w:iCs/>
          <w:sz w:val="24"/>
          <w:szCs w:val="24"/>
        </w:rPr>
        <w:t xml:space="preserve"> </w:t>
      </w:r>
    </w:p>
    <w:p w14:paraId="0FE6893B" w14:textId="5F2C6004" w:rsidR="008F581A" w:rsidRPr="00DB3A1A" w:rsidRDefault="008F581A" w:rsidP="007E3C99">
      <w:pPr>
        <w:spacing w:after="120" w:line="240" w:lineRule="auto"/>
        <w:ind w:firstLine="720"/>
        <w:jc w:val="both"/>
        <w:rPr>
          <w:rFonts w:ascii="Times New Roman" w:hAnsi="Times New Roman" w:cs="Times New Roman"/>
          <w:sz w:val="24"/>
          <w:szCs w:val="24"/>
        </w:rPr>
      </w:pPr>
      <w:r w:rsidRPr="00DB3A1A">
        <w:rPr>
          <w:rFonts w:ascii="Times New Roman" w:hAnsi="Times New Roman" w:cs="Times New Roman"/>
          <w:sz w:val="24"/>
          <w:szCs w:val="24"/>
        </w:rPr>
        <w:t>Sagatavojot 2026.–</w:t>
      </w:r>
      <w:r w:rsidR="008E2BC8" w:rsidRPr="00DB3A1A">
        <w:rPr>
          <w:rFonts w:ascii="Times New Roman" w:hAnsi="Times New Roman" w:cs="Times New Roman"/>
          <w:sz w:val="24"/>
          <w:szCs w:val="24"/>
        </w:rPr>
        <w:t>2028</w:t>
      </w:r>
      <w:r w:rsidRPr="00DB3A1A">
        <w:rPr>
          <w:rFonts w:ascii="Times New Roman" w:hAnsi="Times New Roman" w:cs="Times New Roman"/>
          <w:sz w:val="24"/>
          <w:szCs w:val="24"/>
        </w:rPr>
        <w:t xml:space="preserve">. gada speciālā budžeta bāzes projektu, tika analizēta 2025. gada 5 mēnešu izpilde un veiktas prognozes līdz gada beigām, kas ietekmē turpmāko gadu budžeta rādītāju izmaiņu prognozes. Attiecīgi, LM ir pārskatījusi arī turpmāko gadu speciālā budžeta rezultatīvo rādītāju un izdevumu prognozes, un prognozē, ka rezultatīvie rādītāji (pabalsta apmērs) un attiecīgi izdevumi slimības pabalstiem nesasniegs plānotos arī 2026.–2028. gadā: </w:t>
      </w:r>
    </w:p>
    <w:p w14:paraId="6DBAC82B" w14:textId="0D0EA305" w:rsidR="00923EBE" w:rsidRPr="00DB3A1A" w:rsidRDefault="00F85BE4" w:rsidP="00F85BE4">
      <w:pPr>
        <w:pStyle w:val="ListParagraph"/>
        <w:spacing w:before="160" w:after="120" w:line="240" w:lineRule="auto"/>
        <w:ind w:left="0"/>
        <w:contextualSpacing w:val="0"/>
        <w:jc w:val="center"/>
        <w:rPr>
          <w:rFonts w:ascii="Times New Roman" w:hAnsi="Times New Roman" w:cs="Times New Roman"/>
          <w:sz w:val="20"/>
          <w:szCs w:val="20"/>
        </w:rPr>
      </w:pPr>
      <w:r w:rsidRPr="00DB3A1A">
        <w:rPr>
          <w:rFonts w:ascii="Times New Roman" w:eastAsia="Calibri" w:hAnsi="Times New Roman" w:cs="Times New Roman"/>
          <w:bCs/>
          <w:sz w:val="20"/>
          <w:szCs w:val="20"/>
        </w:rPr>
        <w:t xml:space="preserve">3. </w:t>
      </w:r>
      <w:r w:rsidR="00923EBE" w:rsidRPr="00DB3A1A">
        <w:rPr>
          <w:rFonts w:ascii="Times New Roman" w:eastAsia="Calibri" w:hAnsi="Times New Roman" w:cs="Times New Roman"/>
          <w:bCs/>
          <w:sz w:val="20"/>
          <w:szCs w:val="20"/>
        </w:rPr>
        <w:t xml:space="preserve">tabula. </w:t>
      </w:r>
      <w:r w:rsidR="00923EBE" w:rsidRPr="00DB3A1A">
        <w:rPr>
          <w:rFonts w:ascii="Times New Roman" w:eastAsia="Calibri" w:hAnsi="Times New Roman" w:cs="Times New Roman"/>
          <w:b/>
          <w:sz w:val="20"/>
          <w:szCs w:val="20"/>
        </w:rPr>
        <w:t>Slimības pabalsts</w:t>
      </w:r>
      <w:r w:rsidR="00923EBE" w:rsidRPr="00DB3A1A">
        <w:rPr>
          <w:rFonts w:ascii="Times New Roman" w:eastAsia="Calibri" w:hAnsi="Times New Roman" w:cs="Times New Roman"/>
          <w:bCs/>
          <w:sz w:val="20"/>
          <w:szCs w:val="20"/>
        </w:rPr>
        <w:t>,</w:t>
      </w:r>
      <w:r w:rsidR="00923EBE" w:rsidRPr="00DB3A1A">
        <w:rPr>
          <w:rFonts w:ascii="Times New Roman" w:eastAsia="Calibri" w:hAnsi="Times New Roman" w:cs="Times New Roman"/>
          <w:bCs/>
          <w:i/>
          <w:iCs/>
          <w:sz w:val="20"/>
          <w:szCs w:val="20"/>
        </w:rPr>
        <w:t> euro</w:t>
      </w:r>
    </w:p>
    <w:tbl>
      <w:tblPr>
        <w:tblW w:w="9923" w:type="dxa"/>
        <w:tblInd w:w="-147" w:type="dxa"/>
        <w:tblLook w:val="04A0" w:firstRow="1" w:lastRow="0" w:firstColumn="1" w:lastColumn="0" w:noHBand="0" w:noVBand="1"/>
      </w:tblPr>
      <w:tblGrid>
        <w:gridCol w:w="914"/>
        <w:gridCol w:w="1071"/>
        <w:gridCol w:w="992"/>
        <w:gridCol w:w="993"/>
        <w:gridCol w:w="992"/>
        <w:gridCol w:w="1044"/>
        <w:gridCol w:w="940"/>
        <w:gridCol w:w="993"/>
        <w:gridCol w:w="992"/>
        <w:gridCol w:w="992"/>
      </w:tblGrid>
      <w:tr w:rsidR="00B43C91" w:rsidRPr="00DB3A1A" w14:paraId="6D321405" w14:textId="77777777" w:rsidTr="00B43C91">
        <w:trPr>
          <w:trHeight w:val="729"/>
        </w:trPr>
        <w:tc>
          <w:tcPr>
            <w:tcW w:w="914" w:type="dxa"/>
            <w:tcBorders>
              <w:top w:val="single" w:sz="4" w:space="0" w:color="auto"/>
              <w:left w:val="single" w:sz="4" w:space="0" w:color="auto"/>
              <w:bottom w:val="single" w:sz="4" w:space="0" w:color="auto"/>
              <w:right w:val="single" w:sz="4" w:space="0" w:color="auto"/>
            </w:tcBorders>
            <w:noWrap/>
            <w:vAlign w:val="center"/>
            <w:hideMark/>
          </w:tcPr>
          <w:p w14:paraId="0596AB10" w14:textId="77777777" w:rsidR="00923EBE" w:rsidRPr="00DB3A1A" w:rsidRDefault="00923EBE" w:rsidP="00923EBE">
            <w:pPr>
              <w:spacing w:after="0" w:line="240" w:lineRule="auto"/>
              <w:rPr>
                <w:rFonts w:ascii="Times New Roman" w:eastAsia="Times New Roman" w:hAnsi="Times New Roman" w:cs="Times New Roman"/>
                <w:b/>
                <w:bCs/>
                <w:sz w:val="16"/>
                <w:szCs w:val="16"/>
                <w:lang w:eastAsia="lv-LV"/>
              </w:rPr>
            </w:pPr>
            <w:r w:rsidRPr="00DB3A1A">
              <w:rPr>
                <w:rFonts w:ascii="Times New Roman" w:eastAsia="Times New Roman" w:hAnsi="Times New Roman" w:cs="Times New Roman"/>
                <w:b/>
                <w:bCs/>
                <w:sz w:val="16"/>
                <w:szCs w:val="16"/>
                <w:lang w:eastAsia="lv-LV"/>
              </w:rPr>
              <w:t> </w:t>
            </w:r>
          </w:p>
        </w:tc>
        <w:tc>
          <w:tcPr>
            <w:tcW w:w="1071" w:type="dxa"/>
            <w:tcBorders>
              <w:top w:val="single" w:sz="4" w:space="0" w:color="auto"/>
              <w:left w:val="nil"/>
              <w:bottom w:val="single" w:sz="4" w:space="0" w:color="auto"/>
              <w:right w:val="single" w:sz="4" w:space="0" w:color="auto"/>
            </w:tcBorders>
            <w:vAlign w:val="center"/>
            <w:hideMark/>
          </w:tcPr>
          <w:p w14:paraId="002D2BEE" w14:textId="77777777" w:rsidR="00923EBE" w:rsidRPr="00DB3A1A" w:rsidRDefault="00923EBE" w:rsidP="00923EBE">
            <w:pPr>
              <w:spacing w:after="0" w:line="240" w:lineRule="auto"/>
              <w:jc w:val="center"/>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2026.gada bāzes projekts</w:t>
            </w:r>
          </w:p>
        </w:tc>
        <w:tc>
          <w:tcPr>
            <w:tcW w:w="992" w:type="dxa"/>
            <w:tcBorders>
              <w:top w:val="single" w:sz="4" w:space="0" w:color="auto"/>
              <w:left w:val="nil"/>
              <w:bottom w:val="single" w:sz="4" w:space="0" w:color="auto"/>
              <w:right w:val="single" w:sz="4" w:space="0" w:color="auto"/>
            </w:tcBorders>
            <w:vAlign w:val="center"/>
            <w:hideMark/>
          </w:tcPr>
          <w:p w14:paraId="5FFAF5E4" w14:textId="77777777" w:rsidR="00923EBE" w:rsidRPr="00DB3A1A" w:rsidRDefault="00923EBE" w:rsidP="00923EBE">
            <w:pPr>
              <w:spacing w:after="0" w:line="240" w:lineRule="auto"/>
              <w:jc w:val="center"/>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2026.gada prognoze</w:t>
            </w:r>
          </w:p>
        </w:tc>
        <w:tc>
          <w:tcPr>
            <w:tcW w:w="993" w:type="dxa"/>
            <w:tcBorders>
              <w:top w:val="single" w:sz="4" w:space="0" w:color="auto"/>
              <w:left w:val="nil"/>
              <w:bottom w:val="single" w:sz="4" w:space="0" w:color="auto"/>
              <w:right w:val="single" w:sz="4" w:space="0" w:color="auto"/>
            </w:tcBorders>
            <w:noWrap/>
            <w:vAlign w:val="center"/>
            <w:hideMark/>
          </w:tcPr>
          <w:p w14:paraId="39B82105" w14:textId="77777777" w:rsidR="00923EBE" w:rsidRPr="00DB3A1A" w:rsidRDefault="00923EBE" w:rsidP="00923EBE">
            <w:pPr>
              <w:spacing w:after="0" w:line="240" w:lineRule="auto"/>
              <w:jc w:val="center"/>
              <w:rPr>
                <w:rFonts w:ascii="Times New Roman" w:eastAsia="Times New Roman" w:hAnsi="Times New Roman" w:cs="Times New Roman"/>
                <w:color w:val="FF0000"/>
                <w:sz w:val="16"/>
                <w:szCs w:val="16"/>
                <w:lang w:eastAsia="lv-LV"/>
              </w:rPr>
            </w:pPr>
            <w:r w:rsidRPr="00DB3A1A">
              <w:rPr>
                <w:rFonts w:ascii="Times New Roman" w:eastAsia="Times New Roman" w:hAnsi="Times New Roman" w:cs="Times New Roman"/>
                <w:color w:val="FF0000"/>
                <w:sz w:val="16"/>
                <w:szCs w:val="16"/>
                <w:lang w:eastAsia="lv-LV"/>
              </w:rPr>
              <w:t>Starpība</w:t>
            </w:r>
          </w:p>
        </w:tc>
        <w:tc>
          <w:tcPr>
            <w:tcW w:w="992" w:type="dxa"/>
            <w:tcBorders>
              <w:top w:val="single" w:sz="4" w:space="0" w:color="auto"/>
              <w:left w:val="nil"/>
              <w:bottom w:val="single" w:sz="4" w:space="0" w:color="auto"/>
              <w:right w:val="single" w:sz="4" w:space="0" w:color="auto"/>
            </w:tcBorders>
            <w:vAlign w:val="center"/>
            <w:hideMark/>
          </w:tcPr>
          <w:p w14:paraId="67D781F9" w14:textId="77777777" w:rsidR="00923EBE" w:rsidRPr="00DB3A1A" w:rsidRDefault="00923EBE" w:rsidP="00923EBE">
            <w:pPr>
              <w:spacing w:after="0" w:line="240" w:lineRule="auto"/>
              <w:jc w:val="center"/>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2027.gada bāzes projekts</w:t>
            </w:r>
          </w:p>
        </w:tc>
        <w:tc>
          <w:tcPr>
            <w:tcW w:w="1044" w:type="dxa"/>
            <w:tcBorders>
              <w:top w:val="single" w:sz="4" w:space="0" w:color="auto"/>
              <w:left w:val="nil"/>
              <w:bottom w:val="single" w:sz="4" w:space="0" w:color="auto"/>
              <w:right w:val="single" w:sz="4" w:space="0" w:color="auto"/>
            </w:tcBorders>
            <w:vAlign w:val="center"/>
            <w:hideMark/>
          </w:tcPr>
          <w:p w14:paraId="51A22065" w14:textId="77777777" w:rsidR="00923EBE" w:rsidRPr="00DB3A1A" w:rsidRDefault="00923EBE" w:rsidP="00923EBE">
            <w:pPr>
              <w:spacing w:after="0" w:line="240" w:lineRule="auto"/>
              <w:jc w:val="center"/>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2027.gada prognoze</w:t>
            </w:r>
          </w:p>
        </w:tc>
        <w:tc>
          <w:tcPr>
            <w:tcW w:w="940" w:type="dxa"/>
            <w:tcBorders>
              <w:top w:val="single" w:sz="4" w:space="0" w:color="auto"/>
              <w:left w:val="nil"/>
              <w:bottom w:val="single" w:sz="4" w:space="0" w:color="auto"/>
              <w:right w:val="single" w:sz="4" w:space="0" w:color="auto"/>
            </w:tcBorders>
            <w:noWrap/>
            <w:vAlign w:val="center"/>
            <w:hideMark/>
          </w:tcPr>
          <w:p w14:paraId="53C1B4F5" w14:textId="77777777" w:rsidR="00923EBE" w:rsidRPr="00DB3A1A" w:rsidRDefault="00923EBE" w:rsidP="00923EBE">
            <w:pPr>
              <w:spacing w:after="0" w:line="240" w:lineRule="auto"/>
              <w:jc w:val="center"/>
              <w:rPr>
                <w:rFonts w:ascii="Times New Roman" w:eastAsia="Times New Roman" w:hAnsi="Times New Roman" w:cs="Times New Roman"/>
                <w:color w:val="FF0000"/>
                <w:sz w:val="16"/>
                <w:szCs w:val="16"/>
                <w:lang w:eastAsia="lv-LV"/>
              </w:rPr>
            </w:pPr>
            <w:r w:rsidRPr="00DB3A1A">
              <w:rPr>
                <w:rFonts w:ascii="Times New Roman" w:eastAsia="Times New Roman" w:hAnsi="Times New Roman" w:cs="Times New Roman"/>
                <w:color w:val="FF0000"/>
                <w:sz w:val="16"/>
                <w:szCs w:val="16"/>
                <w:lang w:eastAsia="lv-LV"/>
              </w:rPr>
              <w:t>Starpība</w:t>
            </w:r>
          </w:p>
        </w:tc>
        <w:tc>
          <w:tcPr>
            <w:tcW w:w="993" w:type="dxa"/>
            <w:tcBorders>
              <w:top w:val="single" w:sz="4" w:space="0" w:color="auto"/>
              <w:left w:val="nil"/>
              <w:bottom w:val="single" w:sz="4" w:space="0" w:color="auto"/>
              <w:right w:val="single" w:sz="4" w:space="0" w:color="auto"/>
            </w:tcBorders>
            <w:vAlign w:val="center"/>
            <w:hideMark/>
          </w:tcPr>
          <w:p w14:paraId="4947F4EB" w14:textId="77777777" w:rsidR="00923EBE" w:rsidRPr="00DB3A1A" w:rsidRDefault="00923EBE" w:rsidP="00923EBE">
            <w:pPr>
              <w:spacing w:after="0" w:line="240" w:lineRule="auto"/>
              <w:jc w:val="center"/>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2028.gada bāzes projekts</w:t>
            </w:r>
          </w:p>
        </w:tc>
        <w:tc>
          <w:tcPr>
            <w:tcW w:w="992" w:type="dxa"/>
            <w:tcBorders>
              <w:top w:val="single" w:sz="4" w:space="0" w:color="auto"/>
              <w:left w:val="nil"/>
              <w:bottom w:val="single" w:sz="4" w:space="0" w:color="auto"/>
              <w:right w:val="single" w:sz="4" w:space="0" w:color="auto"/>
            </w:tcBorders>
            <w:vAlign w:val="center"/>
            <w:hideMark/>
          </w:tcPr>
          <w:p w14:paraId="688BB402" w14:textId="77777777" w:rsidR="00923EBE" w:rsidRPr="00DB3A1A" w:rsidRDefault="00923EBE" w:rsidP="00923EBE">
            <w:pPr>
              <w:spacing w:after="0" w:line="240" w:lineRule="auto"/>
              <w:jc w:val="center"/>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2028.gada prognoze</w:t>
            </w:r>
          </w:p>
        </w:tc>
        <w:tc>
          <w:tcPr>
            <w:tcW w:w="992" w:type="dxa"/>
            <w:tcBorders>
              <w:top w:val="single" w:sz="4" w:space="0" w:color="auto"/>
              <w:left w:val="nil"/>
              <w:bottom w:val="single" w:sz="4" w:space="0" w:color="auto"/>
              <w:right w:val="single" w:sz="4" w:space="0" w:color="auto"/>
            </w:tcBorders>
            <w:noWrap/>
            <w:vAlign w:val="center"/>
            <w:hideMark/>
          </w:tcPr>
          <w:p w14:paraId="5285AC5C" w14:textId="77777777" w:rsidR="00923EBE" w:rsidRPr="00DB3A1A" w:rsidRDefault="00923EBE" w:rsidP="00923EBE">
            <w:pPr>
              <w:spacing w:after="0" w:line="240" w:lineRule="auto"/>
              <w:jc w:val="center"/>
              <w:rPr>
                <w:rFonts w:ascii="Times New Roman" w:eastAsia="Times New Roman" w:hAnsi="Times New Roman" w:cs="Times New Roman"/>
                <w:color w:val="FF0000"/>
                <w:sz w:val="16"/>
                <w:szCs w:val="16"/>
                <w:lang w:eastAsia="lv-LV"/>
              </w:rPr>
            </w:pPr>
            <w:r w:rsidRPr="00DB3A1A">
              <w:rPr>
                <w:rFonts w:ascii="Times New Roman" w:eastAsia="Times New Roman" w:hAnsi="Times New Roman" w:cs="Times New Roman"/>
                <w:color w:val="FF0000"/>
                <w:sz w:val="16"/>
                <w:szCs w:val="16"/>
                <w:lang w:eastAsia="lv-LV"/>
              </w:rPr>
              <w:t>Starpība</w:t>
            </w:r>
          </w:p>
        </w:tc>
      </w:tr>
      <w:tr w:rsidR="00B43C91" w:rsidRPr="00DB3A1A" w14:paraId="62D9FB84" w14:textId="77777777" w:rsidTr="00B43C91">
        <w:trPr>
          <w:trHeight w:val="450"/>
        </w:trPr>
        <w:tc>
          <w:tcPr>
            <w:tcW w:w="914" w:type="dxa"/>
            <w:tcBorders>
              <w:top w:val="nil"/>
              <w:left w:val="single" w:sz="4" w:space="0" w:color="auto"/>
              <w:bottom w:val="single" w:sz="4" w:space="0" w:color="auto"/>
              <w:right w:val="single" w:sz="4" w:space="0" w:color="auto"/>
            </w:tcBorders>
            <w:vAlign w:val="center"/>
            <w:hideMark/>
          </w:tcPr>
          <w:p w14:paraId="3536F269" w14:textId="77777777" w:rsidR="00923EBE" w:rsidRPr="00DB3A1A" w:rsidRDefault="00923EBE" w:rsidP="00923EBE">
            <w:pPr>
              <w:spacing w:after="0" w:line="240" w:lineRule="auto"/>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Saņēmēju skaits, vid.mēnesī</w:t>
            </w:r>
          </w:p>
        </w:tc>
        <w:tc>
          <w:tcPr>
            <w:tcW w:w="1071" w:type="dxa"/>
            <w:tcBorders>
              <w:top w:val="nil"/>
              <w:left w:val="nil"/>
              <w:bottom w:val="single" w:sz="4" w:space="0" w:color="auto"/>
              <w:right w:val="single" w:sz="4" w:space="0" w:color="auto"/>
            </w:tcBorders>
            <w:noWrap/>
            <w:vAlign w:val="center"/>
            <w:hideMark/>
          </w:tcPr>
          <w:p w14:paraId="17FE83E2" w14:textId="77777777" w:rsidR="00923EBE" w:rsidRPr="00DB3A1A" w:rsidRDefault="00923EBE" w:rsidP="00923EBE">
            <w:pPr>
              <w:spacing w:after="0" w:line="240" w:lineRule="auto"/>
              <w:jc w:val="right"/>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19 768</w:t>
            </w:r>
          </w:p>
        </w:tc>
        <w:tc>
          <w:tcPr>
            <w:tcW w:w="992" w:type="dxa"/>
            <w:tcBorders>
              <w:top w:val="nil"/>
              <w:left w:val="nil"/>
              <w:bottom w:val="single" w:sz="4" w:space="0" w:color="auto"/>
              <w:right w:val="single" w:sz="4" w:space="0" w:color="auto"/>
            </w:tcBorders>
            <w:noWrap/>
            <w:vAlign w:val="center"/>
            <w:hideMark/>
          </w:tcPr>
          <w:p w14:paraId="1A16317F" w14:textId="77777777" w:rsidR="00923EBE" w:rsidRPr="00DB3A1A" w:rsidRDefault="00923EBE" w:rsidP="00923EBE">
            <w:pPr>
              <w:spacing w:after="0" w:line="240" w:lineRule="auto"/>
              <w:jc w:val="right"/>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19 768</w:t>
            </w:r>
          </w:p>
        </w:tc>
        <w:tc>
          <w:tcPr>
            <w:tcW w:w="993" w:type="dxa"/>
            <w:tcBorders>
              <w:top w:val="nil"/>
              <w:left w:val="nil"/>
              <w:bottom w:val="single" w:sz="4" w:space="0" w:color="auto"/>
              <w:right w:val="single" w:sz="4" w:space="0" w:color="auto"/>
            </w:tcBorders>
            <w:noWrap/>
            <w:vAlign w:val="center"/>
            <w:hideMark/>
          </w:tcPr>
          <w:p w14:paraId="6075980C" w14:textId="77777777" w:rsidR="00923EBE" w:rsidRPr="00DB3A1A" w:rsidRDefault="00923EBE" w:rsidP="00923EBE">
            <w:pPr>
              <w:spacing w:after="0" w:line="240" w:lineRule="auto"/>
              <w:jc w:val="right"/>
              <w:rPr>
                <w:rFonts w:ascii="Times New Roman" w:eastAsia="Times New Roman" w:hAnsi="Times New Roman" w:cs="Times New Roman"/>
                <w:color w:val="FF0000"/>
                <w:sz w:val="16"/>
                <w:szCs w:val="16"/>
                <w:lang w:eastAsia="lv-LV"/>
              </w:rPr>
            </w:pPr>
            <w:r w:rsidRPr="00DB3A1A">
              <w:rPr>
                <w:rFonts w:ascii="Times New Roman" w:eastAsia="Times New Roman" w:hAnsi="Times New Roman" w:cs="Times New Roman"/>
                <w:color w:val="FF0000"/>
                <w:sz w:val="16"/>
                <w:szCs w:val="16"/>
                <w:lang w:eastAsia="lv-LV"/>
              </w:rPr>
              <w:t>0</w:t>
            </w:r>
          </w:p>
        </w:tc>
        <w:tc>
          <w:tcPr>
            <w:tcW w:w="992" w:type="dxa"/>
            <w:tcBorders>
              <w:top w:val="nil"/>
              <w:left w:val="nil"/>
              <w:bottom w:val="single" w:sz="4" w:space="0" w:color="auto"/>
              <w:right w:val="single" w:sz="4" w:space="0" w:color="auto"/>
            </w:tcBorders>
            <w:noWrap/>
            <w:vAlign w:val="center"/>
            <w:hideMark/>
          </w:tcPr>
          <w:p w14:paraId="1A56E612" w14:textId="77777777" w:rsidR="00923EBE" w:rsidRPr="00DB3A1A" w:rsidRDefault="00923EBE" w:rsidP="00923EBE">
            <w:pPr>
              <w:spacing w:after="0" w:line="240" w:lineRule="auto"/>
              <w:jc w:val="right"/>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19 768</w:t>
            </w:r>
          </w:p>
        </w:tc>
        <w:tc>
          <w:tcPr>
            <w:tcW w:w="1044" w:type="dxa"/>
            <w:tcBorders>
              <w:top w:val="nil"/>
              <w:left w:val="nil"/>
              <w:bottom w:val="single" w:sz="4" w:space="0" w:color="auto"/>
              <w:right w:val="single" w:sz="4" w:space="0" w:color="auto"/>
            </w:tcBorders>
            <w:noWrap/>
            <w:vAlign w:val="center"/>
            <w:hideMark/>
          </w:tcPr>
          <w:p w14:paraId="12C4EEA0" w14:textId="77777777" w:rsidR="00923EBE" w:rsidRPr="00DB3A1A" w:rsidRDefault="00923EBE" w:rsidP="00923EBE">
            <w:pPr>
              <w:spacing w:after="0" w:line="240" w:lineRule="auto"/>
              <w:jc w:val="right"/>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19 768</w:t>
            </w:r>
          </w:p>
        </w:tc>
        <w:tc>
          <w:tcPr>
            <w:tcW w:w="940" w:type="dxa"/>
            <w:tcBorders>
              <w:top w:val="nil"/>
              <w:left w:val="nil"/>
              <w:bottom w:val="single" w:sz="4" w:space="0" w:color="auto"/>
              <w:right w:val="single" w:sz="4" w:space="0" w:color="auto"/>
            </w:tcBorders>
            <w:noWrap/>
            <w:vAlign w:val="center"/>
            <w:hideMark/>
          </w:tcPr>
          <w:p w14:paraId="28031870" w14:textId="77777777" w:rsidR="00923EBE" w:rsidRPr="00DB3A1A" w:rsidRDefault="00923EBE" w:rsidP="00923EBE">
            <w:pPr>
              <w:spacing w:after="0" w:line="240" w:lineRule="auto"/>
              <w:jc w:val="right"/>
              <w:rPr>
                <w:rFonts w:ascii="Times New Roman" w:eastAsia="Times New Roman" w:hAnsi="Times New Roman" w:cs="Times New Roman"/>
                <w:color w:val="FF0000"/>
                <w:sz w:val="16"/>
                <w:szCs w:val="16"/>
                <w:lang w:eastAsia="lv-LV"/>
              </w:rPr>
            </w:pPr>
            <w:r w:rsidRPr="00DB3A1A">
              <w:rPr>
                <w:rFonts w:ascii="Times New Roman" w:eastAsia="Times New Roman" w:hAnsi="Times New Roman" w:cs="Times New Roman"/>
                <w:color w:val="FF0000"/>
                <w:sz w:val="16"/>
                <w:szCs w:val="16"/>
                <w:lang w:eastAsia="lv-LV"/>
              </w:rPr>
              <w:t>0</w:t>
            </w:r>
          </w:p>
        </w:tc>
        <w:tc>
          <w:tcPr>
            <w:tcW w:w="993" w:type="dxa"/>
            <w:tcBorders>
              <w:top w:val="nil"/>
              <w:left w:val="nil"/>
              <w:bottom w:val="single" w:sz="4" w:space="0" w:color="auto"/>
              <w:right w:val="single" w:sz="4" w:space="0" w:color="auto"/>
            </w:tcBorders>
            <w:noWrap/>
            <w:vAlign w:val="center"/>
            <w:hideMark/>
          </w:tcPr>
          <w:p w14:paraId="19CD4FE4" w14:textId="77777777" w:rsidR="00923EBE" w:rsidRPr="00DB3A1A" w:rsidRDefault="00923EBE" w:rsidP="00923EBE">
            <w:pPr>
              <w:spacing w:after="0" w:line="240" w:lineRule="auto"/>
              <w:jc w:val="right"/>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19 768</w:t>
            </w:r>
          </w:p>
        </w:tc>
        <w:tc>
          <w:tcPr>
            <w:tcW w:w="992" w:type="dxa"/>
            <w:tcBorders>
              <w:top w:val="nil"/>
              <w:left w:val="nil"/>
              <w:bottom w:val="single" w:sz="4" w:space="0" w:color="auto"/>
              <w:right w:val="single" w:sz="4" w:space="0" w:color="auto"/>
            </w:tcBorders>
            <w:noWrap/>
            <w:vAlign w:val="center"/>
            <w:hideMark/>
          </w:tcPr>
          <w:p w14:paraId="747E9114" w14:textId="77777777" w:rsidR="00923EBE" w:rsidRPr="00DB3A1A" w:rsidRDefault="00923EBE" w:rsidP="00923EBE">
            <w:pPr>
              <w:spacing w:after="0" w:line="240" w:lineRule="auto"/>
              <w:jc w:val="right"/>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19 768</w:t>
            </w:r>
          </w:p>
        </w:tc>
        <w:tc>
          <w:tcPr>
            <w:tcW w:w="992" w:type="dxa"/>
            <w:tcBorders>
              <w:top w:val="nil"/>
              <w:left w:val="nil"/>
              <w:bottom w:val="single" w:sz="4" w:space="0" w:color="auto"/>
              <w:right w:val="single" w:sz="4" w:space="0" w:color="auto"/>
            </w:tcBorders>
            <w:noWrap/>
            <w:vAlign w:val="center"/>
            <w:hideMark/>
          </w:tcPr>
          <w:p w14:paraId="36908F66" w14:textId="77777777" w:rsidR="00923EBE" w:rsidRPr="00DB3A1A" w:rsidRDefault="00923EBE" w:rsidP="00923EBE">
            <w:pPr>
              <w:spacing w:after="0" w:line="240" w:lineRule="auto"/>
              <w:jc w:val="right"/>
              <w:rPr>
                <w:rFonts w:ascii="Times New Roman" w:eastAsia="Times New Roman" w:hAnsi="Times New Roman" w:cs="Times New Roman"/>
                <w:color w:val="FF0000"/>
                <w:sz w:val="16"/>
                <w:szCs w:val="16"/>
                <w:lang w:eastAsia="lv-LV"/>
              </w:rPr>
            </w:pPr>
            <w:r w:rsidRPr="00DB3A1A">
              <w:rPr>
                <w:rFonts w:ascii="Times New Roman" w:eastAsia="Times New Roman" w:hAnsi="Times New Roman" w:cs="Times New Roman"/>
                <w:color w:val="FF0000"/>
                <w:sz w:val="16"/>
                <w:szCs w:val="16"/>
                <w:lang w:eastAsia="lv-LV"/>
              </w:rPr>
              <w:t>0</w:t>
            </w:r>
          </w:p>
        </w:tc>
      </w:tr>
      <w:tr w:rsidR="00B43C91" w:rsidRPr="00DB3A1A" w14:paraId="1DD99C97" w14:textId="77777777" w:rsidTr="00B43C91">
        <w:trPr>
          <w:trHeight w:val="450"/>
        </w:trPr>
        <w:tc>
          <w:tcPr>
            <w:tcW w:w="914" w:type="dxa"/>
            <w:tcBorders>
              <w:top w:val="nil"/>
              <w:left w:val="single" w:sz="4" w:space="0" w:color="auto"/>
              <w:bottom w:val="single" w:sz="4" w:space="0" w:color="auto"/>
              <w:right w:val="single" w:sz="4" w:space="0" w:color="auto"/>
            </w:tcBorders>
            <w:vAlign w:val="center"/>
            <w:hideMark/>
          </w:tcPr>
          <w:p w14:paraId="5F92F162" w14:textId="77777777" w:rsidR="00923EBE" w:rsidRPr="00DB3A1A" w:rsidRDefault="00923EBE" w:rsidP="00923EBE">
            <w:pPr>
              <w:spacing w:after="0" w:line="240" w:lineRule="auto"/>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Pabalsta apmērs, vid.mēnesī</w:t>
            </w:r>
          </w:p>
        </w:tc>
        <w:tc>
          <w:tcPr>
            <w:tcW w:w="1071" w:type="dxa"/>
            <w:tcBorders>
              <w:top w:val="nil"/>
              <w:left w:val="nil"/>
              <w:bottom w:val="single" w:sz="4" w:space="0" w:color="auto"/>
              <w:right w:val="single" w:sz="4" w:space="0" w:color="auto"/>
            </w:tcBorders>
            <w:noWrap/>
            <w:vAlign w:val="center"/>
            <w:hideMark/>
          </w:tcPr>
          <w:p w14:paraId="2343352A" w14:textId="77777777" w:rsidR="00923EBE" w:rsidRPr="00DB3A1A" w:rsidRDefault="00923EBE" w:rsidP="00923EBE">
            <w:pPr>
              <w:spacing w:after="0" w:line="240" w:lineRule="auto"/>
              <w:jc w:val="right"/>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1 815,53</w:t>
            </w:r>
          </w:p>
        </w:tc>
        <w:tc>
          <w:tcPr>
            <w:tcW w:w="992" w:type="dxa"/>
            <w:tcBorders>
              <w:top w:val="nil"/>
              <w:left w:val="nil"/>
              <w:bottom w:val="single" w:sz="4" w:space="0" w:color="auto"/>
              <w:right w:val="single" w:sz="4" w:space="0" w:color="auto"/>
            </w:tcBorders>
            <w:noWrap/>
            <w:vAlign w:val="center"/>
            <w:hideMark/>
          </w:tcPr>
          <w:p w14:paraId="645B49B2" w14:textId="77777777" w:rsidR="00923EBE" w:rsidRPr="00DB3A1A" w:rsidRDefault="00923EBE" w:rsidP="00923EBE">
            <w:pPr>
              <w:spacing w:after="0" w:line="240" w:lineRule="auto"/>
              <w:jc w:val="right"/>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1 802,04</w:t>
            </w:r>
          </w:p>
        </w:tc>
        <w:tc>
          <w:tcPr>
            <w:tcW w:w="993" w:type="dxa"/>
            <w:tcBorders>
              <w:top w:val="nil"/>
              <w:left w:val="nil"/>
              <w:bottom w:val="single" w:sz="4" w:space="0" w:color="auto"/>
              <w:right w:val="single" w:sz="4" w:space="0" w:color="auto"/>
            </w:tcBorders>
            <w:noWrap/>
            <w:vAlign w:val="center"/>
            <w:hideMark/>
          </w:tcPr>
          <w:p w14:paraId="1D272FC5" w14:textId="77777777" w:rsidR="00923EBE" w:rsidRPr="00DB3A1A" w:rsidRDefault="00923EBE" w:rsidP="00923EBE">
            <w:pPr>
              <w:spacing w:after="0" w:line="240" w:lineRule="auto"/>
              <w:jc w:val="right"/>
              <w:rPr>
                <w:rFonts w:ascii="Times New Roman" w:eastAsia="Times New Roman" w:hAnsi="Times New Roman" w:cs="Times New Roman"/>
                <w:color w:val="FF0000"/>
                <w:sz w:val="16"/>
                <w:szCs w:val="16"/>
                <w:lang w:eastAsia="lv-LV"/>
              </w:rPr>
            </w:pPr>
            <w:r w:rsidRPr="00DB3A1A">
              <w:rPr>
                <w:rFonts w:ascii="Times New Roman" w:eastAsia="Times New Roman" w:hAnsi="Times New Roman" w:cs="Times New Roman"/>
                <w:color w:val="FF0000"/>
                <w:sz w:val="16"/>
                <w:szCs w:val="16"/>
                <w:lang w:eastAsia="lv-LV"/>
              </w:rPr>
              <w:t>-13,49</w:t>
            </w:r>
          </w:p>
        </w:tc>
        <w:tc>
          <w:tcPr>
            <w:tcW w:w="992" w:type="dxa"/>
            <w:tcBorders>
              <w:top w:val="nil"/>
              <w:left w:val="nil"/>
              <w:bottom w:val="single" w:sz="4" w:space="0" w:color="auto"/>
              <w:right w:val="single" w:sz="4" w:space="0" w:color="auto"/>
            </w:tcBorders>
            <w:noWrap/>
            <w:vAlign w:val="center"/>
            <w:hideMark/>
          </w:tcPr>
          <w:p w14:paraId="036066F2" w14:textId="77777777" w:rsidR="00923EBE" w:rsidRPr="00DB3A1A" w:rsidRDefault="00923EBE" w:rsidP="00923EBE">
            <w:pPr>
              <w:spacing w:after="0" w:line="240" w:lineRule="auto"/>
              <w:jc w:val="right"/>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1 922,45</w:t>
            </w:r>
          </w:p>
        </w:tc>
        <w:tc>
          <w:tcPr>
            <w:tcW w:w="1044" w:type="dxa"/>
            <w:tcBorders>
              <w:top w:val="nil"/>
              <w:left w:val="nil"/>
              <w:bottom w:val="single" w:sz="4" w:space="0" w:color="auto"/>
              <w:right w:val="single" w:sz="4" w:space="0" w:color="auto"/>
            </w:tcBorders>
            <w:noWrap/>
            <w:vAlign w:val="center"/>
            <w:hideMark/>
          </w:tcPr>
          <w:p w14:paraId="245A053E" w14:textId="77777777" w:rsidR="00923EBE" w:rsidRPr="00DB3A1A" w:rsidRDefault="00923EBE" w:rsidP="00923EBE">
            <w:pPr>
              <w:spacing w:after="0" w:line="240" w:lineRule="auto"/>
              <w:jc w:val="right"/>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1 837,91</w:t>
            </w:r>
          </w:p>
        </w:tc>
        <w:tc>
          <w:tcPr>
            <w:tcW w:w="940" w:type="dxa"/>
            <w:tcBorders>
              <w:top w:val="nil"/>
              <w:left w:val="nil"/>
              <w:bottom w:val="single" w:sz="4" w:space="0" w:color="auto"/>
              <w:right w:val="single" w:sz="4" w:space="0" w:color="auto"/>
            </w:tcBorders>
            <w:noWrap/>
            <w:vAlign w:val="center"/>
            <w:hideMark/>
          </w:tcPr>
          <w:p w14:paraId="2C87DF43" w14:textId="77777777" w:rsidR="00923EBE" w:rsidRPr="00DB3A1A" w:rsidRDefault="00923EBE" w:rsidP="00923EBE">
            <w:pPr>
              <w:spacing w:after="0" w:line="240" w:lineRule="auto"/>
              <w:jc w:val="right"/>
              <w:rPr>
                <w:rFonts w:ascii="Times New Roman" w:eastAsia="Times New Roman" w:hAnsi="Times New Roman" w:cs="Times New Roman"/>
                <w:color w:val="FF0000"/>
                <w:sz w:val="16"/>
                <w:szCs w:val="16"/>
                <w:lang w:eastAsia="lv-LV"/>
              </w:rPr>
            </w:pPr>
            <w:r w:rsidRPr="00DB3A1A">
              <w:rPr>
                <w:rFonts w:ascii="Times New Roman" w:eastAsia="Times New Roman" w:hAnsi="Times New Roman" w:cs="Times New Roman"/>
                <w:color w:val="FF0000"/>
                <w:sz w:val="16"/>
                <w:szCs w:val="16"/>
                <w:lang w:eastAsia="lv-LV"/>
              </w:rPr>
              <w:t>-84,54</w:t>
            </w:r>
          </w:p>
        </w:tc>
        <w:tc>
          <w:tcPr>
            <w:tcW w:w="993" w:type="dxa"/>
            <w:tcBorders>
              <w:top w:val="nil"/>
              <w:left w:val="nil"/>
              <w:bottom w:val="single" w:sz="4" w:space="0" w:color="auto"/>
              <w:right w:val="single" w:sz="4" w:space="0" w:color="auto"/>
            </w:tcBorders>
            <w:noWrap/>
            <w:vAlign w:val="center"/>
            <w:hideMark/>
          </w:tcPr>
          <w:p w14:paraId="738CC89B" w14:textId="77777777" w:rsidR="00923EBE" w:rsidRPr="00DB3A1A" w:rsidRDefault="00923EBE" w:rsidP="00923EBE">
            <w:pPr>
              <w:spacing w:after="0" w:line="240" w:lineRule="auto"/>
              <w:jc w:val="right"/>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2 030,59</w:t>
            </w:r>
          </w:p>
        </w:tc>
        <w:tc>
          <w:tcPr>
            <w:tcW w:w="992" w:type="dxa"/>
            <w:tcBorders>
              <w:top w:val="nil"/>
              <w:left w:val="nil"/>
              <w:bottom w:val="single" w:sz="4" w:space="0" w:color="auto"/>
              <w:right w:val="single" w:sz="4" w:space="0" w:color="auto"/>
            </w:tcBorders>
            <w:noWrap/>
            <w:vAlign w:val="center"/>
            <w:hideMark/>
          </w:tcPr>
          <w:p w14:paraId="7AF8D625" w14:textId="77777777" w:rsidR="00923EBE" w:rsidRPr="00DB3A1A" w:rsidRDefault="00923EBE" w:rsidP="00923EBE">
            <w:pPr>
              <w:spacing w:after="0" w:line="240" w:lineRule="auto"/>
              <w:jc w:val="right"/>
              <w:rPr>
                <w:rFonts w:ascii="Times New Roman" w:eastAsia="Times New Roman" w:hAnsi="Times New Roman" w:cs="Times New Roman"/>
                <w:sz w:val="16"/>
                <w:szCs w:val="16"/>
                <w:lang w:eastAsia="lv-LV"/>
              </w:rPr>
            </w:pPr>
            <w:r w:rsidRPr="00DB3A1A">
              <w:rPr>
                <w:rFonts w:ascii="Times New Roman" w:eastAsia="Times New Roman" w:hAnsi="Times New Roman" w:cs="Times New Roman"/>
                <w:sz w:val="16"/>
                <w:szCs w:val="16"/>
                <w:lang w:eastAsia="lv-LV"/>
              </w:rPr>
              <w:t>1 944,29</w:t>
            </w:r>
          </w:p>
        </w:tc>
        <w:tc>
          <w:tcPr>
            <w:tcW w:w="992" w:type="dxa"/>
            <w:tcBorders>
              <w:top w:val="nil"/>
              <w:left w:val="nil"/>
              <w:bottom w:val="single" w:sz="4" w:space="0" w:color="auto"/>
              <w:right w:val="single" w:sz="4" w:space="0" w:color="auto"/>
            </w:tcBorders>
            <w:noWrap/>
            <w:vAlign w:val="center"/>
            <w:hideMark/>
          </w:tcPr>
          <w:p w14:paraId="373C42C0" w14:textId="77777777" w:rsidR="00923EBE" w:rsidRPr="00DB3A1A" w:rsidRDefault="00923EBE" w:rsidP="00923EBE">
            <w:pPr>
              <w:spacing w:after="0" w:line="240" w:lineRule="auto"/>
              <w:jc w:val="right"/>
              <w:rPr>
                <w:rFonts w:ascii="Times New Roman" w:eastAsia="Times New Roman" w:hAnsi="Times New Roman" w:cs="Times New Roman"/>
                <w:color w:val="FF0000"/>
                <w:sz w:val="16"/>
                <w:szCs w:val="16"/>
                <w:lang w:eastAsia="lv-LV"/>
              </w:rPr>
            </w:pPr>
            <w:r w:rsidRPr="00DB3A1A">
              <w:rPr>
                <w:rFonts w:ascii="Times New Roman" w:eastAsia="Times New Roman" w:hAnsi="Times New Roman" w:cs="Times New Roman"/>
                <w:color w:val="FF0000"/>
                <w:sz w:val="16"/>
                <w:szCs w:val="16"/>
                <w:lang w:eastAsia="lv-LV"/>
              </w:rPr>
              <w:t>-86,30</w:t>
            </w:r>
          </w:p>
        </w:tc>
      </w:tr>
      <w:tr w:rsidR="00B43C91" w:rsidRPr="00DB3A1A" w14:paraId="54577FF1" w14:textId="77777777" w:rsidTr="00B43C91">
        <w:trPr>
          <w:trHeight w:val="493"/>
        </w:trPr>
        <w:tc>
          <w:tcPr>
            <w:tcW w:w="914" w:type="dxa"/>
            <w:tcBorders>
              <w:top w:val="nil"/>
              <w:left w:val="single" w:sz="4" w:space="0" w:color="auto"/>
              <w:bottom w:val="single" w:sz="4" w:space="0" w:color="auto"/>
              <w:right w:val="single" w:sz="4" w:space="0" w:color="auto"/>
            </w:tcBorders>
            <w:shd w:val="clear" w:color="000000" w:fill="D9E2F3"/>
            <w:vAlign w:val="center"/>
            <w:hideMark/>
          </w:tcPr>
          <w:p w14:paraId="4059025B" w14:textId="77777777" w:rsidR="00923EBE" w:rsidRPr="00DB3A1A" w:rsidRDefault="00923EBE" w:rsidP="00F61365">
            <w:pPr>
              <w:spacing w:after="0" w:line="240" w:lineRule="auto"/>
              <w:rPr>
                <w:rFonts w:ascii="Times New Roman" w:eastAsia="Times New Roman" w:hAnsi="Times New Roman" w:cs="Times New Roman"/>
                <w:b/>
                <w:bCs/>
                <w:sz w:val="14"/>
                <w:szCs w:val="14"/>
                <w:lang w:eastAsia="lv-LV"/>
              </w:rPr>
            </w:pPr>
            <w:r w:rsidRPr="00DB3A1A">
              <w:rPr>
                <w:rFonts w:ascii="Times New Roman" w:eastAsia="Times New Roman" w:hAnsi="Times New Roman" w:cs="Times New Roman"/>
                <w:b/>
                <w:bCs/>
                <w:sz w:val="14"/>
                <w:szCs w:val="14"/>
                <w:lang w:eastAsia="lv-LV"/>
              </w:rPr>
              <w:t>Izdevumi gadā</w:t>
            </w:r>
          </w:p>
        </w:tc>
        <w:tc>
          <w:tcPr>
            <w:tcW w:w="1071" w:type="dxa"/>
            <w:tcBorders>
              <w:top w:val="nil"/>
              <w:left w:val="nil"/>
              <w:bottom w:val="single" w:sz="4" w:space="0" w:color="auto"/>
              <w:right w:val="single" w:sz="4" w:space="0" w:color="auto"/>
            </w:tcBorders>
            <w:shd w:val="clear" w:color="000000" w:fill="D9E2F3"/>
            <w:noWrap/>
            <w:vAlign w:val="center"/>
            <w:hideMark/>
          </w:tcPr>
          <w:p w14:paraId="31BC2B0F" w14:textId="7E523B82" w:rsidR="00923EBE" w:rsidRPr="00DB3A1A" w:rsidRDefault="00B43C91" w:rsidP="00F61365">
            <w:pPr>
              <w:spacing w:after="0" w:line="240" w:lineRule="auto"/>
              <w:rPr>
                <w:rFonts w:ascii="Times New Roman" w:eastAsia="Times New Roman" w:hAnsi="Times New Roman" w:cs="Times New Roman"/>
                <w:b/>
                <w:bCs/>
                <w:sz w:val="14"/>
                <w:szCs w:val="14"/>
                <w:lang w:eastAsia="lv-LV"/>
              </w:rPr>
            </w:pPr>
            <w:r w:rsidRPr="00DB3A1A">
              <w:rPr>
                <w:rFonts w:ascii="Times New Roman" w:eastAsia="Times New Roman" w:hAnsi="Times New Roman" w:cs="Times New Roman"/>
                <w:b/>
                <w:bCs/>
                <w:sz w:val="14"/>
                <w:szCs w:val="14"/>
                <w:lang w:eastAsia="lv-LV"/>
              </w:rPr>
              <w:t>430 672 764</w:t>
            </w:r>
          </w:p>
        </w:tc>
        <w:tc>
          <w:tcPr>
            <w:tcW w:w="992" w:type="dxa"/>
            <w:tcBorders>
              <w:top w:val="nil"/>
              <w:left w:val="nil"/>
              <w:bottom w:val="single" w:sz="4" w:space="0" w:color="auto"/>
              <w:right w:val="single" w:sz="4" w:space="0" w:color="auto"/>
            </w:tcBorders>
            <w:shd w:val="clear" w:color="000000" w:fill="D9E2F3"/>
            <w:noWrap/>
            <w:vAlign w:val="center"/>
            <w:hideMark/>
          </w:tcPr>
          <w:p w14:paraId="1ACCBBAA" w14:textId="3A3A6EB1" w:rsidR="00923EBE" w:rsidRPr="00DB3A1A" w:rsidRDefault="00B43C91" w:rsidP="00F61365">
            <w:pPr>
              <w:spacing w:after="0" w:line="240" w:lineRule="auto"/>
              <w:jc w:val="right"/>
              <w:rPr>
                <w:rFonts w:ascii="Times New Roman" w:eastAsia="Times New Roman" w:hAnsi="Times New Roman" w:cs="Times New Roman"/>
                <w:b/>
                <w:bCs/>
                <w:sz w:val="14"/>
                <w:szCs w:val="14"/>
                <w:lang w:eastAsia="lv-LV"/>
              </w:rPr>
            </w:pPr>
            <w:r w:rsidRPr="00DB3A1A">
              <w:rPr>
                <w:rFonts w:ascii="Times New Roman" w:eastAsia="Times New Roman" w:hAnsi="Times New Roman" w:cs="Times New Roman"/>
                <w:b/>
                <w:bCs/>
                <w:sz w:val="14"/>
                <w:szCs w:val="14"/>
                <w:lang w:eastAsia="lv-LV"/>
              </w:rPr>
              <w:t>427 472</w:t>
            </w:r>
            <w:r w:rsidR="00173573" w:rsidRPr="00DB3A1A">
              <w:rPr>
                <w:rFonts w:ascii="Times New Roman" w:eastAsia="Times New Roman" w:hAnsi="Times New Roman" w:cs="Times New Roman"/>
                <w:b/>
                <w:bCs/>
                <w:sz w:val="14"/>
                <w:szCs w:val="14"/>
                <w:lang w:eastAsia="lv-LV"/>
              </w:rPr>
              <w:t> </w:t>
            </w:r>
            <w:r w:rsidRPr="00DB3A1A">
              <w:rPr>
                <w:rFonts w:ascii="Times New Roman" w:eastAsia="Times New Roman" w:hAnsi="Times New Roman" w:cs="Times New Roman"/>
                <w:b/>
                <w:bCs/>
                <w:sz w:val="14"/>
                <w:szCs w:val="14"/>
                <w:lang w:eastAsia="lv-LV"/>
              </w:rPr>
              <w:t>651</w:t>
            </w:r>
          </w:p>
        </w:tc>
        <w:tc>
          <w:tcPr>
            <w:tcW w:w="993" w:type="dxa"/>
            <w:tcBorders>
              <w:top w:val="nil"/>
              <w:left w:val="nil"/>
              <w:bottom w:val="single" w:sz="4" w:space="0" w:color="auto"/>
              <w:right w:val="single" w:sz="4" w:space="0" w:color="auto"/>
            </w:tcBorders>
            <w:shd w:val="clear" w:color="000000" w:fill="D9E2F3"/>
            <w:noWrap/>
            <w:vAlign w:val="center"/>
            <w:hideMark/>
          </w:tcPr>
          <w:p w14:paraId="3B481ABC" w14:textId="55177E72" w:rsidR="00923EBE" w:rsidRPr="00DB3A1A" w:rsidRDefault="00B43C91" w:rsidP="00F61365">
            <w:pPr>
              <w:spacing w:after="0" w:line="240" w:lineRule="auto"/>
              <w:jc w:val="right"/>
              <w:rPr>
                <w:rFonts w:ascii="Times New Roman" w:eastAsia="Times New Roman" w:hAnsi="Times New Roman" w:cs="Times New Roman"/>
                <w:b/>
                <w:bCs/>
                <w:color w:val="FF0000"/>
                <w:sz w:val="14"/>
                <w:szCs w:val="14"/>
                <w:lang w:eastAsia="lv-LV"/>
              </w:rPr>
            </w:pPr>
            <w:r w:rsidRPr="00DB3A1A">
              <w:rPr>
                <w:rFonts w:ascii="Times New Roman" w:hAnsi="Times New Roman" w:cs="Times New Roman"/>
                <w:b/>
                <w:bCs/>
                <w:color w:val="FF0000"/>
                <w:sz w:val="14"/>
                <w:szCs w:val="14"/>
              </w:rPr>
              <w:t>-3 200 113</w:t>
            </w:r>
          </w:p>
        </w:tc>
        <w:tc>
          <w:tcPr>
            <w:tcW w:w="992" w:type="dxa"/>
            <w:tcBorders>
              <w:top w:val="nil"/>
              <w:left w:val="nil"/>
              <w:bottom w:val="single" w:sz="4" w:space="0" w:color="auto"/>
              <w:right w:val="single" w:sz="4" w:space="0" w:color="auto"/>
            </w:tcBorders>
            <w:shd w:val="clear" w:color="000000" w:fill="D9E2F3"/>
            <w:noWrap/>
            <w:vAlign w:val="center"/>
            <w:hideMark/>
          </w:tcPr>
          <w:p w14:paraId="58367E0E" w14:textId="64FDFE0F" w:rsidR="00923EBE" w:rsidRPr="00DB3A1A" w:rsidRDefault="00B43C91" w:rsidP="00F61365">
            <w:pPr>
              <w:spacing w:after="0" w:line="240" w:lineRule="auto"/>
              <w:jc w:val="right"/>
              <w:rPr>
                <w:rFonts w:ascii="Times New Roman" w:eastAsia="Times New Roman" w:hAnsi="Times New Roman" w:cs="Times New Roman"/>
                <w:b/>
                <w:bCs/>
                <w:sz w:val="14"/>
                <w:szCs w:val="14"/>
                <w:lang w:eastAsia="lv-LV"/>
              </w:rPr>
            </w:pPr>
            <w:r w:rsidRPr="00DB3A1A">
              <w:rPr>
                <w:rFonts w:ascii="Times New Roman" w:eastAsia="Times New Roman" w:hAnsi="Times New Roman" w:cs="Times New Roman"/>
                <w:b/>
                <w:bCs/>
                <w:sz w:val="14"/>
                <w:szCs w:val="14"/>
                <w:lang w:eastAsia="lv-LV"/>
              </w:rPr>
              <w:t>456 035 899</w:t>
            </w:r>
          </w:p>
        </w:tc>
        <w:tc>
          <w:tcPr>
            <w:tcW w:w="1044" w:type="dxa"/>
            <w:tcBorders>
              <w:top w:val="nil"/>
              <w:left w:val="nil"/>
              <w:bottom w:val="single" w:sz="4" w:space="0" w:color="auto"/>
              <w:right w:val="single" w:sz="4" w:space="0" w:color="auto"/>
            </w:tcBorders>
            <w:shd w:val="clear" w:color="000000" w:fill="D9E2F3"/>
            <w:noWrap/>
            <w:vAlign w:val="center"/>
            <w:hideMark/>
          </w:tcPr>
          <w:p w14:paraId="3D8EBE2C" w14:textId="7549E5D6" w:rsidR="00923EBE" w:rsidRPr="00DB3A1A" w:rsidRDefault="00B43C91" w:rsidP="00F61365">
            <w:pPr>
              <w:spacing w:after="0" w:line="240" w:lineRule="auto"/>
              <w:jc w:val="right"/>
              <w:rPr>
                <w:rFonts w:ascii="Times New Roman" w:eastAsia="Times New Roman" w:hAnsi="Times New Roman" w:cs="Times New Roman"/>
                <w:b/>
                <w:bCs/>
                <w:sz w:val="14"/>
                <w:szCs w:val="14"/>
                <w:lang w:eastAsia="lv-LV"/>
              </w:rPr>
            </w:pPr>
            <w:r w:rsidRPr="00DB3A1A">
              <w:rPr>
                <w:rFonts w:ascii="Times New Roman" w:eastAsia="Times New Roman" w:hAnsi="Times New Roman" w:cs="Times New Roman"/>
                <w:b/>
                <w:bCs/>
                <w:sz w:val="14"/>
                <w:szCs w:val="14"/>
                <w:lang w:eastAsia="lv-LV"/>
              </w:rPr>
              <w:t>435 980 791</w:t>
            </w:r>
          </w:p>
        </w:tc>
        <w:tc>
          <w:tcPr>
            <w:tcW w:w="940" w:type="dxa"/>
            <w:tcBorders>
              <w:top w:val="nil"/>
              <w:left w:val="nil"/>
              <w:bottom w:val="single" w:sz="4" w:space="0" w:color="auto"/>
              <w:right w:val="single" w:sz="4" w:space="0" w:color="auto"/>
            </w:tcBorders>
            <w:shd w:val="clear" w:color="000000" w:fill="D9E2F3"/>
            <w:noWrap/>
            <w:vAlign w:val="center"/>
            <w:hideMark/>
          </w:tcPr>
          <w:p w14:paraId="282264B8" w14:textId="42D0B0CD" w:rsidR="00923EBE" w:rsidRPr="00DB3A1A" w:rsidRDefault="00B43C91" w:rsidP="00F61365">
            <w:pPr>
              <w:spacing w:after="0" w:line="240" w:lineRule="auto"/>
              <w:rPr>
                <w:rFonts w:ascii="Times New Roman" w:eastAsia="Times New Roman" w:hAnsi="Times New Roman" w:cs="Times New Roman"/>
                <w:b/>
                <w:bCs/>
                <w:color w:val="FF0000"/>
                <w:sz w:val="14"/>
                <w:szCs w:val="14"/>
                <w:lang w:eastAsia="lv-LV"/>
              </w:rPr>
            </w:pPr>
            <w:r w:rsidRPr="00DB3A1A">
              <w:rPr>
                <w:rFonts w:ascii="Times New Roman" w:eastAsia="Times New Roman" w:hAnsi="Times New Roman" w:cs="Times New Roman"/>
                <w:b/>
                <w:bCs/>
                <w:color w:val="FF0000"/>
                <w:sz w:val="14"/>
                <w:szCs w:val="14"/>
                <w:lang w:eastAsia="lv-LV"/>
              </w:rPr>
              <w:t>-20 055 108</w:t>
            </w:r>
          </w:p>
        </w:tc>
        <w:tc>
          <w:tcPr>
            <w:tcW w:w="993" w:type="dxa"/>
            <w:tcBorders>
              <w:top w:val="nil"/>
              <w:left w:val="nil"/>
              <w:bottom w:val="single" w:sz="4" w:space="0" w:color="auto"/>
              <w:right w:val="single" w:sz="4" w:space="0" w:color="auto"/>
            </w:tcBorders>
            <w:shd w:val="clear" w:color="000000" w:fill="D9E2F3"/>
            <w:noWrap/>
            <w:vAlign w:val="center"/>
            <w:hideMark/>
          </w:tcPr>
          <w:p w14:paraId="4A7EAC4D" w14:textId="73E2132C" w:rsidR="00923EBE" w:rsidRPr="00DB3A1A" w:rsidRDefault="00B43C91" w:rsidP="00F61365">
            <w:pPr>
              <w:spacing w:after="0" w:line="240" w:lineRule="auto"/>
              <w:jc w:val="center"/>
              <w:rPr>
                <w:rFonts w:ascii="Times New Roman" w:eastAsia="Times New Roman" w:hAnsi="Times New Roman" w:cs="Times New Roman"/>
                <w:b/>
                <w:bCs/>
                <w:sz w:val="14"/>
                <w:szCs w:val="14"/>
                <w:lang w:eastAsia="lv-LV"/>
              </w:rPr>
            </w:pPr>
            <w:r w:rsidRPr="00DB3A1A">
              <w:rPr>
                <w:rFonts w:ascii="Times New Roman" w:eastAsia="Times New Roman" w:hAnsi="Times New Roman" w:cs="Times New Roman"/>
                <w:b/>
                <w:bCs/>
                <w:sz w:val="14"/>
                <w:szCs w:val="14"/>
                <w:lang w:eastAsia="lv-LV"/>
              </w:rPr>
              <w:t>481 688 437</w:t>
            </w:r>
          </w:p>
        </w:tc>
        <w:tc>
          <w:tcPr>
            <w:tcW w:w="992" w:type="dxa"/>
            <w:tcBorders>
              <w:top w:val="nil"/>
              <w:left w:val="nil"/>
              <w:bottom w:val="single" w:sz="4" w:space="0" w:color="auto"/>
              <w:right w:val="single" w:sz="4" w:space="0" w:color="auto"/>
            </w:tcBorders>
            <w:shd w:val="clear" w:color="000000" w:fill="D9E2F3"/>
            <w:noWrap/>
            <w:vAlign w:val="center"/>
            <w:hideMark/>
          </w:tcPr>
          <w:p w14:paraId="78A4EE6B" w14:textId="77777777" w:rsidR="00923EBE" w:rsidRPr="00DB3A1A" w:rsidRDefault="00923EBE" w:rsidP="00F61365">
            <w:pPr>
              <w:spacing w:after="0" w:line="240" w:lineRule="auto"/>
              <w:jc w:val="right"/>
              <w:rPr>
                <w:rFonts w:ascii="Times New Roman" w:eastAsia="Times New Roman" w:hAnsi="Times New Roman" w:cs="Times New Roman"/>
                <w:b/>
                <w:bCs/>
                <w:sz w:val="14"/>
                <w:szCs w:val="14"/>
                <w:lang w:eastAsia="lv-LV"/>
              </w:rPr>
            </w:pPr>
            <w:r w:rsidRPr="00DB3A1A">
              <w:rPr>
                <w:rFonts w:ascii="Times New Roman" w:eastAsia="Times New Roman" w:hAnsi="Times New Roman" w:cs="Times New Roman"/>
                <w:b/>
                <w:bCs/>
                <w:sz w:val="14"/>
                <w:szCs w:val="14"/>
                <w:lang w:eastAsia="lv-LV"/>
              </w:rPr>
              <w:t>461 217 649</w:t>
            </w:r>
          </w:p>
        </w:tc>
        <w:tc>
          <w:tcPr>
            <w:tcW w:w="992" w:type="dxa"/>
            <w:tcBorders>
              <w:top w:val="nil"/>
              <w:left w:val="nil"/>
              <w:bottom w:val="single" w:sz="4" w:space="0" w:color="auto"/>
              <w:right w:val="single" w:sz="4" w:space="0" w:color="auto"/>
            </w:tcBorders>
            <w:shd w:val="clear" w:color="000000" w:fill="D9E2F3"/>
            <w:noWrap/>
            <w:vAlign w:val="center"/>
            <w:hideMark/>
          </w:tcPr>
          <w:p w14:paraId="6A5B8703" w14:textId="5EE31305" w:rsidR="00923EBE" w:rsidRPr="00DB3A1A" w:rsidRDefault="00B43C91" w:rsidP="00F61365">
            <w:pPr>
              <w:spacing w:after="0" w:line="240" w:lineRule="auto"/>
              <w:jc w:val="right"/>
              <w:rPr>
                <w:rFonts w:ascii="Times New Roman" w:eastAsia="Times New Roman" w:hAnsi="Times New Roman" w:cs="Times New Roman"/>
                <w:b/>
                <w:bCs/>
                <w:color w:val="FF0000"/>
                <w:sz w:val="14"/>
                <w:szCs w:val="14"/>
                <w:lang w:eastAsia="lv-LV"/>
              </w:rPr>
            </w:pPr>
            <w:r w:rsidRPr="00DB3A1A">
              <w:rPr>
                <w:rFonts w:ascii="Times New Roman" w:eastAsia="Times New Roman" w:hAnsi="Times New Roman" w:cs="Times New Roman"/>
                <w:b/>
                <w:bCs/>
                <w:color w:val="FF0000"/>
                <w:sz w:val="14"/>
                <w:szCs w:val="14"/>
                <w:lang w:eastAsia="lv-LV"/>
              </w:rPr>
              <w:t>-20 470 788</w:t>
            </w:r>
          </w:p>
        </w:tc>
      </w:tr>
    </w:tbl>
    <w:p w14:paraId="0D1AF2FF" w14:textId="14B4C4D0" w:rsidR="008F581A" w:rsidRPr="00DB3A1A" w:rsidRDefault="008F581A" w:rsidP="007E3C99">
      <w:pPr>
        <w:spacing w:before="120" w:after="120" w:line="240" w:lineRule="auto"/>
        <w:ind w:firstLine="720"/>
        <w:jc w:val="both"/>
        <w:rPr>
          <w:rFonts w:ascii="Times New Roman" w:hAnsi="Times New Roman" w:cs="Times New Roman"/>
          <w:sz w:val="24"/>
          <w:szCs w:val="24"/>
        </w:rPr>
      </w:pPr>
      <w:r w:rsidRPr="00DB3A1A">
        <w:rPr>
          <w:rFonts w:ascii="Times New Roman" w:hAnsi="Times New Roman" w:cs="Times New Roman"/>
          <w:sz w:val="24"/>
          <w:szCs w:val="24"/>
        </w:rPr>
        <w:t xml:space="preserve">Attiecīgi LM prognozē, ka speciālā budžeta apakšprogrammā 04.04.00 “Invaliditātes, maternitātes un slimības speciālais budžets” plānotie izdevumi slimības pabalstiem 2026.–2028. gadam būs nepieciešami mazākā apmērā: 2026. gadam par 3 200 113 </w:t>
      </w:r>
      <w:r w:rsidRPr="00DB3A1A">
        <w:rPr>
          <w:rFonts w:ascii="Times New Roman" w:hAnsi="Times New Roman" w:cs="Times New Roman"/>
          <w:i/>
          <w:iCs/>
          <w:sz w:val="24"/>
          <w:szCs w:val="24"/>
        </w:rPr>
        <w:t>euro</w:t>
      </w:r>
      <w:r w:rsidRPr="00DB3A1A">
        <w:rPr>
          <w:rFonts w:ascii="Times New Roman" w:hAnsi="Times New Roman" w:cs="Times New Roman"/>
          <w:sz w:val="24"/>
          <w:szCs w:val="24"/>
        </w:rPr>
        <w:t xml:space="preserve">, 2027. gadam par 20 055 108 </w:t>
      </w:r>
      <w:r w:rsidRPr="00DB3A1A">
        <w:rPr>
          <w:rFonts w:ascii="Times New Roman" w:hAnsi="Times New Roman" w:cs="Times New Roman"/>
          <w:i/>
          <w:iCs/>
          <w:sz w:val="24"/>
          <w:szCs w:val="24"/>
        </w:rPr>
        <w:t>euro</w:t>
      </w:r>
      <w:r w:rsidRPr="00DB3A1A">
        <w:rPr>
          <w:rFonts w:ascii="Times New Roman" w:hAnsi="Times New Roman" w:cs="Times New Roman"/>
          <w:sz w:val="24"/>
          <w:szCs w:val="24"/>
        </w:rPr>
        <w:t xml:space="preserve">, 2028. gadam par 20 470 788 </w:t>
      </w:r>
      <w:r w:rsidRPr="00DB3A1A">
        <w:rPr>
          <w:rFonts w:ascii="Times New Roman" w:hAnsi="Times New Roman" w:cs="Times New Roman"/>
          <w:i/>
          <w:iCs/>
          <w:sz w:val="24"/>
          <w:szCs w:val="24"/>
        </w:rPr>
        <w:t>euro</w:t>
      </w:r>
      <w:r w:rsidRPr="00DB3A1A">
        <w:rPr>
          <w:rFonts w:ascii="Times New Roman" w:hAnsi="Times New Roman" w:cs="Times New Roman"/>
          <w:sz w:val="24"/>
          <w:szCs w:val="24"/>
        </w:rPr>
        <w:t xml:space="preserve">. </w:t>
      </w:r>
    </w:p>
    <w:p w14:paraId="396E9FC3" w14:textId="78FC876C" w:rsidR="00BD56EB" w:rsidRPr="00DB3A1A" w:rsidRDefault="005F3BDC" w:rsidP="000E6CD8">
      <w:pPr>
        <w:spacing w:after="120" w:line="240" w:lineRule="auto"/>
        <w:jc w:val="both"/>
        <w:rPr>
          <w:rFonts w:ascii="Times New Roman" w:hAnsi="Times New Roman" w:cs="Times New Roman"/>
          <w:b/>
          <w:sz w:val="24"/>
          <w:szCs w:val="24"/>
        </w:rPr>
      </w:pPr>
      <w:r w:rsidRPr="00DB3A1A">
        <w:rPr>
          <w:rFonts w:ascii="Times New Roman" w:hAnsi="Times New Roman" w:cs="Times New Roman"/>
          <w:bCs/>
          <w:sz w:val="24"/>
          <w:szCs w:val="24"/>
        </w:rPr>
        <w:tab/>
      </w:r>
    </w:p>
    <w:p w14:paraId="2DC17D87" w14:textId="45DA0D4F" w:rsidR="00EB4338" w:rsidRPr="00DB3A1A" w:rsidRDefault="00EB4338" w:rsidP="00B1512C">
      <w:pPr>
        <w:pStyle w:val="ListParagraph"/>
        <w:numPr>
          <w:ilvl w:val="2"/>
          <w:numId w:val="15"/>
        </w:numPr>
        <w:shd w:val="clear" w:color="auto" w:fill="FFF2CC" w:themeFill="accent4" w:themeFillTint="33"/>
        <w:spacing w:after="120" w:line="240" w:lineRule="auto"/>
        <w:jc w:val="both"/>
        <w:rPr>
          <w:rFonts w:ascii="Times New Roman" w:hAnsi="Times New Roman" w:cs="Times New Roman"/>
          <w:b/>
          <w:sz w:val="28"/>
          <w:szCs w:val="28"/>
        </w:rPr>
      </w:pPr>
      <w:r w:rsidRPr="00DB3A1A">
        <w:rPr>
          <w:rFonts w:ascii="Times New Roman" w:hAnsi="Times New Roman" w:cs="Times New Roman"/>
          <w:b/>
          <w:bCs/>
          <w:sz w:val="28"/>
          <w:szCs w:val="28"/>
        </w:rPr>
        <w:t>74. budžeta resora izdevumu korekcija</w:t>
      </w:r>
    </w:p>
    <w:p w14:paraId="02E073F9" w14:textId="4F42A86B" w:rsidR="00EB4338" w:rsidRPr="00DB3A1A" w:rsidRDefault="00EB4338" w:rsidP="007E3C99">
      <w:pPr>
        <w:spacing w:after="120" w:line="240" w:lineRule="auto"/>
        <w:ind w:firstLine="720"/>
        <w:jc w:val="both"/>
        <w:rPr>
          <w:rFonts w:ascii="Times New Roman" w:hAnsi="Times New Roman" w:cs="Times New Roman"/>
          <w:sz w:val="24"/>
          <w:szCs w:val="24"/>
        </w:rPr>
      </w:pPr>
      <w:r w:rsidRPr="00DB3A1A">
        <w:rPr>
          <w:rFonts w:ascii="Times New Roman" w:hAnsi="Times New Roman" w:cs="Times New Roman"/>
          <w:sz w:val="24"/>
          <w:szCs w:val="24"/>
        </w:rPr>
        <w:t>Kā kompensējošs pasākums prioritāro pasākumu nodrošināšanai paredzēta izdevumu korekcija budžeta resora “74. Gadskārtējā valsts budžeta izpildes procesā pārdalāmais finansējums” programmās.</w:t>
      </w:r>
    </w:p>
    <w:p w14:paraId="469F6E0E" w14:textId="77777777" w:rsidR="00EB4338" w:rsidRPr="00DB3A1A" w:rsidRDefault="00EB4338" w:rsidP="007E3C99">
      <w:pPr>
        <w:pStyle w:val="ListParagraph"/>
        <w:spacing w:after="120" w:line="240" w:lineRule="auto"/>
        <w:ind w:left="714" w:firstLineChars="720" w:firstLine="1735"/>
        <w:contextualSpacing w:val="0"/>
        <w:jc w:val="both"/>
        <w:rPr>
          <w:rFonts w:ascii="Times New Roman" w:hAnsi="Times New Roman" w:cs="Times New Roman"/>
          <w:b/>
          <w:sz w:val="24"/>
          <w:szCs w:val="24"/>
        </w:rPr>
      </w:pPr>
    </w:p>
    <w:p w14:paraId="5D98D4F7" w14:textId="32C48D9B" w:rsidR="002B15A4" w:rsidRPr="00DB3A1A" w:rsidRDefault="00EB4338" w:rsidP="00B1512C">
      <w:pPr>
        <w:pStyle w:val="ListParagraph"/>
        <w:numPr>
          <w:ilvl w:val="1"/>
          <w:numId w:val="15"/>
        </w:numPr>
        <w:shd w:val="clear" w:color="auto" w:fill="FFF2CC" w:themeFill="accent4" w:themeFillTint="33"/>
        <w:spacing w:after="120" w:line="240" w:lineRule="auto"/>
        <w:ind w:left="714" w:hanging="357"/>
        <w:contextualSpacing w:val="0"/>
        <w:jc w:val="both"/>
        <w:rPr>
          <w:rFonts w:ascii="Times New Roman" w:hAnsi="Times New Roman" w:cs="Times New Roman"/>
          <w:b/>
          <w:sz w:val="28"/>
          <w:szCs w:val="28"/>
        </w:rPr>
      </w:pPr>
      <w:r w:rsidRPr="00DB3A1A">
        <w:rPr>
          <w:rFonts w:ascii="Times New Roman" w:hAnsi="Times New Roman" w:cs="Times New Roman"/>
          <w:b/>
          <w:sz w:val="28"/>
          <w:szCs w:val="28"/>
        </w:rPr>
        <w:t>Ieņēmumu palielinājums</w:t>
      </w:r>
    </w:p>
    <w:p w14:paraId="5EA04D4D" w14:textId="18496D70" w:rsidR="004329B8" w:rsidRPr="00DB3A1A" w:rsidRDefault="004329B8" w:rsidP="007E3C99">
      <w:pPr>
        <w:spacing w:after="120" w:line="240" w:lineRule="auto"/>
        <w:ind w:firstLine="720"/>
        <w:jc w:val="both"/>
        <w:rPr>
          <w:rFonts w:ascii="Times New Roman" w:eastAsiaTheme="majorEastAsia" w:hAnsi="Times New Roman" w:cs="Times New Roman"/>
          <w:sz w:val="24"/>
          <w:szCs w:val="24"/>
        </w:rPr>
      </w:pPr>
      <w:r w:rsidRPr="00DB3A1A">
        <w:rPr>
          <w:rFonts w:ascii="Times New Roman" w:eastAsiaTheme="majorEastAsia" w:hAnsi="Times New Roman" w:cs="Times New Roman"/>
          <w:sz w:val="24"/>
          <w:szCs w:val="24"/>
        </w:rPr>
        <w:t xml:space="preserve">Nodokļu politikas veidošana 2026. – 2028. gada periodam notiek sarežģītā ekonomiskajā vidē, kad nepieciešams līdzsvarot vairākus būtiskus mērķus: nodrošināt pietiekamus budžeta ieņēmumus publisko pakalpojumu finansēšanai, saglabāt Latvijas konkurētspēju starptautiskajā kontekstā, veicināt ekonomikas izaugsmi un ievērot sociālā taisnīguma principus. </w:t>
      </w:r>
    </w:p>
    <w:p w14:paraId="46C26A39" w14:textId="77777777" w:rsidR="004329B8" w:rsidRPr="00DB3A1A" w:rsidRDefault="004329B8" w:rsidP="007E3C99">
      <w:pPr>
        <w:spacing w:after="120" w:line="240" w:lineRule="auto"/>
        <w:ind w:firstLine="720"/>
        <w:jc w:val="both"/>
        <w:rPr>
          <w:rStyle w:val="normaltextrun"/>
          <w:rFonts w:ascii="Times New Roman" w:eastAsiaTheme="majorEastAsia" w:hAnsi="Times New Roman" w:cs="Times New Roman"/>
          <w:sz w:val="24"/>
          <w:szCs w:val="24"/>
        </w:rPr>
      </w:pPr>
      <w:r w:rsidRPr="00DB3A1A">
        <w:rPr>
          <w:rFonts w:ascii="Times New Roman" w:eastAsiaTheme="majorEastAsia" w:hAnsi="Times New Roman" w:cs="Times New Roman"/>
          <w:sz w:val="24"/>
          <w:szCs w:val="24"/>
        </w:rPr>
        <w:t>Šajā ziņojumā atspoguļota informācija par plānotajām nodokļu politikas izmaiņām un to potenciālo ietekmi uz valsts budžetu 2026. – 2028. gadā.</w:t>
      </w:r>
    </w:p>
    <w:p w14:paraId="2B71F216" w14:textId="77777777" w:rsidR="004329B8" w:rsidRPr="00DB3A1A" w:rsidRDefault="004329B8" w:rsidP="007E3C99">
      <w:pPr>
        <w:spacing w:after="120" w:line="240" w:lineRule="auto"/>
        <w:ind w:firstLine="720"/>
        <w:jc w:val="both"/>
        <w:rPr>
          <w:rFonts w:ascii="Times New Roman" w:eastAsiaTheme="majorEastAsia" w:hAnsi="Times New Roman" w:cs="Times New Roman"/>
          <w:sz w:val="24"/>
          <w:szCs w:val="24"/>
        </w:rPr>
      </w:pPr>
      <w:r w:rsidRPr="00DB3A1A">
        <w:rPr>
          <w:rFonts w:ascii="Times New Roman" w:eastAsiaTheme="majorEastAsia" w:hAnsi="Times New Roman" w:cs="Times New Roman"/>
          <w:sz w:val="24"/>
          <w:szCs w:val="24"/>
        </w:rPr>
        <w:t>Šie priekšlikumi izstrādāti, ņemot vērā gan Latvijas makroekonomisko attīstības prognozi, gan valdības noteiktos fiskālās politikas mērķus un prioritātes, tostarp nepieciešamību nodrošināt sabalansētu nodokļu slogu, uzlabot nodokļu ieņēmumu iekasēšanu un veicināt konkurētspējīgu uzņēmējdarbības vidi.</w:t>
      </w:r>
    </w:p>
    <w:p w14:paraId="4EFE23B6" w14:textId="77777777" w:rsidR="00EB4338" w:rsidRPr="00DB3A1A" w:rsidRDefault="00EB4338" w:rsidP="00D4597B">
      <w:pPr>
        <w:spacing w:after="120" w:line="240" w:lineRule="auto"/>
        <w:ind w:firstLine="714"/>
        <w:jc w:val="both"/>
        <w:rPr>
          <w:rFonts w:ascii="Times New Roman" w:hAnsi="Times New Roman" w:cs="Times New Roman"/>
          <w:sz w:val="24"/>
          <w:szCs w:val="24"/>
        </w:rPr>
      </w:pPr>
    </w:p>
    <w:p w14:paraId="38BEB977" w14:textId="34E35F19" w:rsidR="00EB4338" w:rsidRPr="00EB5274" w:rsidRDefault="00EB4338" w:rsidP="00B1512C">
      <w:pPr>
        <w:pStyle w:val="ListParagraph"/>
        <w:numPr>
          <w:ilvl w:val="2"/>
          <w:numId w:val="15"/>
        </w:numPr>
        <w:shd w:val="clear" w:color="auto" w:fill="FFF2CC" w:themeFill="accent4" w:themeFillTint="33"/>
        <w:spacing w:after="120" w:line="240" w:lineRule="auto"/>
        <w:jc w:val="both"/>
        <w:rPr>
          <w:rFonts w:ascii="Times New Roman" w:hAnsi="Times New Roman" w:cs="Times New Roman"/>
          <w:b/>
          <w:sz w:val="28"/>
          <w:szCs w:val="28"/>
        </w:rPr>
      </w:pPr>
      <w:r w:rsidRPr="00131494">
        <w:rPr>
          <w:rFonts w:ascii="Times New Roman" w:hAnsi="Times New Roman" w:cs="Times New Roman"/>
          <w:b/>
          <w:bCs/>
          <w:sz w:val="28"/>
          <w:szCs w:val="28"/>
        </w:rPr>
        <w:t>Akcīzes nodokļa izmaiņas</w:t>
      </w:r>
    </w:p>
    <w:p w14:paraId="72CE0259" w14:textId="77777777" w:rsidR="00DB3A1A" w:rsidRPr="002C3F2D" w:rsidRDefault="00DB3A1A" w:rsidP="00DB3A1A">
      <w:pPr>
        <w:pStyle w:val="Heading2"/>
        <w:spacing w:before="0" w:after="120"/>
        <w:rPr>
          <w:rFonts w:ascii="Times New Roman" w:hAnsi="Times New Roman"/>
          <w:u w:val="single"/>
        </w:rPr>
      </w:pPr>
      <w:r w:rsidRPr="002C3F2D">
        <w:rPr>
          <w:rStyle w:val="normaltextrun"/>
          <w:rFonts w:ascii="Times New Roman" w:hAnsi="Times New Roman"/>
          <w:u w:val="single"/>
        </w:rPr>
        <w:t>Akcīzes nodokļa likmju paaugstināšana alkoholiskajiem dzērieniem 2028. gadā</w:t>
      </w:r>
    </w:p>
    <w:p w14:paraId="643D0A04" w14:textId="77777777" w:rsidR="00DB3A1A" w:rsidRPr="00A57A6E" w:rsidRDefault="00DB3A1A" w:rsidP="00DB3A1A">
      <w:pPr>
        <w:spacing w:after="120" w:line="240" w:lineRule="auto"/>
        <w:ind w:firstLine="720"/>
        <w:jc w:val="both"/>
        <w:rPr>
          <w:rFonts w:ascii="Times New Roman" w:eastAsiaTheme="majorEastAsia" w:hAnsi="Times New Roman" w:cs="Times New Roman"/>
          <w:sz w:val="24"/>
          <w:szCs w:val="24"/>
        </w:rPr>
      </w:pPr>
      <w:r w:rsidRPr="00A57A6E">
        <w:rPr>
          <w:rStyle w:val="normaltextrun"/>
          <w:rFonts w:ascii="Times New Roman" w:eastAsiaTheme="majorEastAsia" w:hAnsi="Times New Roman" w:cs="Times New Roman"/>
          <w:sz w:val="24"/>
          <w:szCs w:val="24"/>
        </w:rPr>
        <w:t xml:space="preserve">Ņemot vērā </w:t>
      </w:r>
      <w:r w:rsidRPr="00A57A6E">
        <w:rPr>
          <w:rStyle w:val="eop"/>
          <w:rFonts w:ascii="Times New Roman" w:eastAsiaTheme="majorEastAsia" w:hAnsi="Times New Roman" w:cs="Times New Roman"/>
          <w:sz w:val="24"/>
          <w:szCs w:val="24"/>
        </w:rPr>
        <w:t>akcīzes nodokļa (</w:t>
      </w:r>
      <w:r w:rsidRPr="00A57A6E">
        <w:rPr>
          <w:rStyle w:val="eop"/>
          <w:rFonts w:ascii="Times New Roman" w:eastAsiaTheme="majorEastAsia" w:hAnsi="Times New Roman" w:cs="Times New Roman"/>
          <w:i/>
          <w:iCs/>
          <w:sz w:val="24"/>
          <w:szCs w:val="24"/>
        </w:rPr>
        <w:t>turpmāk – AN</w:t>
      </w:r>
      <w:r w:rsidRPr="00A57A6E">
        <w:rPr>
          <w:rStyle w:val="eop"/>
          <w:rFonts w:ascii="Times New Roman" w:eastAsiaTheme="majorEastAsia" w:hAnsi="Times New Roman" w:cs="Times New Roman"/>
          <w:sz w:val="24"/>
          <w:szCs w:val="24"/>
        </w:rPr>
        <w:t xml:space="preserve">) </w:t>
      </w:r>
      <w:r w:rsidRPr="00A57A6E">
        <w:rPr>
          <w:rStyle w:val="normaltextrun"/>
          <w:rFonts w:ascii="Times New Roman" w:eastAsiaTheme="majorEastAsia" w:hAnsi="Times New Roman" w:cs="Times New Roman"/>
          <w:sz w:val="24"/>
          <w:szCs w:val="24"/>
        </w:rPr>
        <w:t xml:space="preserve">alkoholiskajiem dzērieniem piemērošanas mērķi: nodrošināt valsts budžeta ieņēmumus un mazināt alkoholisko dzērienu patēriņu veselības </w:t>
      </w:r>
      <w:r w:rsidRPr="00A57A6E">
        <w:rPr>
          <w:rStyle w:val="normaltextrun"/>
          <w:rFonts w:ascii="Times New Roman" w:eastAsiaTheme="majorEastAsia" w:hAnsi="Times New Roman" w:cs="Times New Roman"/>
          <w:sz w:val="24"/>
          <w:szCs w:val="24"/>
        </w:rPr>
        <w:lastRenderedPageBreak/>
        <w:t xml:space="preserve">veicināšanas nolūkos, AN likmes alkoholiskajiem dzērieniem, t.sk. alum, tiek paaugstinātas katru gadu. Šobrīd ir spēkā AN likmju alkoholiskajiem dzērieniem, t.sk. alum, paaugstināšanas trīs gadu grafiks līdz 2027. gadam. Līdz ar to ir nepieciešams paredzēt AN likmju paaugstinājumu minētajiem produktiem arī 2028. gadā. Priekšlikums AN likmi alkoholisko dzērienu grupai “pārējie alkoholiskie dzērieni” jeb stiprajiem alkoholiskajiem dzērieniem paaugstināt straujāk </w:t>
      </w:r>
      <w:r w:rsidRPr="00A57A6E">
        <w:rPr>
          <w:rFonts w:ascii="Times New Roman" w:eastAsiaTheme="majorEastAsia" w:hAnsi="Times New Roman" w:cs="Times New Roman"/>
          <w:sz w:val="24"/>
          <w:szCs w:val="24"/>
        </w:rPr>
        <w:t xml:space="preserve">(par 100 litriem absolūtā alkohola) par 15 eiro </w:t>
      </w:r>
      <w:r w:rsidRPr="00A57A6E">
        <w:rPr>
          <w:rStyle w:val="normaltextrun"/>
          <w:rFonts w:ascii="Times New Roman" w:eastAsiaTheme="majorEastAsia" w:hAnsi="Times New Roman" w:cs="Times New Roman"/>
          <w:sz w:val="24"/>
          <w:szCs w:val="24"/>
        </w:rPr>
        <w:t xml:space="preserve">jau 2026.gada 1.martā un 2028. gada 1. martā AN likmes visiem alkoholiskajiem dzērieniem, t.sk. alum, paaugstināt </w:t>
      </w:r>
      <w:r w:rsidRPr="00A57A6E">
        <w:rPr>
          <w:rStyle w:val="normaltextrun"/>
          <w:rFonts w:ascii="Times New Roman" w:eastAsiaTheme="majorEastAsia" w:hAnsi="Times New Roman" w:cs="Times New Roman"/>
          <w:b/>
          <w:bCs/>
          <w:sz w:val="24"/>
          <w:szCs w:val="24"/>
        </w:rPr>
        <w:t>vidēji par 10%</w:t>
      </w:r>
      <w:r w:rsidRPr="00A57A6E">
        <w:rPr>
          <w:rStyle w:val="normaltextrun"/>
          <w:rFonts w:ascii="Times New Roman" w:eastAsiaTheme="majorEastAsia" w:hAnsi="Times New Roman" w:cs="Times New Roman"/>
          <w:sz w:val="24"/>
          <w:szCs w:val="24"/>
        </w:rPr>
        <w:t>.</w:t>
      </w:r>
    </w:p>
    <w:p w14:paraId="14B614B2" w14:textId="26AA17B4" w:rsidR="00DB3A1A" w:rsidRPr="00131494" w:rsidRDefault="00D47AD0" w:rsidP="00DB3A1A">
      <w:pPr>
        <w:spacing w:before="160" w:after="120"/>
        <w:jc w:val="center"/>
        <w:rPr>
          <w:rFonts w:ascii="Times New Roman" w:hAnsi="Times New Roman" w:cs="Times New Roman"/>
          <w:sz w:val="20"/>
          <w:szCs w:val="20"/>
        </w:rPr>
      </w:pPr>
      <w:r>
        <w:rPr>
          <w:rFonts w:ascii="Times New Roman" w:hAnsi="Times New Roman" w:cs="Times New Roman"/>
          <w:sz w:val="20"/>
          <w:szCs w:val="20"/>
        </w:rPr>
        <w:t>4</w:t>
      </w:r>
      <w:r w:rsidR="00DB3A1A" w:rsidRPr="00131494">
        <w:rPr>
          <w:rFonts w:ascii="Times New Roman" w:hAnsi="Times New Roman" w:cs="Times New Roman"/>
          <w:sz w:val="20"/>
          <w:szCs w:val="20"/>
        </w:rPr>
        <w:t>. tab</w:t>
      </w:r>
      <w:r>
        <w:rPr>
          <w:rFonts w:ascii="Times New Roman" w:hAnsi="Times New Roman" w:cs="Times New Roman"/>
          <w:sz w:val="20"/>
          <w:szCs w:val="20"/>
        </w:rPr>
        <w:t>ula</w:t>
      </w:r>
      <w:r w:rsidR="00DB3A1A" w:rsidRPr="00131494">
        <w:rPr>
          <w:rFonts w:ascii="Times New Roman" w:hAnsi="Times New Roman" w:cs="Times New Roman"/>
          <w:bCs/>
          <w:sz w:val="20"/>
          <w:szCs w:val="20"/>
        </w:rPr>
        <w:t>.</w:t>
      </w:r>
      <w:r w:rsidR="00DB3A1A" w:rsidRPr="00131494">
        <w:rPr>
          <w:rFonts w:ascii="Times New Roman" w:hAnsi="Times New Roman" w:cs="Times New Roman"/>
          <w:b/>
          <w:sz w:val="20"/>
          <w:szCs w:val="20"/>
        </w:rPr>
        <w:t xml:space="preserve"> Priekšlikuma indikatīva fiskālā ietekme</w:t>
      </w:r>
      <w:r w:rsidR="00DB3A1A" w:rsidRPr="00131494">
        <w:rPr>
          <w:rFonts w:ascii="Times New Roman" w:hAnsi="Times New Roman" w:cs="Times New Roman"/>
          <w:bCs/>
          <w:sz w:val="20"/>
          <w:szCs w:val="20"/>
        </w:rPr>
        <w:t>,</w:t>
      </w:r>
      <w:r w:rsidR="00DB3A1A" w:rsidRPr="00131494">
        <w:rPr>
          <w:rFonts w:ascii="Times New Roman" w:hAnsi="Times New Roman" w:cs="Times New Roman"/>
          <w:bCs/>
          <w:i/>
          <w:iCs/>
          <w:sz w:val="20"/>
          <w:szCs w:val="20"/>
        </w:rPr>
        <w:t> euro</w:t>
      </w:r>
    </w:p>
    <w:tbl>
      <w:tblPr>
        <w:tblStyle w:val="TableGrid"/>
        <w:tblW w:w="9346" w:type="dxa"/>
        <w:tblInd w:w="5" w:type="dxa"/>
        <w:tblLook w:val="04A0" w:firstRow="1" w:lastRow="0" w:firstColumn="1" w:lastColumn="0" w:noHBand="0" w:noVBand="1"/>
      </w:tblPr>
      <w:tblGrid>
        <w:gridCol w:w="4090"/>
        <w:gridCol w:w="1752"/>
        <w:gridCol w:w="1752"/>
        <w:gridCol w:w="1752"/>
      </w:tblGrid>
      <w:tr w:rsidR="00131494" w:rsidRPr="00131494" w14:paraId="1E3BEB48" w14:textId="77777777" w:rsidTr="00EF428C">
        <w:trPr>
          <w:trHeight w:val="255"/>
        </w:trPr>
        <w:tc>
          <w:tcPr>
            <w:tcW w:w="3969" w:type="dxa"/>
            <w:shd w:val="clear" w:color="auto" w:fill="FFFFFF" w:themeFill="background1"/>
          </w:tcPr>
          <w:p w14:paraId="2844B0F4" w14:textId="77777777" w:rsidR="00131494" w:rsidRPr="00131494" w:rsidRDefault="00131494" w:rsidP="00131494">
            <w:pPr>
              <w:pStyle w:val="ListParagraph"/>
              <w:spacing w:after="120"/>
              <w:ind w:left="0"/>
              <w:contextualSpacing w:val="0"/>
              <w:jc w:val="center"/>
              <w:rPr>
                <w:rFonts w:ascii="Times New Roman" w:hAnsi="Times New Roman" w:cs="Times New Roman"/>
                <w:b/>
                <w:bCs/>
                <w:sz w:val="20"/>
                <w:szCs w:val="20"/>
              </w:rPr>
            </w:pPr>
          </w:p>
        </w:tc>
        <w:tc>
          <w:tcPr>
            <w:tcW w:w="1701" w:type="dxa"/>
            <w:shd w:val="clear" w:color="auto" w:fill="FFFFFF" w:themeFill="background1"/>
            <w:vAlign w:val="bottom"/>
          </w:tcPr>
          <w:p w14:paraId="6E4554A2" w14:textId="77777777" w:rsidR="00131494" w:rsidRPr="00131494" w:rsidRDefault="00131494" w:rsidP="00131494">
            <w:pPr>
              <w:pStyle w:val="ListParagraph"/>
              <w:spacing w:after="120"/>
              <w:ind w:left="0"/>
              <w:contextualSpacing w:val="0"/>
              <w:jc w:val="center"/>
              <w:rPr>
                <w:rFonts w:ascii="Times New Roman" w:hAnsi="Times New Roman" w:cs="Times New Roman"/>
                <w:b/>
                <w:bCs/>
                <w:sz w:val="20"/>
                <w:szCs w:val="20"/>
              </w:rPr>
            </w:pPr>
            <w:r w:rsidRPr="00131494">
              <w:rPr>
                <w:rFonts w:ascii="Times New Roman" w:hAnsi="Times New Roman" w:cs="Times New Roman"/>
                <w:b/>
                <w:bCs/>
                <w:sz w:val="20"/>
                <w:szCs w:val="20"/>
              </w:rPr>
              <w:t>2026</w:t>
            </w:r>
          </w:p>
        </w:tc>
        <w:tc>
          <w:tcPr>
            <w:tcW w:w="1701" w:type="dxa"/>
            <w:shd w:val="clear" w:color="auto" w:fill="FFFFFF" w:themeFill="background1"/>
            <w:vAlign w:val="bottom"/>
          </w:tcPr>
          <w:p w14:paraId="74CCBC71" w14:textId="77777777" w:rsidR="00131494" w:rsidRPr="00131494" w:rsidRDefault="00131494" w:rsidP="00131494">
            <w:pPr>
              <w:pStyle w:val="ListParagraph"/>
              <w:spacing w:after="120"/>
              <w:ind w:left="0"/>
              <w:contextualSpacing w:val="0"/>
              <w:jc w:val="center"/>
              <w:rPr>
                <w:rFonts w:ascii="Times New Roman" w:hAnsi="Times New Roman" w:cs="Times New Roman"/>
                <w:b/>
                <w:bCs/>
                <w:sz w:val="20"/>
                <w:szCs w:val="20"/>
              </w:rPr>
            </w:pPr>
            <w:r w:rsidRPr="00131494">
              <w:rPr>
                <w:rFonts w:ascii="Times New Roman" w:hAnsi="Times New Roman" w:cs="Times New Roman"/>
                <w:b/>
                <w:bCs/>
                <w:sz w:val="20"/>
                <w:szCs w:val="20"/>
              </w:rPr>
              <w:t>2027</w:t>
            </w:r>
          </w:p>
        </w:tc>
        <w:tc>
          <w:tcPr>
            <w:tcW w:w="1701" w:type="dxa"/>
            <w:shd w:val="clear" w:color="auto" w:fill="FFFFFF" w:themeFill="background1"/>
            <w:vAlign w:val="bottom"/>
          </w:tcPr>
          <w:p w14:paraId="6D6622F9" w14:textId="77777777" w:rsidR="00131494" w:rsidRPr="00131494" w:rsidRDefault="00131494" w:rsidP="00131494">
            <w:pPr>
              <w:pStyle w:val="ListParagraph"/>
              <w:spacing w:after="120"/>
              <w:ind w:left="0"/>
              <w:contextualSpacing w:val="0"/>
              <w:jc w:val="center"/>
              <w:rPr>
                <w:rFonts w:ascii="Times New Roman" w:hAnsi="Times New Roman" w:cs="Times New Roman"/>
                <w:b/>
                <w:bCs/>
                <w:sz w:val="20"/>
                <w:szCs w:val="20"/>
              </w:rPr>
            </w:pPr>
            <w:r w:rsidRPr="00131494">
              <w:rPr>
                <w:rFonts w:ascii="Times New Roman" w:hAnsi="Times New Roman" w:cs="Times New Roman"/>
                <w:b/>
                <w:bCs/>
                <w:sz w:val="20"/>
                <w:szCs w:val="20"/>
              </w:rPr>
              <w:t>2028</w:t>
            </w:r>
          </w:p>
        </w:tc>
      </w:tr>
      <w:tr w:rsidR="00131494" w:rsidRPr="00131494" w14:paraId="59677CE8" w14:textId="77777777" w:rsidTr="00EF428C">
        <w:trPr>
          <w:trHeight w:val="255"/>
        </w:trPr>
        <w:tc>
          <w:tcPr>
            <w:tcW w:w="3969" w:type="dxa"/>
            <w:shd w:val="clear" w:color="auto" w:fill="FFFFFF" w:themeFill="background1"/>
            <w:vAlign w:val="center"/>
          </w:tcPr>
          <w:p w14:paraId="7BBDF3EF" w14:textId="77777777" w:rsidR="00131494" w:rsidRPr="00131494" w:rsidRDefault="00131494" w:rsidP="00131494">
            <w:pPr>
              <w:pStyle w:val="ListParagraph"/>
              <w:spacing w:after="120"/>
              <w:ind w:left="0"/>
              <w:contextualSpacing w:val="0"/>
              <w:rPr>
                <w:rFonts w:ascii="Times New Roman" w:hAnsi="Times New Roman" w:cs="Times New Roman"/>
                <w:sz w:val="20"/>
                <w:szCs w:val="20"/>
              </w:rPr>
            </w:pPr>
            <w:bookmarkStart w:id="0" w:name="_Hlk209023845"/>
            <w:r w:rsidRPr="00131494">
              <w:rPr>
                <w:rFonts w:ascii="Times New Roman" w:hAnsi="Times New Roman" w:cs="Times New Roman"/>
                <w:sz w:val="20"/>
                <w:szCs w:val="20"/>
              </w:rPr>
              <w:t>AN ieņēmumi</w:t>
            </w:r>
          </w:p>
        </w:tc>
        <w:tc>
          <w:tcPr>
            <w:tcW w:w="1701" w:type="dxa"/>
            <w:shd w:val="clear" w:color="auto" w:fill="FFFFFF" w:themeFill="background1"/>
          </w:tcPr>
          <w:p w14:paraId="4144134E" w14:textId="77777777" w:rsidR="00131494" w:rsidRPr="00880622" w:rsidRDefault="00131494" w:rsidP="00131494">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+1 056 000</w:t>
            </w:r>
          </w:p>
        </w:tc>
        <w:tc>
          <w:tcPr>
            <w:tcW w:w="1701" w:type="dxa"/>
            <w:shd w:val="clear" w:color="auto" w:fill="FFFFFF" w:themeFill="background1"/>
          </w:tcPr>
          <w:p w14:paraId="6BA57E5C" w14:textId="77777777" w:rsidR="00131494" w:rsidRPr="00880622" w:rsidRDefault="00131494" w:rsidP="00131494">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+347 000</w:t>
            </w:r>
          </w:p>
        </w:tc>
        <w:tc>
          <w:tcPr>
            <w:tcW w:w="1701" w:type="dxa"/>
            <w:shd w:val="clear" w:color="auto" w:fill="FFFFFF" w:themeFill="background1"/>
          </w:tcPr>
          <w:p w14:paraId="46ED8642" w14:textId="77777777" w:rsidR="00131494" w:rsidRPr="00880622" w:rsidRDefault="00131494" w:rsidP="00131494">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 xml:space="preserve"> +2 380 000 </w:t>
            </w:r>
          </w:p>
        </w:tc>
      </w:tr>
      <w:tr w:rsidR="00131494" w:rsidRPr="00131494" w14:paraId="7A09FCE8" w14:textId="77777777" w:rsidTr="00EF428C">
        <w:trPr>
          <w:trHeight w:val="255"/>
        </w:trPr>
        <w:tc>
          <w:tcPr>
            <w:tcW w:w="3969" w:type="dxa"/>
            <w:shd w:val="clear" w:color="auto" w:fill="FFFFFF" w:themeFill="background1"/>
            <w:vAlign w:val="center"/>
          </w:tcPr>
          <w:p w14:paraId="722FB428" w14:textId="77777777" w:rsidR="00131494" w:rsidRPr="00131494" w:rsidRDefault="00131494" w:rsidP="00131494">
            <w:pPr>
              <w:pStyle w:val="ListParagraph"/>
              <w:spacing w:after="120"/>
              <w:ind w:left="0"/>
              <w:contextualSpacing w:val="0"/>
              <w:rPr>
                <w:rFonts w:ascii="Times New Roman" w:hAnsi="Times New Roman" w:cs="Times New Roman"/>
                <w:sz w:val="20"/>
                <w:szCs w:val="20"/>
              </w:rPr>
            </w:pPr>
            <w:r w:rsidRPr="00131494">
              <w:rPr>
                <w:rFonts w:ascii="Times New Roman" w:hAnsi="Times New Roman" w:cs="Times New Roman"/>
                <w:sz w:val="20"/>
                <w:szCs w:val="20"/>
              </w:rPr>
              <w:t>PVN ieņēmumi</w:t>
            </w:r>
          </w:p>
        </w:tc>
        <w:tc>
          <w:tcPr>
            <w:tcW w:w="1701" w:type="dxa"/>
            <w:shd w:val="clear" w:color="auto" w:fill="FFFFFF" w:themeFill="background1"/>
          </w:tcPr>
          <w:p w14:paraId="2B1F679B" w14:textId="77777777" w:rsidR="00131494" w:rsidRPr="00880622" w:rsidRDefault="00131494" w:rsidP="00131494">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+221 760</w:t>
            </w:r>
          </w:p>
        </w:tc>
        <w:tc>
          <w:tcPr>
            <w:tcW w:w="1701" w:type="dxa"/>
            <w:shd w:val="clear" w:color="auto" w:fill="FFFFFF" w:themeFill="background1"/>
          </w:tcPr>
          <w:p w14:paraId="6ED66F8F" w14:textId="77777777" w:rsidR="00131494" w:rsidRPr="00880622" w:rsidRDefault="00131494" w:rsidP="00131494">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+72 870</w:t>
            </w:r>
          </w:p>
        </w:tc>
        <w:tc>
          <w:tcPr>
            <w:tcW w:w="1701" w:type="dxa"/>
            <w:shd w:val="clear" w:color="auto" w:fill="FFFFFF" w:themeFill="background1"/>
          </w:tcPr>
          <w:p w14:paraId="3382C161" w14:textId="77777777" w:rsidR="00131494" w:rsidRPr="00880622" w:rsidRDefault="00131494" w:rsidP="00131494">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 xml:space="preserve"> +500 000 </w:t>
            </w:r>
          </w:p>
        </w:tc>
      </w:tr>
      <w:tr w:rsidR="00131494" w:rsidRPr="00131494" w14:paraId="6EF158C3" w14:textId="77777777" w:rsidTr="00EF428C">
        <w:trPr>
          <w:trHeight w:val="255"/>
        </w:trPr>
        <w:tc>
          <w:tcPr>
            <w:tcW w:w="3969" w:type="dxa"/>
            <w:shd w:val="clear" w:color="auto" w:fill="F2F2F2" w:themeFill="background1" w:themeFillShade="F2"/>
            <w:vAlign w:val="center"/>
          </w:tcPr>
          <w:p w14:paraId="6C383DC0" w14:textId="77777777" w:rsidR="00131494" w:rsidRPr="00131494" w:rsidRDefault="00131494" w:rsidP="00131494">
            <w:pPr>
              <w:spacing w:after="120"/>
              <w:rPr>
                <w:rFonts w:ascii="Times New Roman" w:hAnsi="Times New Roman" w:cs="Times New Roman"/>
                <w:i/>
                <w:iCs/>
                <w:sz w:val="20"/>
                <w:szCs w:val="20"/>
              </w:rPr>
            </w:pPr>
            <w:r w:rsidRPr="00131494">
              <w:rPr>
                <w:rFonts w:ascii="Times New Roman" w:hAnsi="Times New Roman" w:cs="Times New Roman"/>
                <w:b/>
                <w:bCs/>
                <w:sz w:val="20"/>
                <w:szCs w:val="20"/>
              </w:rPr>
              <w:t>KOPĀ</w:t>
            </w:r>
            <w:r w:rsidRPr="00131494">
              <w:rPr>
                <w:rFonts w:ascii="Times New Roman" w:hAnsi="Times New Roman" w:cs="Times New Roman"/>
                <w:i/>
                <w:iCs/>
                <w:sz w:val="20"/>
                <w:szCs w:val="20"/>
              </w:rPr>
              <w:t>, no tiem:</w:t>
            </w:r>
          </w:p>
        </w:tc>
        <w:tc>
          <w:tcPr>
            <w:tcW w:w="1701" w:type="dxa"/>
            <w:shd w:val="clear" w:color="auto" w:fill="F2F2F2" w:themeFill="background1" w:themeFillShade="F2"/>
            <w:vAlign w:val="center"/>
          </w:tcPr>
          <w:p w14:paraId="44A5D720" w14:textId="77777777" w:rsidR="00131494" w:rsidRPr="00880622" w:rsidRDefault="00131494" w:rsidP="00131494">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b/>
                <w:bCs/>
                <w:sz w:val="20"/>
                <w:szCs w:val="20"/>
              </w:rPr>
              <w:t>+1 277 760</w:t>
            </w:r>
          </w:p>
        </w:tc>
        <w:tc>
          <w:tcPr>
            <w:tcW w:w="1701" w:type="dxa"/>
            <w:shd w:val="clear" w:color="auto" w:fill="F2F2F2" w:themeFill="background1" w:themeFillShade="F2"/>
            <w:vAlign w:val="center"/>
          </w:tcPr>
          <w:p w14:paraId="293AC184" w14:textId="77777777" w:rsidR="00131494" w:rsidRPr="00880622" w:rsidRDefault="00131494" w:rsidP="00131494">
            <w:pPr>
              <w:pStyle w:val="ListParagraph"/>
              <w:spacing w:after="120"/>
              <w:ind w:left="0"/>
              <w:contextualSpacing w:val="0"/>
              <w:jc w:val="right"/>
              <w:rPr>
                <w:rFonts w:ascii="Times New Roman" w:hAnsi="Times New Roman" w:cs="Times New Roman"/>
                <w:i/>
                <w:iCs/>
                <w:sz w:val="20"/>
                <w:szCs w:val="20"/>
              </w:rPr>
            </w:pPr>
            <w:r w:rsidRPr="00880622">
              <w:rPr>
                <w:rFonts w:ascii="Times New Roman" w:hAnsi="Times New Roman" w:cs="Times New Roman"/>
                <w:b/>
                <w:bCs/>
                <w:sz w:val="20"/>
                <w:szCs w:val="20"/>
              </w:rPr>
              <w:t>+419 870</w:t>
            </w:r>
          </w:p>
        </w:tc>
        <w:tc>
          <w:tcPr>
            <w:tcW w:w="1701" w:type="dxa"/>
            <w:shd w:val="clear" w:color="auto" w:fill="F2F2F2" w:themeFill="background1" w:themeFillShade="F2"/>
          </w:tcPr>
          <w:p w14:paraId="4E1EA517" w14:textId="77777777" w:rsidR="00131494" w:rsidRPr="00880622" w:rsidRDefault="00131494" w:rsidP="00131494">
            <w:pPr>
              <w:pStyle w:val="ListParagraph"/>
              <w:spacing w:after="120"/>
              <w:ind w:left="0"/>
              <w:contextualSpacing w:val="0"/>
              <w:jc w:val="right"/>
              <w:rPr>
                <w:rFonts w:ascii="Times New Roman" w:hAnsi="Times New Roman" w:cs="Times New Roman"/>
                <w:b/>
                <w:bCs/>
                <w:i/>
                <w:iCs/>
                <w:sz w:val="20"/>
                <w:szCs w:val="20"/>
              </w:rPr>
            </w:pPr>
            <w:r w:rsidRPr="00880622">
              <w:rPr>
                <w:rFonts w:ascii="Times New Roman" w:hAnsi="Times New Roman" w:cs="Times New Roman"/>
                <w:b/>
                <w:bCs/>
                <w:sz w:val="20"/>
                <w:szCs w:val="20"/>
              </w:rPr>
              <w:t xml:space="preserve">+2 880 000 </w:t>
            </w:r>
          </w:p>
        </w:tc>
      </w:tr>
      <w:tr w:rsidR="00131494" w:rsidRPr="00131494" w14:paraId="4C1ADCAD" w14:textId="77777777" w:rsidTr="00EF428C">
        <w:trPr>
          <w:trHeight w:val="255"/>
        </w:trPr>
        <w:tc>
          <w:tcPr>
            <w:tcW w:w="3969" w:type="dxa"/>
            <w:shd w:val="clear" w:color="auto" w:fill="FFFFFF" w:themeFill="background1"/>
            <w:vAlign w:val="center"/>
          </w:tcPr>
          <w:p w14:paraId="3BE71804" w14:textId="77777777" w:rsidR="00131494" w:rsidRPr="00131494" w:rsidRDefault="00131494" w:rsidP="00B1512C">
            <w:pPr>
              <w:pStyle w:val="ListParagraph"/>
              <w:numPr>
                <w:ilvl w:val="0"/>
                <w:numId w:val="7"/>
              </w:numPr>
              <w:tabs>
                <w:tab w:val="clear" w:pos="720"/>
                <w:tab w:val="num" w:pos="306"/>
              </w:tabs>
              <w:spacing w:after="120"/>
              <w:ind w:left="0" w:firstLine="0"/>
              <w:contextualSpacing w:val="0"/>
              <w:rPr>
                <w:rFonts w:ascii="Times New Roman" w:hAnsi="Times New Roman" w:cs="Times New Roman"/>
                <w:i/>
                <w:iCs/>
                <w:sz w:val="20"/>
                <w:szCs w:val="20"/>
              </w:rPr>
            </w:pPr>
            <w:r w:rsidRPr="00131494">
              <w:rPr>
                <w:rFonts w:ascii="Times New Roman" w:hAnsi="Times New Roman" w:cs="Times New Roman"/>
                <w:i/>
                <w:iCs/>
                <w:sz w:val="20"/>
                <w:szCs w:val="20"/>
              </w:rPr>
              <w:t>valsts pamatbudžetā</w:t>
            </w:r>
          </w:p>
        </w:tc>
        <w:tc>
          <w:tcPr>
            <w:tcW w:w="1701" w:type="dxa"/>
            <w:shd w:val="clear" w:color="auto" w:fill="FFFFFF" w:themeFill="background1"/>
            <w:vAlign w:val="center"/>
          </w:tcPr>
          <w:p w14:paraId="2B912FF0" w14:textId="77777777" w:rsidR="00131494" w:rsidRPr="00880622" w:rsidRDefault="00131494" w:rsidP="00131494">
            <w:pPr>
              <w:pStyle w:val="ListParagraph"/>
              <w:spacing w:after="120"/>
              <w:ind w:left="0"/>
              <w:contextualSpacing w:val="0"/>
              <w:jc w:val="right"/>
              <w:rPr>
                <w:rFonts w:ascii="Times New Roman" w:hAnsi="Times New Roman" w:cs="Times New Roman"/>
                <w:i/>
                <w:iCs/>
                <w:sz w:val="20"/>
                <w:szCs w:val="20"/>
              </w:rPr>
            </w:pPr>
            <w:r w:rsidRPr="00880622">
              <w:rPr>
                <w:rFonts w:ascii="Times New Roman" w:hAnsi="Times New Roman" w:cs="Times New Roman"/>
                <w:i/>
                <w:iCs/>
                <w:sz w:val="20"/>
                <w:szCs w:val="20"/>
              </w:rPr>
              <w:t>+1 277 760</w:t>
            </w:r>
          </w:p>
        </w:tc>
        <w:tc>
          <w:tcPr>
            <w:tcW w:w="1701" w:type="dxa"/>
            <w:shd w:val="clear" w:color="auto" w:fill="FFFFFF" w:themeFill="background1"/>
            <w:vAlign w:val="center"/>
          </w:tcPr>
          <w:p w14:paraId="7BE8E5E5" w14:textId="77777777" w:rsidR="00131494" w:rsidRPr="00880622" w:rsidRDefault="00131494" w:rsidP="00131494">
            <w:pPr>
              <w:pStyle w:val="ListParagraph"/>
              <w:spacing w:after="120"/>
              <w:ind w:left="0"/>
              <w:contextualSpacing w:val="0"/>
              <w:jc w:val="right"/>
              <w:rPr>
                <w:rFonts w:ascii="Times New Roman" w:hAnsi="Times New Roman" w:cs="Times New Roman"/>
                <w:i/>
                <w:iCs/>
                <w:sz w:val="20"/>
                <w:szCs w:val="20"/>
              </w:rPr>
            </w:pPr>
            <w:r w:rsidRPr="00880622">
              <w:rPr>
                <w:rFonts w:ascii="Times New Roman" w:hAnsi="Times New Roman" w:cs="Times New Roman"/>
                <w:i/>
                <w:iCs/>
                <w:sz w:val="20"/>
                <w:szCs w:val="20"/>
              </w:rPr>
              <w:t>+419 870</w:t>
            </w:r>
          </w:p>
        </w:tc>
        <w:tc>
          <w:tcPr>
            <w:tcW w:w="1701" w:type="dxa"/>
            <w:shd w:val="clear" w:color="auto" w:fill="FFFFFF" w:themeFill="background1"/>
          </w:tcPr>
          <w:p w14:paraId="30C88EFC" w14:textId="77777777" w:rsidR="00131494" w:rsidRPr="00880622" w:rsidRDefault="00131494" w:rsidP="00131494">
            <w:pPr>
              <w:pStyle w:val="ListParagraph"/>
              <w:spacing w:after="120"/>
              <w:ind w:left="0"/>
              <w:contextualSpacing w:val="0"/>
              <w:jc w:val="right"/>
              <w:rPr>
                <w:rFonts w:ascii="Times New Roman" w:hAnsi="Times New Roman" w:cs="Times New Roman"/>
                <w:i/>
                <w:iCs/>
                <w:sz w:val="20"/>
                <w:szCs w:val="20"/>
              </w:rPr>
            </w:pPr>
            <w:r w:rsidRPr="00880622">
              <w:rPr>
                <w:rFonts w:ascii="Times New Roman" w:hAnsi="Times New Roman" w:cs="Times New Roman"/>
                <w:i/>
                <w:iCs/>
                <w:sz w:val="20"/>
                <w:szCs w:val="20"/>
              </w:rPr>
              <w:t xml:space="preserve">+2 880 000 </w:t>
            </w:r>
          </w:p>
        </w:tc>
      </w:tr>
    </w:tbl>
    <w:bookmarkEnd w:id="0"/>
    <w:p w14:paraId="3D90BB87" w14:textId="77777777" w:rsidR="00DB3A1A" w:rsidRDefault="00DB3A1A" w:rsidP="00131494">
      <w:pPr>
        <w:tabs>
          <w:tab w:val="left" w:pos="426"/>
        </w:tabs>
        <w:spacing w:after="120" w:line="240" w:lineRule="auto"/>
        <w:rPr>
          <w:rFonts w:ascii="Times New Roman" w:hAnsi="Times New Roman" w:cs="Times New Roman"/>
          <w:i/>
          <w:sz w:val="20"/>
          <w:szCs w:val="20"/>
        </w:rPr>
      </w:pPr>
      <w:r w:rsidRPr="00131494">
        <w:rPr>
          <w:rFonts w:ascii="Times New Roman" w:hAnsi="Times New Roman" w:cs="Times New Roman"/>
          <w:b/>
          <w:bCs/>
          <w:i/>
          <w:sz w:val="20"/>
          <w:szCs w:val="20"/>
        </w:rPr>
        <w:t>Avots</w:t>
      </w:r>
      <w:r w:rsidRPr="00131494">
        <w:rPr>
          <w:rFonts w:ascii="Times New Roman" w:hAnsi="Times New Roman" w:cs="Times New Roman"/>
          <w:i/>
          <w:sz w:val="20"/>
          <w:szCs w:val="20"/>
        </w:rPr>
        <w:t>: FM aprēķini.</w:t>
      </w:r>
    </w:p>
    <w:p w14:paraId="5AB69696" w14:textId="77777777" w:rsidR="00D90533" w:rsidRPr="00131494" w:rsidRDefault="00D90533" w:rsidP="00131494">
      <w:pPr>
        <w:tabs>
          <w:tab w:val="left" w:pos="426"/>
        </w:tabs>
        <w:spacing w:after="120" w:line="240" w:lineRule="auto"/>
        <w:rPr>
          <w:rFonts w:ascii="Times New Roman" w:hAnsi="Times New Roman" w:cs="Times New Roman"/>
          <w:i/>
          <w:sz w:val="20"/>
          <w:szCs w:val="20"/>
        </w:rPr>
      </w:pPr>
    </w:p>
    <w:p w14:paraId="1621982A" w14:textId="77777777" w:rsidR="00DB3A1A" w:rsidRPr="002C3F2D" w:rsidRDefault="00DB3A1A" w:rsidP="00DB3A1A">
      <w:pPr>
        <w:pStyle w:val="Heading2"/>
        <w:spacing w:before="0" w:after="120"/>
        <w:rPr>
          <w:rFonts w:ascii="Times New Roman" w:hAnsi="Times New Roman"/>
          <w:u w:val="single"/>
        </w:rPr>
      </w:pPr>
      <w:r w:rsidRPr="002C3F2D">
        <w:rPr>
          <w:rStyle w:val="normaltextrun"/>
          <w:rFonts w:ascii="Times New Roman" w:hAnsi="Times New Roman"/>
          <w:u w:val="single"/>
        </w:rPr>
        <w:t>Akcīzes nodokļa likmju straujāka paaugstināšana tabakas izstrādājumiem un pēc izmantošanas mērķa līdzīgiem produktiem 2026.gadā un 2027.gadā, kā arī turpmāka likmju paaugstināšana no 2028. gada</w:t>
      </w:r>
    </w:p>
    <w:p w14:paraId="21D7310B" w14:textId="77777777" w:rsidR="00DB3A1A" w:rsidRPr="00A57A6E" w:rsidRDefault="00DB3A1A" w:rsidP="00DB3A1A">
      <w:pPr>
        <w:spacing w:after="120" w:line="240" w:lineRule="auto"/>
        <w:ind w:firstLine="720"/>
        <w:jc w:val="both"/>
        <w:rPr>
          <w:rFonts w:ascii="Times New Roman" w:hAnsi="Times New Roman" w:cs="Times New Roman"/>
          <w:sz w:val="24"/>
          <w:szCs w:val="24"/>
        </w:rPr>
      </w:pPr>
      <w:r w:rsidRPr="00A57A6E">
        <w:rPr>
          <w:rStyle w:val="normaltextrun"/>
          <w:rFonts w:ascii="Times New Roman" w:eastAsiaTheme="majorEastAsia" w:hAnsi="Times New Roman" w:cs="Times New Roman"/>
          <w:sz w:val="24"/>
          <w:szCs w:val="24"/>
        </w:rPr>
        <w:t>AN tabakas izstrādājumiem, izņemot karsējamo tabaku un tabakas lapas, viens no piemērošanas mērķiem ir nodrošināt brīvu šo prešu apriti Eiropas Savienības kopējā tirgū un vienlaikus augstu veselības aizsardzības līmeni. Savukārt, tā kā AN elektroniskajās smēķēšanas ierīcēs izmantojamam šķidrumam (</w:t>
      </w:r>
      <w:r w:rsidRPr="00A57A6E">
        <w:rPr>
          <w:rStyle w:val="normaltextrun"/>
          <w:rFonts w:ascii="Times New Roman" w:eastAsiaTheme="majorEastAsia" w:hAnsi="Times New Roman" w:cs="Times New Roman"/>
          <w:i/>
          <w:iCs/>
          <w:sz w:val="24"/>
          <w:szCs w:val="24"/>
        </w:rPr>
        <w:t>turpmāk – e-šķidrums</w:t>
      </w:r>
      <w:r w:rsidRPr="00A57A6E">
        <w:rPr>
          <w:rStyle w:val="normaltextrun"/>
          <w:rFonts w:ascii="Times New Roman" w:eastAsiaTheme="majorEastAsia" w:hAnsi="Times New Roman" w:cs="Times New Roman"/>
          <w:sz w:val="24"/>
          <w:szCs w:val="24"/>
        </w:rPr>
        <w:t>), e-šķidruma sagatavošanas sastāvdaļām (propilēns, glicerīns un citi), tabakas aizstājējproduktiem (nikotīna saturošie spilventiņi), karsējamai tabakai un tabakas lapām ir noteikts nacionālā līmenī, tā piemērošanas mērķis ir gūt papildus ieņēmumus valsts budžetā, kā arī ierobežot cilvēku veselībai kaitīgu produktu patēriņu.</w:t>
      </w:r>
      <w:r w:rsidRPr="00A57A6E">
        <w:rPr>
          <w:rStyle w:val="eop"/>
          <w:rFonts w:ascii="Times New Roman" w:eastAsiaTheme="majorEastAsia" w:hAnsi="Times New Roman" w:cs="Times New Roman"/>
          <w:sz w:val="24"/>
          <w:szCs w:val="24"/>
        </w:rPr>
        <w:t> </w:t>
      </w:r>
    </w:p>
    <w:p w14:paraId="578125CC" w14:textId="77777777" w:rsidR="00DB3A1A" w:rsidRPr="00A57A6E" w:rsidRDefault="00DB3A1A" w:rsidP="00DB3A1A">
      <w:pPr>
        <w:spacing w:after="120" w:line="240" w:lineRule="auto"/>
        <w:ind w:firstLine="720"/>
        <w:jc w:val="both"/>
        <w:rPr>
          <w:rStyle w:val="normaltextrun"/>
          <w:rFonts w:ascii="Times New Roman" w:eastAsiaTheme="majorEastAsia" w:hAnsi="Times New Roman" w:cs="Times New Roman"/>
          <w:sz w:val="24"/>
          <w:szCs w:val="24"/>
        </w:rPr>
      </w:pPr>
      <w:r w:rsidRPr="00A57A6E">
        <w:rPr>
          <w:rStyle w:val="normaltextrun"/>
          <w:rFonts w:ascii="Times New Roman" w:eastAsiaTheme="majorEastAsia" w:hAnsi="Times New Roman" w:cs="Times New Roman"/>
          <w:sz w:val="24"/>
          <w:szCs w:val="24"/>
        </w:rPr>
        <w:t xml:space="preserve">Šobrīd ir spēkā AN likmju tabakas izstrādājumiem un pēc izmantošanas mērķa līdzīgiem produktiem paaugstināšanas trīs gadu grafiks līdz 2027. gadam. Tomēr, lai gūtu papildus ieņēmumus valsts budžetā, nepieciešams noteikt straujāku akcīzes nodokļa paaugstināšanu </w:t>
      </w:r>
      <w:r w:rsidRPr="00A57A6E">
        <w:rPr>
          <w:rStyle w:val="normaltextrun"/>
          <w:rFonts w:ascii="Times New Roman" w:hAnsi="Times New Roman" w:cs="Times New Roman"/>
          <w:sz w:val="24"/>
          <w:szCs w:val="24"/>
        </w:rPr>
        <w:t xml:space="preserve">papildus jau noteiktajam paaugstinājumam </w:t>
      </w:r>
      <w:r w:rsidRPr="00A57A6E">
        <w:rPr>
          <w:rStyle w:val="normaltextrun"/>
          <w:rFonts w:ascii="Times New Roman" w:eastAsiaTheme="majorEastAsia" w:hAnsi="Times New Roman" w:cs="Times New Roman"/>
          <w:sz w:val="24"/>
          <w:szCs w:val="24"/>
        </w:rPr>
        <w:t xml:space="preserve">2026.gadā un 2027.gadā par 5% (izņemot 2026.gadā par cigāriem, cigarillām un e-šķidrumiem), kā arī 2028. gadā turpināt AN paaugstināšanu </w:t>
      </w:r>
      <w:r w:rsidRPr="00A57A6E">
        <w:rPr>
          <w:rStyle w:val="normaltextrun"/>
          <w:rFonts w:ascii="Times New Roman" w:eastAsiaTheme="majorEastAsia" w:hAnsi="Times New Roman" w:cs="Times New Roman"/>
          <w:b/>
          <w:bCs/>
          <w:sz w:val="24"/>
          <w:szCs w:val="24"/>
        </w:rPr>
        <w:t>vidēji par</w:t>
      </w:r>
      <w:r w:rsidRPr="00A57A6E">
        <w:rPr>
          <w:rStyle w:val="normaltextrun"/>
          <w:rFonts w:ascii="Times New Roman" w:eastAsiaTheme="majorEastAsia" w:hAnsi="Times New Roman" w:cs="Times New Roman"/>
          <w:sz w:val="24"/>
          <w:szCs w:val="24"/>
        </w:rPr>
        <w:t xml:space="preserve"> 1</w:t>
      </w:r>
      <w:r w:rsidRPr="00A57A6E">
        <w:rPr>
          <w:rStyle w:val="normaltextrun"/>
          <w:rFonts w:ascii="Times New Roman" w:eastAsiaTheme="majorEastAsia" w:hAnsi="Times New Roman" w:cs="Times New Roman"/>
          <w:b/>
          <w:bCs/>
          <w:sz w:val="24"/>
          <w:szCs w:val="24"/>
        </w:rPr>
        <w:t>5%</w:t>
      </w:r>
      <w:r w:rsidRPr="00A57A6E">
        <w:rPr>
          <w:rStyle w:val="normaltextrun"/>
          <w:rFonts w:ascii="Times New Roman" w:eastAsiaTheme="majorEastAsia" w:hAnsi="Times New Roman" w:cs="Times New Roman"/>
          <w:sz w:val="24"/>
          <w:szCs w:val="24"/>
        </w:rPr>
        <w:t>.</w:t>
      </w:r>
    </w:p>
    <w:p w14:paraId="1093E2CC" w14:textId="445E73DF" w:rsidR="00DB3A1A" w:rsidRPr="00A57A6E" w:rsidRDefault="00D47AD0" w:rsidP="00DB3A1A">
      <w:pPr>
        <w:spacing w:before="160" w:after="120"/>
        <w:jc w:val="center"/>
        <w:rPr>
          <w:rFonts w:ascii="Times New Roman" w:hAnsi="Times New Roman" w:cs="Times New Roman"/>
          <w:sz w:val="20"/>
          <w:szCs w:val="20"/>
        </w:rPr>
      </w:pPr>
      <w:r>
        <w:rPr>
          <w:rFonts w:ascii="Times New Roman" w:hAnsi="Times New Roman" w:cs="Times New Roman"/>
          <w:sz w:val="20"/>
          <w:szCs w:val="20"/>
        </w:rPr>
        <w:t>5</w:t>
      </w:r>
      <w:r w:rsidR="00DB3A1A" w:rsidRPr="00A57A6E">
        <w:rPr>
          <w:rFonts w:ascii="Times New Roman" w:hAnsi="Times New Roman" w:cs="Times New Roman"/>
          <w:sz w:val="20"/>
          <w:szCs w:val="20"/>
        </w:rPr>
        <w:t>. tab</w:t>
      </w:r>
      <w:r>
        <w:rPr>
          <w:rFonts w:ascii="Times New Roman" w:hAnsi="Times New Roman" w:cs="Times New Roman"/>
          <w:sz w:val="20"/>
          <w:szCs w:val="20"/>
        </w:rPr>
        <w:t>ula</w:t>
      </w:r>
      <w:r w:rsidR="00DB3A1A" w:rsidRPr="00A57A6E">
        <w:rPr>
          <w:rFonts w:ascii="Times New Roman" w:hAnsi="Times New Roman" w:cs="Times New Roman"/>
          <w:bCs/>
          <w:sz w:val="20"/>
          <w:szCs w:val="20"/>
        </w:rPr>
        <w:t>.</w:t>
      </w:r>
      <w:r w:rsidR="00DB3A1A" w:rsidRPr="00A57A6E">
        <w:rPr>
          <w:rFonts w:ascii="Times New Roman" w:hAnsi="Times New Roman" w:cs="Times New Roman"/>
          <w:b/>
          <w:sz w:val="20"/>
          <w:szCs w:val="20"/>
        </w:rPr>
        <w:t xml:space="preserve"> Priekšlikuma indikatīva fiskālā ietekme</w:t>
      </w:r>
      <w:r w:rsidR="00DB3A1A" w:rsidRPr="00A57A6E">
        <w:rPr>
          <w:rFonts w:ascii="Times New Roman" w:hAnsi="Times New Roman" w:cs="Times New Roman"/>
          <w:bCs/>
          <w:sz w:val="20"/>
          <w:szCs w:val="20"/>
        </w:rPr>
        <w:t>,</w:t>
      </w:r>
      <w:r w:rsidR="00DB3A1A" w:rsidRPr="00A57A6E">
        <w:rPr>
          <w:rFonts w:ascii="Times New Roman" w:hAnsi="Times New Roman" w:cs="Times New Roman"/>
          <w:bCs/>
          <w:i/>
          <w:iCs/>
          <w:sz w:val="20"/>
          <w:szCs w:val="20"/>
        </w:rPr>
        <w:t> euro</w:t>
      </w:r>
    </w:p>
    <w:tbl>
      <w:tblPr>
        <w:tblStyle w:val="TableGrid"/>
        <w:tblW w:w="9346" w:type="dxa"/>
        <w:tblInd w:w="5" w:type="dxa"/>
        <w:tblLook w:val="04A0" w:firstRow="1" w:lastRow="0" w:firstColumn="1" w:lastColumn="0" w:noHBand="0" w:noVBand="1"/>
      </w:tblPr>
      <w:tblGrid>
        <w:gridCol w:w="4101"/>
        <w:gridCol w:w="1701"/>
        <w:gridCol w:w="1701"/>
        <w:gridCol w:w="1843"/>
      </w:tblGrid>
      <w:tr w:rsidR="00A57A6E" w:rsidRPr="00A57A6E" w14:paraId="5C5A9806" w14:textId="77777777" w:rsidTr="00A57A6E">
        <w:trPr>
          <w:trHeight w:val="255"/>
        </w:trPr>
        <w:tc>
          <w:tcPr>
            <w:tcW w:w="4101" w:type="dxa"/>
            <w:shd w:val="clear" w:color="auto" w:fill="FFFFFF" w:themeFill="background1"/>
          </w:tcPr>
          <w:p w14:paraId="14705DDD" w14:textId="77777777" w:rsidR="00A57A6E" w:rsidRPr="00A57A6E" w:rsidRDefault="00A57A6E" w:rsidP="00A57A6E">
            <w:pPr>
              <w:pStyle w:val="ListParagraph"/>
              <w:spacing w:after="120"/>
              <w:ind w:left="0"/>
              <w:contextualSpacing w:val="0"/>
              <w:jc w:val="center"/>
              <w:rPr>
                <w:rFonts w:ascii="Times New Roman" w:hAnsi="Times New Roman" w:cs="Times New Roman"/>
                <w:b/>
                <w:bCs/>
                <w:sz w:val="20"/>
                <w:szCs w:val="20"/>
              </w:rPr>
            </w:pPr>
          </w:p>
        </w:tc>
        <w:tc>
          <w:tcPr>
            <w:tcW w:w="1701" w:type="dxa"/>
            <w:shd w:val="clear" w:color="auto" w:fill="FFFFFF" w:themeFill="background1"/>
            <w:vAlign w:val="bottom"/>
          </w:tcPr>
          <w:p w14:paraId="35CDB224" w14:textId="77777777" w:rsidR="00A57A6E" w:rsidRPr="00A57A6E" w:rsidRDefault="00A57A6E" w:rsidP="00A57A6E">
            <w:pPr>
              <w:pStyle w:val="ListParagraph"/>
              <w:spacing w:after="120"/>
              <w:ind w:left="0"/>
              <w:contextualSpacing w:val="0"/>
              <w:jc w:val="center"/>
              <w:rPr>
                <w:rFonts w:ascii="Times New Roman" w:hAnsi="Times New Roman" w:cs="Times New Roman"/>
                <w:b/>
                <w:bCs/>
                <w:sz w:val="20"/>
                <w:szCs w:val="20"/>
              </w:rPr>
            </w:pPr>
            <w:r w:rsidRPr="00A57A6E">
              <w:rPr>
                <w:rFonts w:ascii="Times New Roman" w:hAnsi="Times New Roman" w:cs="Times New Roman"/>
                <w:b/>
                <w:bCs/>
                <w:sz w:val="20"/>
                <w:szCs w:val="20"/>
              </w:rPr>
              <w:t>2026</w:t>
            </w:r>
          </w:p>
        </w:tc>
        <w:tc>
          <w:tcPr>
            <w:tcW w:w="1701" w:type="dxa"/>
            <w:shd w:val="clear" w:color="auto" w:fill="FFFFFF" w:themeFill="background1"/>
            <w:vAlign w:val="bottom"/>
          </w:tcPr>
          <w:p w14:paraId="2F37D42A" w14:textId="77777777" w:rsidR="00A57A6E" w:rsidRPr="00A57A6E" w:rsidRDefault="00A57A6E" w:rsidP="00A57A6E">
            <w:pPr>
              <w:pStyle w:val="ListParagraph"/>
              <w:spacing w:after="120"/>
              <w:ind w:left="0"/>
              <w:contextualSpacing w:val="0"/>
              <w:jc w:val="center"/>
              <w:rPr>
                <w:rFonts w:ascii="Times New Roman" w:hAnsi="Times New Roman" w:cs="Times New Roman"/>
                <w:b/>
                <w:bCs/>
                <w:sz w:val="20"/>
                <w:szCs w:val="20"/>
              </w:rPr>
            </w:pPr>
            <w:r w:rsidRPr="00A57A6E">
              <w:rPr>
                <w:rFonts w:ascii="Times New Roman" w:hAnsi="Times New Roman" w:cs="Times New Roman"/>
                <w:b/>
                <w:bCs/>
                <w:sz w:val="20"/>
                <w:szCs w:val="20"/>
              </w:rPr>
              <w:t>2027</w:t>
            </w:r>
          </w:p>
        </w:tc>
        <w:tc>
          <w:tcPr>
            <w:tcW w:w="1843" w:type="dxa"/>
            <w:shd w:val="clear" w:color="auto" w:fill="FFFFFF" w:themeFill="background1"/>
            <w:vAlign w:val="bottom"/>
          </w:tcPr>
          <w:p w14:paraId="0BD314DF" w14:textId="77777777" w:rsidR="00A57A6E" w:rsidRPr="00A57A6E" w:rsidRDefault="00A57A6E" w:rsidP="00A57A6E">
            <w:pPr>
              <w:pStyle w:val="ListParagraph"/>
              <w:spacing w:after="120"/>
              <w:ind w:left="0"/>
              <w:contextualSpacing w:val="0"/>
              <w:jc w:val="center"/>
              <w:rPr>
                <w:rFonts w:ascii="Times New Roman" w:hAnsi="Times New Roman" w:cs="Times New Roman"/>
                <w:b/>
                <w:bCs/>
                <w:sz w:val="20"/>
                <w:szCs w:val="20"/>
              </w:rPr>
            </w:pPr>
            <w:r w:rsidRPr="00A57A6E">
              <w:rPr>
                <w:rFonts w:ascii="Times New Roman" w:hAnsi="Times New Roman" w:cs="Times New Roman"/>
                <w:b/>
                <w:bCs/>
                <w:sz w:val="20"/>
                <w:szCs w:val="20"/>
              </w:rPr>
              <w:t>2028</w:t>
            </w:r>
          </w:p>
        </w:tc>
      </w:tr>
      <w:tr w:rsidR="00A57A6E" w:rsidRPr="00A57A6E" w14:paraId="273B57BC" w14:textId="77777777" w:rsidTr="00A57A6E">
        <w:trPr>
          <w:trHeight w:val="255"/>
        </w:trPr>
        <w:tc>
          <w:tcPr>
            <w:tcW w:w="4101" w:type="dxa"/>
            <w:shd w:val="clear" w:color="auto" w:fill="FFFFFF" w:themeFill="background1"/>
            <w:vAlign w:val="center"/>
          </w:tcPr>
          <w:p w14:paraId="1A86FA58" w14:textId="77777777" w:rsidR="00A57A6E" w:rsidRPr="00A57A6E" w:rsidRDefault="00A57A6E" w:rsidP="00A57A6E">
            <w:pPr>
              <w:pStyle w:val="ListParagraph"/>
              <w:spacing w:after="120"/>
              <w:ind w:left="0"/>
              <w:contextualSpacing w:val="0"/>
              <w:rPr>
                <w:rFonts w:ascii="Times New Roman" w:hAnsi="Times New Roman" w:cs="Times New Roman"/>
                <w:sz w:val="20"/>
                <w:szCs w:val="20"/>
              </w:rPr>
            </w:pPr>
            <w:r w:rsidRPr="00A57A6E">
              <w:rPr>
                <w:rFonts w:ascii="Times New Roman" w:hAnsi="Times New Roman" w:cs="Times New Roman"/>
                <w:sz w:val="20"/>
                <w:szCs w:val="20"/>
              </w:rPr>
              <w:t>AN ieņēmumi</w:t>
            </w:r>
          </w:p>
        </w:tc>
        <w:tc>
          <w:tcPr>
            <w:tcW w:w="1701" w:type="dxa"/>
            <w:shd w:val="clear" w:color="auto" w:fill="FFFFFF" w:themeFill="background1"/>
            <w:vAlign w:val="center"/>
          </w:tcPr>
          <w:p w14:paraId="473EC57B" w14:textId="77777777" w:rsidR="00A57A6E" w:rsidRPr="00880622" w:rsidRDefault="00A57A6E" w:rsidP="00A57A6E">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+5 160 000</w:t>
            </w:r>
          </w:p>
        </w:tc>
        <w:tc>
          <w:tcPr>
            <w:tcW w:w="1701" w:type="dxa"/>
            <w:shd w:val="clear" w:color="auto" w:fill="FFFFFF" w:themeFill="background1"/>
            <w:vAlign w:val="center"/>
          </w:tcPr>
          <w:p w14:paraId="4E2ACC69" w14:textId="77777777" w:rsidR="00A57A6E" w:rsidRPr="00880622" w:rsidRDefault="00A57A6E" w:rsidP="00A57A6E">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+9 570 000</w:t>
            </w:r>
          </w:p>
        </w:tc>
        <w:tc>
          <w:tcPr>
            <w:tcW w:w="1843" w:type="dxa"/>
            <w:shd w:val="clear" w:color="auto" w:fill="FFFFFF" w:themeFill="background1"/>
            <w:vAlign w:val="center"/>
          </w:tcPr>
          <w:p w14:paraId="5AF0B1FB" w14:textId="77777777" w:rsidR="00A57A6E" w:rsidRPr="00880622" w:rsidRDefault="00A57A6E" w:rsidP="00A57A6E">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+20 420 000</w:t>
            </w:r>
          </w:p>
        </w:tc>
      </w:tr>
      <w:tr w:rsidR="00A57A6E" w:rsidRPr="00A57A6E" w14:paraId="1A3353E9" w14:textId="77777777" w:rsidTr="00A57A6E">
        <w:trPr>
          <w:trHeight w:val="255"/>
        </w:trPr>
        <w:tc>
          <w:tcPr>
            <w:tcW w:w="4101" w:type="dxa"/>
            <w:shd w:val="clear" w:color="auto" w:fill="FFFFFF" w:themeFill="background1"/>
            <w:vAlign w:val="center"/>
          </w:tcPr>
          <w:p w14:paraId="2AA19586" w14:textId="77777777" w:rsidR="00A57A6E" w:rsidRPr="00A57A6E" w:rsidRDefault="00A57A6E" w:rsidP="00A57A6E">
            <w:pPr>
              <w:pStyle w:val="ListParagraph"/>
              <w:spacing w:after="120"/>
              <w:ind w:left="0"/>
              <w:contextualSpacing w:val="0"/>
              <w:rPr>
                <w:rFonts w:ascii="Times New Roman" w:hAnsi="Times New Roman" w:cs="Times New Roman"/>
                <w:sz w:val="20"/>
                <w:szCs w:val="20"/>
              </w:rPr>
            </w:pPr>
            <w:r w:rsidRPr="00A57A6E">
              <w:rPr>
                <w:rFonts w:ascii="Times New Roman" w:hAnsi="Times New Roman" w:cs="Times New Roman"/>
                <w:sz w:val="20"/>
                <w:szCs w:val="20"/>
              </w:rPr>
              <w:t>PVN ieņēmumi</w:t>
            </w:r>
          </w:p>
        </w:tc>
        <w:tc>
          <w:tcPr>
            <w:tcW w:w="1701" w:type="dxa"/>
            <w:shd w:val="clear" w:color="auto" w:fill="FFFFFF" w:themeFill="background1"/>
            <w:vAlign w:val="center"/>
          </w:tcPr>
          <w:p w14:paraId="13F2016F" w14:textId="77777777" w:rsidR="00A57A6E" w:rsidRPr="00880622" w:rsidRDefault="00A57A6E" w:rsidP="00A57A6E">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+1 084 000</w:t>
            </w:r>
          </w:p>
        </w:tc>
        <w:tc>
          <w:tcPr>
            <w:tcW w:w="1701" w:type="dxa"/>
            <w:shd w:val="clear" w:color="auto" w:fill="FFFFFF" w:themeFill="background1"/>
            <w:vAlign w:val="center"/>
          </w:tcPr>
          <w:p w14:paraId="462DCB4D" w14:textId="77777777" w:rsidR="00A57A6E" w:rsidRPr="00880622" w:rsidRDefault="00A57A6E" w:rsidP="00A57A6E">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+2 010 000</w:t>
            </w:r>
          </w:p>
        </w:tc>
        <w:tc>
          <w:tcPr>
            <w:tcW w:w="1843" w:type="dxa"/>
            <w:shd w:val="clear" w:color="auto" w:fill="FFFFFF" w:themeFill="background1"/>
            <w:vAlign w:val="center"/>
          </w:tcPr>
          <w:p w14:paraId="65DD29DA" w14:textId="77777777" w:rsidR="00A57A6E" w:rsidRPr="00880622" w:rsidRDefault="00A57A6E" w:rsidP="00A57A6E">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+4 289 000</w:t>
            </w:r>
          </w:p>
        </w:tc>
      </w:tr>
      <w:tr w:rsidR="00A57A6E" w:rsidRPr="00A57A6E" w14:paraId="06963709" w14:textId="77777777" w:rsidTr="00A57A6E">
        <w:trPr>
          <w:trHeight w:val="255"/>
        </w:trPr>
        <w:tc>
          <w:tcPr>
            <w:tcW w:w="4101" w:type="dxa"/>
            <w:shd w:val="clear" w:color="auto" w:fill="F2F2F2" w:themeFill="background1" w:themeFillShade="F2"/>
            <w:vAlign w:val="center"/>
          </w:tcPr>
          <w:p w14:paraId="3E26DCCC" w14:textId="77777777" w:rsidR="00A57A6E" w:rsidRPr="00A57A6E" w:rsidRDefault="00A57A6E" w:rsidP="00A57A6E">
            <w:pPr>
              <w:spacing w:after="120"/>
              <w:rPr>
                <w:rFonts w:ascii="Times New Roman" w:hAnsi="Times New Roman" w:cs="Times New Roman"/>
                <w:i/>
                <w:iCs/>
                <w:sz w:val="20"/>
                <w:szCs w:val="20"/>
              </w:rPr>
            </w:pPr>
            <w:r w:rsidRPr="00A57A6E">
              <w:rPr>
                <w:rFonts w:ascii="Times New Roman" w:hAnsi="Times New Roman" w:cs="Times New Roman"/>
                <w:b/>
                <w:bCs/>
                <w:sz w:val="20"/>
                <w:szCs w:val="20"/>
              </w:rPr>
              <w:t>KOPĀ</w:t>
            </w:r>
            <w:r w:rsidRPr="00A57A6E">
              <w:rPr>
                <w:rFonts w:ascii="Times New Roman" w:hAnsi="Times New Roman" w:cs="Times New Roman"/>
                <w:i/>
                <w:iCs/>
                <w:sz w:val="20"/>
                <w:szCs w:val="20"/>
              </w:rPr>
              <w:t>, no tiem:</w:t>
            </w:r>
          </w:p>
        </w:tc>
        <w:tc>
          <w:tcPr>
            <w:tcW w:w="1701" w:type="dxa"/>
            <w:shd w:val="clear" w:color="auto" w:fill="F2F2F2" w:themeFill="background1" w:themeFillShade="F2"/>
            <w:vAlign w:val="center"/>
          </w:tcPr>
          <w:p w14:paraId="73F15F10" w14:textId="77777777" w:rsidR="00A57A6E" w:rsidRPr="00880622" w:rsidRDefault="00A57A6E" w:rsidP="00A57A6E">
            <w:pPr>
              <w:pStyle w:val="ListParagraph"/>
              <w:spacing w:after="120"/>
              <w:ind w:left="0"/>
              <w:contextualSpacing w:val="0"/>
              <w:jc w:val="right"/>
              <w:rPr>
                <w:rFonts w:ascii="Times New Roman" w:hAnsi="Times New Roman" w:cs="Times New Roman"/>
                <w:b/>
                <w:bCs/>
                <w:i/>
                <w:iCs/>
                <w:sz w:val="20"/>
                <w:szCs w:val="20"/>
              </w:rPr>
            </w:pPr>
            <w:r w:rsidRPr="00880622">
              <w:rPr>
                <w:rFonts w:ascii="Times New Roman" w:hAnsi="Times New Roman" w:cs="Times New Roman"/>
                <w:b/>
                <w:bCs/>
                <w:sz w:val="20"/>
                <w:szCs w:val="20"/>
              </w:rPr>
              <w:t>+6 244 000</w:t>
            </w:r>
          </w:p>
        </w:tc>
        <w:tc>
          <w:tcPr>
            <w:tcW w:w="1701" w:type="dxa"/>
            <w:shd w:val="clear" w:color="auto" w:fill="F2F2F2" w:themeFill="background1" w:themeFillShade="F2"/>
            <w:vAlign w:val="center"/>
          </w:tcPr>
          <w:p w14:paraId="0DD8EAAB" w14:textId="77777777" w:rsidR="00A57A6E" w:rsidRPr="00880622" w:rsidRDefault="00A57A6E" w:rsidP="00A57A6E">
            <w:pPr>
              <w:pStyle w:val="ListParagraph"/>
              <w:spacing w:after="120"/>
              <w:ind w:left="0"/>
              <w:contextualSpacing w:val="0"/>
              <w:jc w:val="right"/>
              <w:rPr>
                <w:rFonts w:ascii="Times New Roman" w:hAnsi="Times New Roman" w:cs="Times New Roman"/>
                <w:b/>
                <w:bCs/>
                <w:i/>
                <w:iCs/>
                <w:sz w:val="20"/>
                <w:szCs w:val="20"/>
              </w:rPr>
            </w:pPr>
            <w:r w:rsidRPr="00880622">
              <w:rPr>
                <w:rFonts w:ascii="Times New Roman" w:hAnsi="Times New Roman" w:cs="Times New Roman"/>
                <w:b/>
                <w:bCs/>
                <w:sz w:val="20"/>
                <w:szCs w:val="20"/>
              </w:rPr>
              <w:t>+11 580 000</w:t>
            </w:r>
          </w:p>
        </w:tc>
        <w:tc>
          <w:tcPr>
            <w:tcW w:w="1843" w:type="dxa"/>
            <w:shd w:val="clear" w:color="auto" w:fill="F2F2F2" w:themeFill="background1" w:themeFillShade="F2"/>
            <w:vAlign w:val="center"/>
          </w:tcPr>
          <w:p w14:paraId="55AF4D5B" w14:textId="77777777" w:rsidR="00A57A6E" w:rsidRPr="00880622" w:rsidRDefault="00A57A6E" w:rsidP="00A57A6E">
            <w:pPr>
              <w:pStyle w:val="ListParagraph"/>
              <w:spacing w:after="120"/>
              <w:ind w:left="0"/>
              <w:contextualSpacing w:val="0"/>
              <w:jc w:val="right"/>
              <w:rPr>
                <w:rFonts w:ascii="Times New Roman" w:hAnsi="Times New Roman" w:cs="Times New Roman"/>
                <w:b/>
                <w:bCs/>
                <w:i/>
                <w:iCs/>
                <w:sz w:val="20"/>
                <w:szCs w:val="20"/>
              </w:rPr>
            </w:pPr>
            <w:r w:rsidRPr="00880622">
              <w:rPr>
                <w:rFonts w:ascii="Times New Roman" w:hAnsi="Times New Roman" w:cs="Times New Roman"/>
                <w:b/>
                <w:bCs/>
                <w:sz w:val="20"/>
                <w:szCs w:val="20"/>
              </w:rPr>
              <w:t>+24 709 000</w:t>
            </w:r>
          </w:p>
        </w:tc>
      </w:tr>
      <w:tr w:rsidR="00A57A6E" w:rsidRPr="00A57A6E" w14:paraId="12CEF3E4" w14:textId="77777777" w:rsidTr="00A57A6E">
        <w:trPr>
          <w:trHeight w:val="255"/>
        </w:trPr>
        <w:tc>
          <w:tcPr>
            <w:tcW w:w="4101" w:type="dxa"/>
            <w:shd w:val="clear" w:color="auto" w:fill="FFFFFF" w:themeFill="background1"/>
            <w:vAlign w:val="center"/>
          </w:tcPr>
          <w:p w14:paraId="4BC9F949" w14:textId="77777777" w:rsidR="00A57A6E" w:rsidRPr="00A57A6E" w:rsidRDefault="00A57A6E" w:rsidP="00B1512C">
            <w:pPr>
              <w:pStyle w:val="ListParagraph"/>
              <w:numPr>
                <w:ilvl w:val="0"/>
                <w:numId w:val="7"/>
              </w:numPr>
              <w:tabs>
                <w:tab w:val="clear" w:pos="720"/>
                <w:tab w:val="num" w:pos="306"/>
              </w:tabs>
              <w:spacing w:after="120"/>
              <w:ind w:left="0" w:firstLine="0"/>
              <w:contextualSpacing w:val="0"/>
              <w:rPr>
                <w:rFonts w:ascii="Times New Roman" w:hAnsi="Times New Roman" w:cs="Times New Roman"/>
                <w:i/>
                <w:iCs/>
                <w:sz w:val="20"/>
                <w:szCs w:val="20"/>
              </w:rPr>
            </w:pPr>
            <w:r w:rsidRPr="00A57A6E">
              <w:rPr>
                <w:rFonts w:ascii="Times New Roman" w:hAnsi="Times New Roman" w:cs="Times New Roman"/>
                <w:i/>
                <w:iCs/>
                <w:sz w:val="20"/>
                <w:szCs w:val="20"/>
              </w:rPr>
              <w:t>valsts pamatbudžetā</w:t>
            </w:r>
          </w:p>
        </w:tc>
        <w:tc>
          <w:tcPr>
            <w:tcW w:w="1701" w:type="dxa"/>
            <w:shd w:val="clear" w:color="auto" w:fill="FFFFFF" w:themeFill="background1"/>
            <w:vAlign w:val="center"/>
          </w:tcPr>
          <w:p w14:paraId="1E6D3505" w14:textId="77777777" w:rsidR="00A57A6E" w:rsidRPr="00880622" w:rsidRDefault="00A57A6E" w:rsidP="00A57A6E">
            <w:pPr>
              <w:pStyle w:val="ListParagraph"/>
              <w:spacing w:after="120"/>
              <w:ind w:left="0"/>
              <w:contextualSpacing w:val="0"/>
              <w:jc w:val="right"/>
              <w:rPr>
                <w:rFonts w:ascii="Times New Roman" w:hAnsi="Times New Roman" w:cs="Times New Roman"/>
                <w:i/>
                <w:iCs/>
                <w:sz w:val="20"/>
                <w:szCs w:val="20"/>
              </w:rPr>
            </w:pPr>
            <w:r w:rsidRPr="00880622">
              <w:rPr>
                <w:rFonts w:ascii="Times New Roman" w:hAnsi="Times New Roman" w:cs="Times New Roman"/>
                <w:i/>
                <w:iCs/>
                <w:sz w:val="20"/>
                <w:szCs w:val="20"/>
              </w:rPr>
              <w:t>+6 244 000</w:t>
            </w:r>
          </w:p>
        </w:tc>
        <w:tc>
          <w:tcPr>
            <w:tcW w:w="1701" w:type="dxa"/>
            <w:shd w:val="clear" w:color="auto" w:fill="FFFFFF" w:themeFill="background1"/>
            <w:vAlign w:val="center"/>
          </w:tcPr>
          <w:p w14:paraId="5E97CFF0" w14:textId="77777777" w:rsidR="00A57A6E" w:rsidRPr="00880622" w:rsidRDefault="00A57A6E" w:rsidP="00A57A6E">
            <w:pPr>
              <w:pStyle w:val="ListParagraph"/>
              <w:spacing w:after="120"/>
              <w:ind w:left="0"/>
              <w:contextualSpacing w:val="0"/>
              <w:jc w:val="right"/>
              <w:rPr>
                <w:rFonts w:ascii="Times New Roman" w:hAnsi="Times New Roman" w:cs="Times New Roman"/>
                <w:i/>
                <w:iCs/>
                <w:sz w:val="20"/>
                <w:szCs w:val="20"/>
              </w:rPr>
            </w:pPr>
            <w:r w:rsidRPr="00880622">
              <w:rPr>
                <w:rFonts w:ascii="Times New Roman" w:hAnsi="Times New Roman" w:cs="Times New Roman"/>
                <w:i/>
                <w:iCs/>
                <w:sz w:val="20"/>
                <w:szCs w:val="20"/>
              </w:rPr>
              <w:t>+11 580 000</w:t>
            </w:r>
          </w:p>
        </w:tc>
        <w:tc>
          <w:tcPr>
            <w:tcW w:w="1843" w:type="dxa"/>
            <w:shd w:val="clear" w:color="auto" w:fill="FFFFFF" w:themeFill="background1"/>
            <w:vAlign w:val="center"/>
          </w:tcPr>
          <w:p w14:paraId="01112333" w14:textId="77777777" w:rsidR="00A57A6E" w:rsidRPr="00880622" w:rsidRDefault="00A57A6E" w:rsidP="00A57A6E">
            <w:pPr>
              <w:pStyle w:val="ListParagraph"/>
              <w:spacing w:after="120"/>
              <w:ind w:left="0"/>
              <w:contextualSpacing w:val="0"/>
              <w:jc w:val="right"/>
              <w:rPr>
                <w:rFonts w:ascii="Times New Roman" w:hAnsi="Times New Roman" w:cs="Times New Roman"/>
                <w:i/>
                <w:iCs/>
                <w:sz w:val="20"/>
                <w:szCs w:val="20"/>
              </w:rPr>
            </w:pPr>
            <w:r w:rsidRPr="00880622">
              <w:rPr>
                <w:rFonts w:ascii="Times New Roman" w:hAnsi="Times New Roman" w:cs="Times New Roman"/>
                <w:i/>
                <w:iCs/>
                <w:sz w:val="20"/>
                <w:szCs w:val="20"/>
              </w:rPr>
              <w:t>+24 709 000</w:t>
            </w:r>
          </w:p>
        </w:tc>
      </w:tr>
    </w:tbl>
    <w:p w14:paraId="286F2797" w14:textId="77777777" w:rsidR="00DB3A1A" w:rsidRDefault="00DB3A1A" w:rsidP="00A57A6E">
      <w:pPr>
        <w:tabs>
          <w:tab w:val="left" w:pos="426"/>
        </w:tabs>
        <w:spacing w:after="120" w:line="240" w:lineRule="auto"/>
        <w:rPr>
          <w:rFonts w:ascii="Times New Roman" w:hAnsi="Times New Roman" w:cs="Times New Roman"/>
          <w:i/>
          <w:sz w:val="20"/>
          <w:szCs w:val="20"/>
        </w:rPr>
      </w:pPr>
      <w:r w:rsidRPr="00A57A6E">
        <w:rPr>
          <w:rFonts w:ascii="Times New Roman" w:hAnsi="Times New Roman" w:cs="Times New Roman"/>
          <w:b/>
          <w:bCs/>
          <w:i/>
          <w:sz w:val="20"/>
          <w:szCs w:val="20"/>
        </w:rPr>
        <w:t>Avots</w:t>
      </w:r>
      <w:r w:rsidRPr="00A57A6E">
        <w:rPr>
          <w:rFonts w:ascii="Times New Roman" w:hAnsi="Times New Roman" w:cs="Times New Roman"/>
          <w:i/>
          <w:sz w:val="20"/>
          <w:szCs w:val="20"/>
        </w:rPr>
        <w:t>: FM aprēķini.</w:t>
      </w:r>
    </w:p>
    <w:p w14:paraId="35A7843E" w14:textId="77777777" w:rsidR="00D90533" w:rsidRPr="00A57A6E" w:rsidRDefault="00D90533" w:rsidP="00A57A6E">
      <w:pPr>
        <w:tabs>
          <w:tab w:val="left" w:pos="426"/>
        </w:tabs>
        <w:spacing w:after="120" w:line="240" w:lineRule="auto"/>
        <w:rPr>
          <w:rFonts w:ascii="Times New Roman" w:hAnsi="Times New Roman" w:cs="Times New Roman"/>
          <w:i/>
          <w:sz w:val="20"/>
          <w:szCs w:val="20"/>
        </w:rPr>
      </w:pPr>
    </w:p>
    <w:p w14:paraId="22390AC9" w14:textId="77777777" w:rsidR="00DB3A1A" w:rsidRPr="002C3F2D" w:rsidRDefault="00DB3A1A" w:rsidP="00C44E23">
      <w:pPr>
        <w:pStyle w:val="Heading2"/>
        <w:spacing w:before="0" w:after="120"/>
        <w:rPr>
          <w:rFonts w:ascii="Times New Roman" w:hAnsi="Times New Roman"/>
          <w:u w:val="single"/>
        </w:rPr>
      </w:pPr>
      <w:r w:rsidRPr="002C3F2D">
        <w:rPr>
          <w:rStyle w:val="normaltextrun"/>
          <w:rFonts w:ascii="Times New Roman" w:hAnsi="Times New Roman"/>
          <w:u w:val="single"/>
        </w:rPr>
        <w:t>Akcīzes nodokļa likmju paaugstināšana bezalkoholiskajiem dzērieniem 2028. gadā</w:t>
      </w:r>
    </w:p>
    <w:p w14:paraId="015F7446" w14:textId="77777777" w:rsidR="00DB3A1A" w:rsidRPr="00C44E23" w:rsidRDefault="00DB3A1A" w:rsidP="00C44E23">
      <w:pPr>
        <w:spacing w:after="120" w:line="240" w:lineRule="auto"/>
        <w:ind w:firstLine="720"/>
        <w:jc w:val="both"/>
        <w:rPr>
          <w:rStyle w:val="normaltextrun"/>
          <w:rFonts w:ascii="Times New Roman" w:eastAsiaTheme="majorEastAsia" w:hAnsi="Times New Roman" w:cs="Times New Roman"/>
          <w:sz w:val="24"/>
          <w:szCs w:val="24"/>
        </w:rPr>
      </w:pPr>
      <w:r w:rsidRPr="00C44E23">
        <w:rPr>
          <w:rStyle w:val="normaltextrun"/>
          <w:rFonts w:ascii="Times New Roman" w:eastAsiaTheme="majorEastAsia" w:hAnsi="Times New Roman" w:cs="Times New Roman"/>
          <w:sz w:val="24"/>
          <w:szCs w:val="24"/>
        </w:rPr>
        <w:t xml:space="preserve">AN bezalkoholiskajiem dzērieniem piemērošanas mērķis ir nodrošināt valsts budžeta ieņēmumus, kā arī ierobežot saldināto un dažādu piedevu saturošo bezalkoholisko dzērienu patēriņu veselības veicināšanas nolūkos. AN likme bezalkoholiskajiem dzērieniem ar cukura </w:t>
      </w:r>
      <w:r w:rsidRPr="00C44E23">
        <w:rPr>
          <w:rStyle w:val="normaltextrun"/>
          <w:rFonts w:ascii="Times New Roman" w:eastAsiaTheme="majorEastAsia" w:hAnsi="Times New Roman" w:cs="Times New Roman"/>
          <w:sz w:val="24"/>
          <w:szCs w:val="24"/>
        </w:rPr>
        <w:lastRenderedPageBreak/>
        <w:t>saturu līdz 8 gramiem (neieskaitot) uz 100 mililitriem pēdējo reizi tika pārskatīta 2011.</w:t>
      </w:r>
      <w:r w:rsidRPr="00C44E23">
        <w:rPr>
          <w:rFonts w:ascii="Times New Roman" w:hAnsi="Times New Roman" w:cs="Times New Roman"/>
          <w:sz w:val="24"/>
          <w:szCs w:val="24"/>
        </w:rPr>
        <w:t> </w:t>
      </w:r>
      <w:r w:rsidRPr="00C44E23">
        <w:rPr>
          <w:rStyle w:val="normaltextrun"/>
          <w:rFonts w:ascii="Times New Roman" w:eastAsiaTheme="majorEastAsia" w:hAnsi="Times New Roman" w:cs="Times New Roman"/>
          <w:sz w:val="24"/>
          <w:szCs w:val="24"/>
        </w:rPr>
        <w:t xml:space="preserve">gadā. Savukārt AN likme bezalkoholiskajiem dzērieniem ar cukura saturu no 8 gramiem (ieskaitot) uz 100 mililitriem un enerģijas dzērieniem pēdējo reizi tika paaugstināta 2025. gadā. Pēc savas būtības enerģijas dzērieni atšķiras no pārējiem bezalkoholiskajiem dzērieniem, jo tiem nelabvēlīgāka ietekme uz cilvēku organismu. Līdz ar to enerģijas dzērienu aprite ir atrunāta atsevišķā likumā - </w:t>
      </w:r>
      <w:r w:rsidRPr="00C44E23">
        <w:rPr>
          <w:rStyle w:val="normaltextrun"/>
          <w:rFonts w:ascii="Times New Roman" w:eastAsiaTheme="majorEastAsia" w:hAnsi="Times New Roman" w:cs="Times New Roman"/>
          <w:i/>
          <w:iCs/>
          <w:sz w:val="24"/>
          <w:szCs w:val="24"/>
        </w:rPr>
        <w:t>Enerģijas dzērienu aprites likumā</w:t>
      </w:r>
      <w:r w:rsidRPr="00C44E23">
        <w:rPr>
          <w:rStyle w:val="normaltextrun"/>
          <w:rFonts w:ascii="Times New Roman" w:eastAsiaTheme="majorEastAsia" w:hAnsi="Times New Roman" w:cs="Times New Roman"/>
          <w:sz w:val="24"/>
          <w:szCs w:val="24"/>
        </w:rPr>
        <w:t xml:space="preserve">. Enerģijas dzērienus aizliegts pārdot personām, kuras ir jaunākas par 18 gadiem, un šīs personas nedrīkst tos iegādāties. Par to ir paredzēta administratīvā atbildība. </w:t>
      </w:r>
    </w:p>
    <w:p w14:paraId="45FC5E32" w14:textId="77777777" w:rsidR="00DB3A1A" w:rsidRPr="00C44E23" w:rsidRDefault="00DB3A1A" w:rsidP="00C44E23">
      <w:pPr>
        <w:spacing w:after="120" w:line="240" w:lineRule="auto"/>
        <w:ind w:firstLine="720"/>
        <w:jc w:val="both"/>
        <w:rPr>
          <w:rFonts w:ascii="Times New Roman" w:hAnsi="Times New Roman" w:cs="Times New Roman"/>
          <w:sz w:val="24"/>
          <w:szCs w:val="24"/>
        </w:rPr>
      </w:pPr>
      <w:r w:rsidRPr="00C44E23">
        <w:rPr>
          <w:rStyle w:val="normaltextrun"/>
          <w:rFonts w:ascii="Times New Roman" w:eastAsiaTheme="majorEastAsia" w:hAnsi="Times New Roman" w:cs="Times New Roman"/>
          <w:sz w:val="24"/>
          <w:szCs w:val="24"/>
        </w:rPr>
        <w:t xml:space="preserve">Ņemot vērā minēto, priekšlikums 2028. gadā paaugstināt AN likmi bezalkoholiskajiem dzērieniem ar cukura saturu līdz 8 gramiem (neieskaitot) uz 100 mililitriem </w:t>
      </w:r>
      <w:r w:rsidRPr="00C44E23">
        <w:rPr>
          <w:rStyle w:val="normaltextrun"/>
          <w:rFonts w:ascii="Times New Roman" w:eastAsiaTheme="majorEastAsia" w:hAnsi="Times New Roman" w:cs="Times New Roman"/>
          <w:b/>
          <w:bCs/>
          <w:sz w:val="24"/>
          <w:szCs w:val="24"/>
        </w:rPr>
        <w:t>par 8,1%</w:t>
      </w:r>
      <w:r w:rsidRPr="00C44E23">
        <w:rPr>
          <w:rStyle w:val="normaltextrun"/>
          <w:rFonts w:ascii="Times New Roman" w:eastAsiaTheme="majorEastAsia" w:hAnsi="Times New Roman" w:cs="Times New Roman"/>
          <w:sz w:val="24"/>
          <w:szCs w:val="24"/>
        </w:rPr>
        <w:t xml:space="preserve"> un ar cukura saturu no 8 gramiem uz 100 mililitriem </w:t>
      </w:r>
      <w:r w:rsidRPr="00C44E23">
        <w:rPr>
          <w:rStyle w:val="normaltextrun"/>
          <w:rFonts w:ascii="Times New Roman" w:eastAsiaTheme="majorEastAsia" w:hAnsi="Times New Roman" w:cs="Times New Roman"/>
          <w:b/>
          <w:bCs/>
          <w:sz w:val="24"/>
          <w:szCs w:val="24"/>
        </w:rPr>
        <w:t>par 14,3%</w:t>
      </w:r>
      <w:r w:rsidRPr="00C44E23">
        <w:rPr>
          <w:rStyle w:val="normaltextrun"/>
          <w:rFonts w:ascii="Times New Roman" w:eastAsiaTheme="majorEastAsia" w:hAnsi="Times New Roman" w:cs="Times New Roman"/>
          <w:sz w:val="24"/>
          <w:szCs w:val="24"/>
        </w:rPr>
        <w:t xml:space="preserve"> un enerģijas dzērieniem par </w:t>
      </w:r>
      <w:r w:rsidRPr="00C44E23">
        <w:rPr>
          <w:rStyle w:val="normaltextrun"/>
          <w:rFonts w:ascii="Times New Roman" w:eastAsiaTheme="majorEastAsia" w:hAnsi="Times New Roman" w:cs="Times New Roman"/>
          <w:b/>
          <w:bCs/>
          <w:sz w:val="24"/>
          <w:szCs w:val="24"/>
        </w:rPr>
        <w:t>23,8%</w:t>
      </w:r>
      <w:r w:rsidRPr="00C44E23">
        <w:rPr>
          <w:rStyle w:val="normaltextrun"/>
          <w:rFonts w:ascii="Times New Roman" w:eastAsiaTheme="majorEastAsia" w:hAnsi="Times New Roman" w:cs="Times New Roman"/>
          <w:sz w:val="24"/>
          <w:szCs w:val="24"/>
        </w:rPr>
        <w:t>, kā arī atsevišķi noteikt (izdalīt) AN likmi enerģijas dzērieniem.</w:t>
      </w:r>
    </w:p>
    <w:p w14:paraId="7DB689EA" w14:textId="77777777" w:rsidR="00DB3A1A" w:rsidRPr="00C44E23" w:rsidRDefault="00DB3A1A" w:rsidP="00C44E23">
      <w:pPr>
        <w:spacing w:after="120" w:line="240" w:lineRule="auto"/>
        <w:ind w:firstLine="720"/>
        <w:jc w:val="both"/>
        <w:rPr>
          <w:rFonts w:ascii="Times New Roman" w:eastAsiaTheme="majorEastAsia" w:hAnsi="Times New Roman" w:cs="Times New Roman"/>
          <w:sz w:val="24"/>
          <w:szCs w:val="24"/>
        </w:rPr>
      </w:pPr>
      <w:r w:rsidRPr="00C44E23">
        <w:rPr>
          <w:rStyle w:val="normaltextrun"/>
          <w:rFonts w:ascii="Times New Roman" w:eastAsiaTheme="majorEastAsia" w:hAnsi="Times New Roman" w:cs="Times New Roman"/>
          <w:sz w:val="24"/>
          <w:szCs w:val="24"/>
        </w:rPr>
        <w:t>Papildus tam ir nepieciešams precizēt likumā “</w:t>
      </w:r>
      <w:r w:rsidRPr="00C44E23">
        <w:rPr>
          <w:rStyle w:val="normaltextrun"/>
          <w:rFonts w:ascii="Times New Roman" w:eastAsiaTheme="majorEastAsia" w:hAnsi="Times New Roman" w:cs="Times New Roman"/>
          <w:i/>
          <w:iCs/>
          <w:sz w:val="24"/>
          <w:szCs w:val="24"/>
        </w:rPr>
        <w:t>Par akcīzes nodokli</w:t>
      </w:r>
      <w:r w:rsidRPr="00C44E23">
        <w:rPr>
          <w:rStyle w:val="normaltextrun"/>
          <w:rFonts w:ascii="Times New Roman" w:eastAsiaTheme="majorEastAsia" w:hAnsi="Times New Roman" w:cs="Times New Roman"/>
          <w:sz w:val="24"/>
          <w:szCs w:val="24"/>
        </w:rPr>
        <w:t>” noteikto AN atbrīvojumu bezalkoholiskajiem dzērieniem, kuri ir nefasēti un izgatavoti sabiedriskās ēdināšanas uzņēmumā patērēšanai uz vietas, paredzot, ka minētais izņēmums attiecas uz negāzētajiem bezalkoholiskajiem dzērieniem ar 2028.gadu. Tādējādi tiktu novērsta situācija, ka viens un tas pats dzēriens izgatavots akcīzes preču noliktavā ir apliekams ar AN, bet, izgatavots sabiedriskās ēdināšanas uzņēmumā vai tirdzniecības vietās, nav apliekams ar AN.</w:t>
      </w:r>
      <w:r w:rsidRPr="00C44E23">
        <w:rPr>
          <w:rFonts w:ascii="Times New Roman" w:eastAsiaTheme="majorEastAsia" w:hAnsi="Times New Roman" w:cs="Times New Roman"/>
          <w:sz w:val="24"/>
          <w:szCs w:val="24"/>
        </w:rPr>
        <w:t xml:space="preserve"> </w:t>
      </w:r>
    </w:p>
    <w:p w14:paraId="5ED5D4EF" w14:textId="64A3DB7E" w:rsidR="00DB3A1A" w:rsidRPr="00C44E23" w:rsidRDefault="00D47AD0" w:rsidP="00C44E23">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6</w:t>
      </w:r>
      <w:r w:rsidR="00DB3A1A" w:rsidRPr="00C44E23">
        <w:rPr>
          <w:rFonts w:ascii="Times New Roman" w:hAnsi="Times New Roman" w:cs="Times New Roman"/>
          <w:sz w:val="20"/>
          <w:szCs w:val="20"/>
        </w:rPr>
        <w:t>. tab</w:t>
      </w:r>
      <w:r>
        <w:rPr>
          <w:rFonts w:ascii="Times New Roman" w:hAnsi="Times New Roman" w:cs="Times New Roman"/>
          <w:sz w:val="20"/>
          <w:szCs w:val="20"/>
        </w:rPr>
        <w:t>ula</w:t>
      </w:r>
      <w:r w:rsidR="00DB3A1A" w:rsidRPr="00C44E23">
        <w:rPr>
          <w:rFonts w:ascii="Times New Roman" w:hAnsi="Times New Roman" w:cs="Times New Roman"/>
          <w:bCs/>
          <w:sz w:val="20"/>
          <w:szCs w:val="20"/>
        </w:rPr>
        <w:t>.</w:t>
      </w:r>
      <w:r w:rsidR="00DB3A1A" w:rsidRPr="00C44E23">
        <w:rPr>
          <w:rFonts w:ascii="Times New Roman" w:hAnsi="Times New Roman" w:cs="Times New Roman"/>
          <w:b/>
          <w:sz w:val="20"/>
          <w:szCs w:val="20"/>
        </w:rPr>
        <w:t xml:space="preserve"> Priekšlikuma indikatīva fiskālā ietekme</w:t>
      </w:r>
      <w:r w:rsidR="00DB3A1A" w:rsidRPr="00C44E23">
        <w:rPr>
          <w:rFonts w:ascii="Times New Roman" w:hAnsi="Times New Roman" w:cs="Times New Roman"/>
          <w:bCs/>
          <w:sz w:val="20"/>
          <w:szCs w:val="20"/>
        </w:rPr>
        <w:t>,</w:t>
      </w:r>
      <w:r w:rsidR="00DB3A1A" w:rsidRPr="00C44E23">
        <w:rPr>
          <w:rFonts w:ascii="Times New Roman" w:hAnsi="Times New Roman" w:cs="Times New Roman"/>
          <w:bCs/>
          <w:i/>
          <w:iCs/>
          <w:sz w:val="20"/>
          <w:szCs w:val="20"/>
        </w:rPr>
        <w:t> euro</w:t>
      </w:r>
    </w:p>
    <w:tbl>
      <w:tblPr>
        <w:tblStyle w:val="TableGrid"/>
        <w:tblW w:w="9346" w:type="dxa"/>
        <w:tblInd w:w="5" w:type="dxa"/>
        <w:tblLook w:val="04A0" w:firstRow="1" w:lastRow="0" w:firstColumn="1" w:lastColumn="0" w:noHBand="0" w:noVBand="1"/>
      </w:tblPr>
      <w:tblGrid>
        <w:gridCol w:w="4090"/>
        <w:gridCol w:w="1752"/>
        <w:gridCol w:w="1752"/>
        <w:gridCol w:w="1752"/>
      </w:tblGrid>
      <w:tr w:rsidR="00C44E23" w:rsidRPr="00C44E23" w14:paraId="633A96B4" w14:textId="77777777" w:rsidTr="002C3F2D">
        <w:trPr>
          <w:trHeight w:val="255"/>
        </w:trPr>
        <w:tc>
          <w:tcPr>
            <w:tcW w:w="3969" w:type="dxa"/>
            <w:shd w:val="clear" w:color="auto" w:fill="FFFFFF" w:themeFill="background1"/>
          </w:tcPr>
          <w:p w14:paraId="4C56C9A3" w14:textId="77777777" w:rsidR="00C44E23" w:rsidRPr="00C44E23" w:rsidRDefault="00C44E23" w:rsidP="00C44E23">
            <w:pPr>
              <w:pStyle w:val="ListParagraph"/>
              <w:spacing w:after="120"/>
              <w:ind w:left="0"/>
              <w:contextualSpacing w:val="0"/>
              <w:jc w:val="center"/>
              <w:rPr>
                <w:rFonts w:ascii="Times New Roman" w:hAnsi="Times New Roman" w:cs="Times New Roman"/>
                <w:b/>
                <w:bCs/>
                <w:sz w:val="20"/>
                <w:szCs w:val="20"/>
              </w:rPr>
            </w:pPr>
          </w:p>
        </w:tc>
        <w:tc>
          <w:tcPr>
            <w:tcW w:w="1701" w:type="dxa"/>
            <w:shd w:val="clear" w:color="auto" w:fill="FFFFFF" w:themeFill="background1"/>
            <w:vAlign w:val="bottom"/>
          </w:tcPr>
          <w:p w14:paraId="388252E0" w14:textId="77777777" w:rsidR="00C44E23" w:rsidRPr="00C44E23" w:rsidRDefault="00C44E23" w:rsidP="00C44E23">
            <w:pPr>
              <w:pStyle w:val="ListParagraph"/>
              <w:spacing w:after="120"/>
              <w:ind w:left="0"/>
              <w:contextualSpacing w:val="0"/>
              <w:jc w:val="center"/>
              <w:rPr>
                <w:rFonts w:ascii="Times New Roman" w:hAnsi="Times New Roman" w:cs="Times New Roman"/>
                <w:b/>
                <w:bCs/>
                <w:sz w:val="20"/>
                <w:szCs w:val="20"/>
              </w:rPr>
            </w:pPr>
            <w:r w:rsidRPr="00C44E23">
              <w:rPr>
                <w:rFonts w:ascii="Times New Roman" w:hAnsi="Times New Roman" w:cs="Times New Roman"/>
                <w:b/>
                <w:bCs/>
                <w:sz w:val="20"/>
                <w:szCs w:val="20"/>
              </w:rPr>
              <w:t>2026</w:t>
            </w:r>
          </w:p>
        </w:tc>
        <w:tc>
          <w:tcPr>
            <w:tcW w:w="1701" w:type="dxa"/>
            <w:shd w:val="clear" w:color="auto" w:fill="FFFFFF" w:themeFill="background1"/>
            <w:vAlign w:val="bottom"/>
          </w:tcPr>
          <w:p w14:paraId="7AB21AFC" w14:textId="77777777" w:rsidR="00C44E23" w:rsidRPr="00C44E23" w:rsidRDefault="00C44E23" w:rsidP="00C44E23">
            <w:pPr>
              <w:pStyle w:val="ListParagraph"/>
              <w:spacing w:after="120"/>
              <w:ind w:left="0"/>
              <w:contextualSpacing w:val="0"/>
              <w:jc w:val="center"/>
              <w:rPr>
                <w:rFonts w:ascii="Times New Roman" w:hAnsi="Times New Roman" w:cs="Times New Roman"/>
                <w:b/>
                <w:bCs/>
                <w:sz w:val="20"/>
                <w:szCs w:val="20"/>
              </w:rPr>
            </w:pPr>
            <w:r w:rsidRPr="00C44E23">
              <w:rPr>
                <w:rFonts w:ascii="Times New Roman" w:hAnsi="Times New Roman" w:cs="Times New Roman"/>
                <w:b/>
                <w:bCs/>
                <w:sz w:val="20"/>
                <w:szCs w:val="20"/>
              </w:rPr>
              <w:t>2027</w:t>
            </w:r>
          </w:p>
        </w:tc>
        <w:tc>
          <w:tcPr>
            <w:tcW w:w="1701" w:type="dxa"/>
            <w:shd w:val="clear" w:color="auto" w:fill="FFFFFF" w:themeFill="background1"/>
            <w:vAlign w:val="bottom"/>
          </w:tcPr>
          <w:p w14:paraId="1DC23DEB" w14:textId="77777777" w:rsidR="00C44E23" w:rsidRPr="00C44E23" w:rsidRDefault="00C44E23" w:rsidP="00C44E23">
            <w:pPr>
              <w:pStyle w:val="ListParagraph"/>
              <w:spacing w:after="120"/>
              <w:ind w:left="0"/>
              <w:contextualSpacing w:val="0"/>
              <w:jc w:val="center"/>
              <w:rPr>
                <w:rFonts w:ascii="Times New Roman" w:hAnsi="Times New Roman" w:cs="Times New Roman"/>
                <w:b/>
                <w:bCs/>
                <w:sz w:val="20"/>
                <w:szCs w:val="20"/>
              </w:rPr>
            </w:pPr>
            <w:r w:rsidRPr="00C44E23">
              <w:rPr>
                <w:rFonts w:ascii="Times New Roman" w:hAnsi="Times New Roman" w:cs="Times New Roman"/>
                <w:b/>
                <w:bCs/>
                <w:sz w:val="20"/>
                <w:szCs w:val="20"/>
              </w:rPr>
              <w:t>2028</w:t>
            </w:r>
          </w:p>
        </w:tc>
      </w:tr>
      <w:tr w:rsidR="00C44E23" w:rsidRPr="00C44E23" w14:paraId="401CD407" w14:textId="77777777" w:rsidTr="002C3F2D">
        <w:trPr>
          <w:trHeight w:val="255"/>
        </w:trPr>
        <w:tc>
          <w:tcPr>
            <w:tcW w:w="3969" w:type="dxa"/>
            <w:shd w:val="clear" w:color="auto" w:fill="FFFFFF" w:themeFill="background1"/>
            <w:vAlign w:val="center"/>
          </w:tcPr>
          <w:p w14:paraId="59B46E73" w14:textId="77777777" w:rsidR="00C44E23" w:rsidRPr="00C44E23" w:rsidRDefault="00C44E23" w:rsidP="00C44E23">
            <w:pPr>
              <w:pStyle w:val="ListParagraph"/>
              <w:spacing w:after="120"/>
              <w:ind w:left="0"/>
              <w:contextualSpacing w:val="0"/>
              <w:rPr>
                <w:rFonts w:ascii="Times New Roman" w:hAnsi="Times New Roman" w:cs="Times New Roman"/>
                <w:sz w:val="20"/>
                <w:szCs w:val="20"/>
              </w:rPr>
            </w:pPr>
            <w:r w:rsidRPr="00C44E23">
              <w:rPr>
                <w:rFonts w:ascii="Times New Roman" w:hAnsi="Times New Roman" w:cs="Times New Roman"/>
                <w:sz w:val="20"/>
                <w:szCs w:val="20"/>
              </w:rPr>
              <w:t>AN ieņēmumi</w:t>
            </w:r>
          </w:p>
        </w:tc>
        <w:tc>
          <w:tcPr>
            <w:tcW w:w="1701" w:type="dxa"/>
            <w:shd w:val="clear" w:color="auto" w:fill="FFFFFF" w:themeFill="background1"/>
          </w:tcPr>
          <w:p w14:paraId="79FE23AA" w14:textId="77777777" w:rsidR="00C44E23" w:rsidRPr="00C44E23" w:rsidRDefault="00C44E23" w:rsidP="00C44E23">
            <w:pPr>
              <w:pStyle w:val="ListParagraph"/>
              <w:spacing w:after="120"/>
              <w:ind w:left="0"/>
              <w:contextualSpacing w:val="0"/>
              <w:jc w:val="center"/>
              <w:rPr>
                <w:rFonts w:ascii="Times New Roman" w:hAnsi="Times New Roman" w:cs="Times New Roman"/>
                <w:sz w:val="20"/>
                <w:szCs w:val="20"/>
              </w:rPr>
            </w:pPr>
            <w:r w:rsidRPr="00C44E23">
              <w:rPr>
                <w:rFonts w:ascii="Times New Roman" w:hAnsi="Times New Roman" w:cs="Times New Roman"/>
                <w:sz w:val="20"/>
                <w:szCs w:val="20"/>
              </w:rPr>
              <w:t>-</w:t>
            </w:r>
          </w:p>
        </w:tc>
        <w:tc>
          <w:tcPr>
            <w:tcW w:w="1701" w:type="dxa"/>
            <w:shd w:val="clear" w:color="auto" w:fill="FFFFFF" w:themeFill="background1"/>
          </w:tcPr>
          <w:p w14:paraId="25AB348F" w14:textId="77777777" w:rsidR="00C44E23" w:rsidRPr="00C44E23" w:rsidRDefault="00C44E23" w:rsidP="00C44E23">
            <w:pPr>
              <w:pStyle w:val="ListParagraph"/>
              <w:spacing w:after="120"/>
              <w:ind w:left="0"/>
              <w:contextualSpacing w:val="0"/>
              <w:jc w:val="center"/>
              <w:rPr>
                <w:rFonts w:ascii="Times New Roman" w:hAnsi="Times New Roman" w:cs="Times New Roman"/>
                <w:sz w:val="20"/>
                <w:szCs w:val="20"/>
              </w:rPr>
            </w:pPr>
            <w:r w:rsidRPr="00C44E23">
              <w:rPr>
                <w:rFonts w:ascii="Times New Roman" w:hAnsi="Times New Roman" w:cs="Times New Roman"/>
                <w:sz w:val="20"/>
                <w:szCs w:val="20"/>
              </w:rPr>
              <w:t>-</w:t>
            </w:r>
          </w:p>
        </w:tc>
        <w:tc>
          <w:tcPr>
            <w:tcW w:w="1701" w:type="dxa"/>
            <w:shd w:val="clear" w:color="auto" w:fill="FFFFFF" w:themeFill="background1"/>
          </w:tcPr>
          <w:p w14:paraId="340C18E8" w14:textId="77777777" w:rsidR="00C44E23" w:rsidRPr="00880622" w:rsidRDefault="00C44E23" w:rsidP="00C44E23">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 xml:space="preserve"> +2 040 000 </w:t>
            </w:r>
          </w:p>
        </w:tc>
      </w:tr>
      <w:tr w:rsidR="00C44E23" w:rsidRPr="00C44E23" w14:paraId="226C896A" w14:textId="77777777" w:rsidTr="002C3F2D">
        <w:trPr>
          <w:trHeight w:val="255"/>
        </w:trPr>
        <w:tc>
          <w:tcPr>
            <w:tcW w:w="3969" w:type="dxa"/>
            <w:shd w:val="clear" w:color="auto" w:fill="FFFFFF" w:themeFill="background1"/>
            <w:vAlign w:val="center"/>
          </w:tcPr>
          <w:p w14:paraId="2CFEF373" w14:textId="77777777" w:rsidR="00C44E23" w:rsidRPr="00C44E23" w:rsidRDefault="00C44E23" w:rsidP="00C44E23">
            <w:pPr>
              <w:pStyle w:val="ListParagraph"/>
              <w:spacing w:after="120"/>
              <w:ind w:left="0"/>
              <w:contextualSpacing w:val="0"/>
              <w:rPr>
                <w:rFonts w:ascii="Times New Roman" w:hAnsi="Times New Roman" w:cs="Times New Roman"/>
                <w:sz w:val="20"/>
                <w:szCs w:val="20"/>
              </w:rPr>
            </w:pPr>
            <w:r w:rsidRPr="00C44E23">
              <w:rPr>
                <w:rFonts w:ascii="Times New Roman" w:hAnsi="Times New Roman" w:cs="Times New Roman"/>
                <w:sz w:val="20"/>
                <w:szCs w:val="20"/>
              </w:rPr>
              <w:t>PVN ieņēmumi</w:t>
            </w:r>
          </w:p>
        </w:tc>
        <w:tc>
          <w:tcPr>
            <w:tcW w:w="1701" w:type="dxa"/>
            <w:shd w:val="clear" w:color="auto" w:fill="FFFFFF" w:themeFill="background1"/>
          </w:tcPr>
          <w:p w14:paraId="4BCE53A0" w14:textId="77777777" w:rsidR="00C44E23" w:rsidRPr="00C44E23" w:rsidRDefault="00C44E23" w:rsidP="00C44E23">
            <w:pPr>
              <w:pStyle w:val="ListParagraph"/>
              <w:spacing w:after="120"/>
              <w:ind w:left="0"/>
              <w:contextualSpacing w:val="0"/>
              <w:jc w:val="center"/>
              <w:rPr>
                <w:rFonts w:ascii="Times New Roman" w:hAnsi="Times New Roman" w:cs="Times New Roman"/>
                <w:sz w:val="20"/>
                <w:szCs w:val="20"/>
              </w:rPr>
            </w:pPr>
            <w:r w:rsidRPr="00C44E23">
              <w:rPr>
                <w:rFonts w:ascii="Times New Roman" w:hAnsi="Times New Roman" w:cs="Times New Roman"/>
                <w:sz w:val="20"/>
                <w:szCs w:val="20"/>
              </w:rPr>
              <w:t>-</w:t>
            </w:r>
          </w:p>
        </w:tc>
        <w:tc>
          <w:tcPr>
            <w:tcW w:w="1701" w:type="dxa"/>
            <w:shd w:val="clear" w:color="auto" w:fill="FFFFFF" w:themeFill="background1"/>
          </w:tcPr>
          <w:p w14:paraId="456AFA97" w14:textId="77777777" w:rsidR="00C44E23" w:rsidRPr="00C44E23" w:rsidRDefault="00C44E23" w:rsidP="00C44E23">
            <w:pPr>
              <w:pStyle w:val="ListParagraph"/>
              <w:spacing w:after="120"/>
              <w:ind w:left="0"/>
              <w:contextualSpacing w:val="0"/>
              <w:jc w:val="center"/>
              <w:rPr>
                <w:rFonts w:ascii="Times New Roman" w:hAnsi="Times New Roman" w:cs="Times New Roman"/>
                <w:sz w:val="20"/>
                <w:szCs w:val="20"/>
              </w:rPr>
            </w:pPr>
            <w:r w:rsidRPr="00C44E23">
              <w:rPr>
                <w:rFonts w:ascii="Times New Roman" w:hAnsi="Times New Roman" w:cs="Times New Roman"/>
                <w:sz w:val="20"/>
                <w:szCs w:val="20"/>
              </w:rPr>
              <w:t>-</w:t>
            </w:r>
          </w:p>
        </w:tc>
        <w:tc>
          <w:tcPr>
            <w:tcW w:w="1701" w:type="dxa"/>
            <w:shd w:val="clear" w:color="auto" w:fill="FFFFFF" w:themeFill="background1"/>
          </w:tcPr>
          <w:p w14:paraId="341C480D" w14:textId="77777777" w:rsidR="00C44E23" w:rsidRPr="00880622" w:rsidRDefault="00C44E23" w:rsidP="00C44E23">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 xml:space="preserve"> +429 000 </w:t>
            </w:r>
          </w:p>
        </w:tc>
      </w:tr>
      <w:tr w:rsidR="00C44E23" w:rsidRPr="00C44E23" w14:paraId="65EF88E7" w14:textId="77777777" w:rsidTr="002C3F2D">
        <w:trPr>
          <w:trHeight w:val="255"/>
        </w:trPr>
        <w:tc>
          <w:tcPr>
            <w:tcW w:w="3969" w:type="dxa"/>
            <w:shd w:val="clear" w:color="auto" w:fill="F2F2F2" w:themeFill="background1" w:themeFillShade="F2"/>
            <w:vAlign w:val="center"/>
          </w:tcPr>
          <w:p w14:paraId="38E05E82" w14:textId="77777777" w:rsidR="00C44E23" w:rsidRPr="00C44E23" w:rsidRDefault="00C44E23" w:rsidP="00C44E23">
            <w:pPr>
              <w:spacing w:after="120"/>
              <w:rPr>
                <w:rFonts w:ascii="Times New Roman" w:hAnsi="Times New Roman" w:cs="Times New Roman"/>
                <w:i/>
                <w:iCs/>
                <w:sz w:val="20"/>
                <w:szCs w:val="20"/>
              </w:rPr>
            </w:pPr>
            <w:r w:rsidRPr="00C44E23">
              <w:rPr>
                <w:rFonts w:ascii="Times New Roman" w:hAnsi="Times New Roman" w:cs="Times New Roman"/>
                <w:b/>
                <w:bCs/>
                <w:sz w:val="20"/>
                <w:szCs w:val="20"/>
              </w:rPr>
              <w:t>KOPĀ</w:t>
            </w:r>
            <w:r w:rsidRPr="00C44E23">
              <w:rPr>
                <w:rFonts w:ascii="Times New Roman" w:hAnsi="Times New Roman" w:cs="Times New Roman"/>
                <w:i/>
                <w:iCs/>
                <w:sz w:val="20"/>
                <w:szCs w:val="20"/>
              </w:rPr>
              <w:t>, no tiem:</w:t>
            </w:r>
          </w:p>
        </w:tc>
        <w:tc>
          <w:tcPr>
            <w:tcW w:w="1701" w:type="dxa"/>
            <w:shd w:val="clear" w:color="auto" w:fill="F2F2F2" w:themeFill="background1" w:themeFillShade="F2"/>
            <w:vAlign w:val="center"/>
          </w:tcPr>
          <w:p w14:paraId="12966125" w14:textId="77777777" w:rsidR="00C44E23" w:rsidRPr="00C44E23" w:rsidRDefault="00C44E23" w:rsidP="00C44E23">
            <w:pPr>
              <w:pStyle w:val="ListParagraph"/>
              <w:spacing w:after="120"/>
              <w:ind w:left="0"/>
              <w:contextualSpacing w:val="0"/>
              <w:jc w:val="center"/>
              <w:rPr>
                <w:rFonts w:ascii="Times New Roman" w:hAnsi="Times New Roman" w:cs="Times New Roman"/>
                <w:i/>
                <w:iCs/>
                <w:sz w:val="20"/>
                <w:szCs w:val="20"/>
              </w:rPr>
            </w:pPr>
            <w:r w:rsidRPr="00C44E23">
              <w:rPr>
                <w:rFonts w:ascii="Times New Roman" w:hAnsi="Times New Roman" w:cs="Times New Roman"/>
                <w:i/>
                <w:iCs/>
                <w:sz w:val="20"/>
                <w:szCs w:val="20"/>
              </w:rPr>
              <w:t>-</w:t>
            </w:r>
          </w:p>
        </w:tc>
        <w:tc>
          <w:tcPr>
            <w:tcW w:w="1701" w:type="dxa"/>
            <w:shd w:val="clear" w:color="auto" w:fill="F2F2F2" w:themeFill="background1" w:themeFillShade="F2"/>
            <w:vAlign w:val="center"/>
          </w:tcPr>
          <w:p w14:paraId="2E197999" w14:textId="77777777" w:rsidR="00C44E23" w:rsidRPr="00C44E23" w:rsidRDefault="00C44E23" w:rsidP="00C44E23">
            <w:pPr>
              <w:pStyle w:val="ListParagraph"/>
              <w:spacing w:after="120"/>
              <w:ind w:left="0"/>
              <w:contextualSpacing w:val="0"/>
              <w:jc w:val="center"/>
              <w:rPr>
                <w:rFonts w:ascii="Times New Roman" w:hAnsi="Times New Roman" w:cs="Times New Roman"/>
                <w:i/>
                <w:iCs/>
                <w:sz w:val="20"/>
                <w:szCs w:val="20"/>
              </w:rPr>
            </w:pPr>
            <w:r w:rsidRPr="00C44E23">
              <w:rPr>
                <w:rFonts w:ascii="Times New Roman" w:hAnsi="Times New Roman" w:cs="Times New Roman"/>
                <w:i/>
                <w:iCs/>
                <w:sz w:val="20"/>
                <w:szCs w:val="20"/>
              </w:rPr>
              <w:t>-</w:t>
            </w:r>
          </w:p>
        </w:tc>
        <w:tc>
          <w:tcPr>
            <w:tcW w:w="1701" w:type="dxa"/>
            <w:shd w:val="clear" w:color="auto" w:fill="F2F2F2" w:themeFill="background1" w:themeFillShade="F2"/>
          </w:tcPr>
          <w:p w14:paraId="225A9C0E" w14:textId="77777777" w:rsidR="00C44E23" w:rsidRPr="00880622" w:rsidRDefault="00C44E23" w:rsidP="00C44E23">
            <w:pPr>
              <w:pStyle w:val="ListParagraph"/>
              <w:spacing w:after="120"/>
              <w:ind w:left="0"/>
              <w:contextualSpacing w:val="0"/>
              <w:jc w:val="right"/>
              <w:rPr>
                <w:rFonts w:ascii="Times New Roman" w:hAnsi="Times New Roman" w:cs="Times New Roman"/>
                <w:b/>
                <w:bCs/>
                <w:i/>
                <w:iCs/>
                <w:sz w:val="20"/>
                <w:szCs w:val="20"/>
              </w:rPr>
            </w:pPr>
            <w:r w:rsidRPr="00880622">
              <w:rPr>
                <w:rFonts w:ascii="Times New Roman" w:hAnsi="Times New Roman" w:cs="Times New Roman"/>
                <w:b/>
                <w:bCs/>
                <w:sz w:val="20"/>
                <w:szCs w:val="20"/>
              </w:rPr>
              <w:t xml:space="preserve">+2 469 000 </w:t>
            </w:r>
          </w:p>
        </w:tc>
      </w:tr>
      <w:tr w:rsidR="00C44E23" w:rsidRPr="00C44E23" w14:paraId="10DE9BB0" w14:textId="77777777" w:rsidTr="002C3F2D">
        <w:trPr>
          <w:trHeight w:val="255"/>
        </w:trPr>
        <w:tc>
          <w:tcPr>
            <w:tcW w:w="3969" w:type="dxa"/>
            <w:shd w:val="clear" w:color="auto" w:fill="FFFFFF" w:themeFill="background1"/>
            <w:vAlign w:val="center"/>
          </w:tcPr>
          <w:p w14:paraId="3163F21E" w14:textId="77777777" w:rsidR="00C44E23" w:rsidRPr="00C44E23" w:rsidRDefault="00C44E23" w:rsidP="00B1512C">
            <w:pPr>
              <w:pStyle w:val="ListParagraph"/>
              <w:numPr>
                <w:ilvl w:val="0"/>
                <w:numId w:val="7"/>
              </w:numPr>
              <w:tabs>
                <w:tab w:val="clear" w:pos="720"/>
                <w:tab w:val="num" w:pos="306"/>
              </w:tabs>
              <w:spacing w:after="120"/>
              <w:ind w:left="0" w:firstLine="0"/>
              <w:contextualSpacing w:val="0"/>
              <w:rPr>
                <w:rFonts w:ascii="Times New Roman" w:hAnsi="Times New Roman" w:cs="Times New Roman"/>
                <w:i/>
                <w:iCs/>
                <w:sz w:val="20"/>
                <w:szCs w:val="20"/>
              </w:rPr>
            </w:pPr>
            <w:r w:rsidRPr="00C44E23">
              <w:rPr>
                <w:rFonts w:ascii="Times New Roman" w:hAnsi="Times New Roman" w:cs="Times New Roman"/>
                <w:i/>
                <w:iCs/>
                <w:sz w:val="20"/>
                <w:szCs w:val="20"/>
              </w:rPr>
              <w:t>valsts pamatbudžetā</w:t>
            </w:r>
          </w:p>
        </w:tc>
        <w:tc>
          <w:tcPr>
            <w:tcW w:w="1701" w:type="dxa"/>
            <w:shd w:val="clear" w:color="auto" w:fill="FFFFFF" w:themeFill="background1"/>
            <w:vAlign w:val="center"/>
          </w:tcPr>
          <w:p w14:paraId="624C2776" w14:textId="77777777" w:rsidR="00C44E23" w:rsidRPr="00C44E23" w:rsidRDefault="00C44E23" w:rsidP="00C44E23">
            <w:pPr>
              <w:pStyle w:val="ListParagraph"/>
              <w:spacing w:after="120"/>
              <w:ind w:left="0"/>
              <w:contextualSpacing w:val="0"/>
              <w:jc w:val="center"/>
              <w:rPr>
                <w:rFonts w:ascii="Times New Roman" w:hAnsi="Times New Roman" w:cs="Times New Roman"/>
                <w:i/>
                <w:iCs/>
                <w:sz w:val="20"/>
                <w:szCs w:val="20"/>
              </w:rPr>
            </w:pPr>
            <w:r w:rsidRPr="00C44E23">
              <w:rPr>
                <w:rFonts w:ascii="Times New Roman" w:hAnsi="Times New Roman" w:cs="Times New Roman"/>
                <w:i/>
                <w:iCs/>
                <w:sz w:val="20"/>
                <w:szCs w:val="20"/>
              </w:rPr>
              <w:t>-</w:t>
            </w:r>
          </w:p>
        </w:tc>
        <w:tc>
          <w:tcPr>
            <w:tcW w:w="1701" w:type="dxa"/>
            <w:shd w:val="clear" w:color="auto" w:fill="FFFFFF" w:themeFill="background1"/>
            <w:vAlign w:val="center"/>
          </w:tcPr>
          <w:p w14:paraId="1E92CD69" w14:textId="77777777" w:rsidR="00C44E23" w:rsidRPr="00C44E23" w:rsidRDefault="00C44E23" w:rsidP="00C44E23">
            <w:pPr>
              <w:pStyle w:val="ListParagraph"/>
              <w:spacing w:after="120"/>
              <w:ind w:left="0"/>
              <w:contextualSpacing w:val="0"/>
              <w:jc w:val="center"/>
              <w:rPr>
                <w:rFonts w:ascii="Times New Roman" w:hAnsi="Times New Roman" w:cs="Times New Roman"/>
                <w:i/>
                <w:iCs/>
                <w:sz w:val="20"/>
                <w:szCs w:val="20"/>
              </w:rPr>
            </w:pPr>
            <w:r w:rsidRPr="00C44E23">
              <w:rPr>
                <w:rFonts w:ascii="Times New Roman" w:hAnsi="Times New Roman" w:cs="Times New Roman"/>
                <w:i/>
                <w:iCs/>
                <w:sz w:val="20"/>
                <w:szCs w:val="20"/>
              </w:rPr>
              <w:t>-</w:t>
            </w:r>
          </w:p>
        </w:tc>
        <w:tc>
          <w:tcPr>
            <w:tcW w:w="1701" w:type="dxa"/>
            <w:shd w:val="clear" w:color="auto" w:fill="FFFFFF" w:themeFill="background1"/>
          </w:tcPr>
          <w:p w14:paraId="00DEEC12" w14:textId="77777777" w:rsidR="00C44E23" w:rsidRPr="00880622" w:rsidRDefault="00C44E23" w:rsidP="00C44E23">
            <w:pPr>
              <w:pStyle w:val="ListParagraph"/>
              <w:spacing w:after="120"/>
              <w:ind w:left="0"/>
              <w:contextualSpacing w:val="0"/>
              <w:jc w:val="right"/>
              <w:rPr>
                <w:rFonts w:ascii="Times New Roman" w:hAnsi="Times New Roman" w:cs="Times New Roman"/>
                <w:i/>
                <w:iCs/>
                <w:sz w:val="20"/>
                <w:szCs w:val="20"/>
              </w:rPr>
            </w:pPr>
            <w:r w:rsidRPr="00880622">
              <w:rPr>
                <w:rFonts w:ascii="Times New Roman" w:hAnsi="Times New Roman" w:cs="Times New Roman"/>
                <w:i/>
                <w:iCs/>
                <w:sz w:val="20"/>
                <w:szCs w:val="20"/>
              </w:rPr>
              <w:t xml:space="preserve"> +2 469 000 </w:t>
            </w:r>
          </w:p>
        </w:tc>
      </w:tr>
    </w:tbl>
    <w:p w14:paraId="47077388" w14:textId="77777777" w:rsidR="00DB3A1A" w:rsidRPr="00C44E23" w:rsidRDefault="00DB3A1A" w:rsidP="00C44E23">
      <w:pPr>
        <w:tabs>
          <w:tab w:val="left" w:pos="426"/>
        </w:tabs>
        <w:spacing w:after="120" w:line="240" w:lineRule="auto"/>
        <w:rPr>
          <w:rFonts w:ascii="Times New Roman" w:hAnsi="Times New Roman" w:cs="Times New Roman"/>
          <w:i/>
          <w:sz w:val="20"/>
          <w:szCs w:val="20"/>
        </w:rPr>
      </w:pPr>
      <w:r w:rsidRPr="00C44E23">
        <w:rPr>
          <w:rFonts w:ascii="Times New Roman" w:hAnsi="Times New Roman" w:cs="Times New Roman"/>
          <w:b/>
          <w:bCs/>
          <w:i/>
          <w:sz w:val="20"/>
          <w:szCs w:val="20"/>
        </w:rPr>
        <w:t>Avots</w:t>
      </w:r>
      <w:r w:rsidRPr="00C44E23">
        <w:rPr>
          <w:rFonts w:ascii="Times New Roman" w:hAnsi="Times New Roman" w:cs="Times New Roman"/>
          <w:i/>
          <w:sz w:val="20"/>
          <w:szCs w:val="20"/>
        </w:rPr>
        <w:t>: FM aprēķini.</w:t>
      </w:r>
    </w:p>
    <w:p w14:paraId="279FD91A" w14:textId="77777777" w:rsidR="00B1512C" w:rsidRDefault="00B1512C" w:rsidP="00D72246">
      <w:pPr>
        <w:pStyle w:val="Heading2"/>
        <w:spacing w:before="0" w:after="120"/>
        <w:rPr>
          <w:rStyle w:val="normaltextrun"/>
          <w:rFonts w:ascii="Times New Roman" w:hAnsi="Times New Roman"/>
        </w:rPr>
      </w:pPr>
    </w:p>
    <w:p w14:paraId="77C61FC8" w14:textId="0C0E9CBE" w:rsidR="00DB3A1A" w:rsidRPr="002C3F2D" w:rsidRDefault="00DB3A1A" w:rsidP="00D72246">
      <w:pPr>
        <w:pStyle w:val="Heading2"/>
        <w:spacing w:before="0" w:after="120"/>
        <w:rPr>
          <w:rFonts w:ascii="Times New Roman" w:hAnsi="Times New Roman"/>
          <w:u w:val="single"/>
        </w:rPr>
      </w:pPr>
      <w:r w:rsidRPr="002C3F2D">
        <w:rPr>
          <w:rStyle w:val="normaltextrun"/>
          <w:rFonts w:ascii="Times New Roman" w:hAnsi="Times New Roman"/>
          <w:u w:val="single"/>
        </w:rPr>
        <w:t>Akcīzes nodokļa likmes izlīdzināšana brīvostās un SEZ</w:t>
      </w:r>
    </w:p>
    <w:p w14:paraId="06BE21A3" w14:textId="77777777" w:rsidR="00DB3A1A" w:rsidRPr="00D72246" w:rsidRDefault="00DB3A1A" w:rsidP="00D72246">
      <w:pPr>
        <w:spacing w:after="120" w:line="240" w:lineRule="auto"/>
        <w:ind w:firstLine="720"/>
        <w:jc w:val="both"/>
        <w:rPr>
          <w:rFonts w:ascii="Times New Roman" w:eastAsiaTheme="majorEastAsia" w:hAnsi="Times New Roman" w:cs="Times New Roman"/>
          <w:sz w:val="24"/>
          <w:szCs w:val="24"/>
        </w:rPr>
      </w:pPr>
      <w:r w:rsidRPr="00D72246">
        <w:rPr>
          <w:rStyle w:val="normaltextrun"/>
          <w:rFonts w:ascii="Times New Roman" w:eastAsiaTheme="majorEastAsia" w:hAnsi="Times New Roman" w:cs="Times New Roman"/>
          <w:sz w:val="24"/>
          <w:szCs w:val="24"/>
        </w:rPr>
        <w:t>Saskaņā ar 2023. gada 7. decembrī pieņemtajiem grozījumiem likumā “</w:t>
      </w:r>
      <w:r w:rsidRPr="00D72246">
        <w:rPr>
          <w:rStyle w:val="normaltextrun"/>
          <w:rFonts w:ascii="Times New Roman" w:eastAsiaTheme="majorEastAsia" w:hAnsi="Times New Roman" w:cs="Times New Roman"/>
          <w:i/>
          <w:iCs/>
          <w:sz w:val="24"/>
          <w:szCs w:val="24"/>
        </w:rPr>
        <w:t>Par akcīzes nodokli</w:t>
      </w:r>
      <w:r w:rsidRPr="00D72246">
        <w:rPr>
          <w:rStyle w:val="normaltextrun"/>
          <w:rFonts w:ascii="Times New Roman" w:eastAsiaTheme="majorEastAsia" w:hAnsi="Times New Roman" w:cs="Times New Roman"/>
          <w:sz w:val="24"/>
          <w:szCs w:val="24"/>
        </w:rPr>
        <w:t>” tika uzsākta pakāpeniska AN likmes paaugstināšana naftas produktiem, kuri ir iezīmēti (marķēti) un tos izmanto saskaņā ar likumu “</w:t>
      </w:r>
      <w:r w:rsidRPr="00D72246">
        <w:rPr>
          <w:rStyle w:val="normaltextrun"/>
          <w:rFonts w:ascii="Times New Roman" w:eastAsiaTheme="majorEastAsia" w:hAnsi="Times New Roman" w:cs="Times New Roman"/>
          <w:i/>
          <w:iCs/>
          <w:sz w:val="24"/>
          <w:szCs w:val="24"/>
        </w:rPr>
        <w:t>Par nodokļu piemērošanu brīvostās un speciālajās ekonomiskajās zonās</w:t>
      </w:r>
      <w:r w:rsidRPr="00D72246">
        <w:rPr>
          <w:rStyle w:val="normaltextrun"/>
          <w:rFonts w:ascii="Times New Roman" w:eastAsiaTheme="majorEastAsia" w:hAnsi="Times New Roman" w:cs="Times New Roman"/>
          <w:sz w:val="24"/>
          <w:szCs w:val="24"/>
        </w:rPr>
        <w:t>” brīvostās vai SEZ. Pakāpeniska AN paaugstināšana minētajiem naftas produktiem tika noteikta 2024. gada 1. martā, 2025. gada 1. janvārī un 2026. gada 1. janvārī. Līdz ar to likuma grozījumi paredz, ka norma par samazinātās likmes piemērošana naftas produktiem, kurus izmanto brīvostās un SEZ, būs spēkā līdz 2027. gada 31. decembrim, bet ar 2028. gada 1. janvāri tā tiek svītrota, tādējādi paredzot, ka naftas produktiem, kurus izmanto brīvostās un SEZ, tiek piemērota AN standartlikme.</w:t>
      </w:r>
    </w:p>
    <w:p w14:paraId="471D25EF" w14:textId="049D2383" w:rsidR="00DB3A1A" w:rsidRPr="00D72246" w:rsidRDefault="00D47AD0" w:rsidP="00D72246">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7</w:t>
      </w:r>
      <w:r w:rsidR="00DB3A1A" w:rsidRPr="00D72246">
        <w:rPr>
          <w:rFonts w:ascii="Times New Roman" w:hAnsi="Times New Roman" w:cs="Times New Roman"/>
          <w:sz w:val="20"/>
          <w:szCs w:val="20"/>
        </w:rPr>
        <w:t>. tab</w:t>
      </w:r>
      <w:r>
        <w:rPr>
          <w:rFonts w:ascii="Times New Roman" w:hAnsi="Times New Roman" w:cs="Times New Roman"/>
          <w:sz w:val="20"/>
          <w:szCs w:val="20"/>
        </w:rPr>
        <w:t>ula</w:t>
      </w:r>
      <w:r w:rsidR="00DB3A1A" w:rsidRPr="00D72246">
        <w:rPr>
          <w:rFonts w:ascii="Times New Roman" w:hAnsi="Times New Roman" w:cs="Times New Roman"/>
          <w:bCs/>
          <w:sz w:val="20"/>
          <w:szCs w:val="20"/>
        </w:rPr>
        <w:t>.</w:t>
      </w:r>
      <w:r w:rsidR="00DB3A1A" w:rsidRPr="00D72246">
        <w:rPr>
          <w:rFonts w:ascii="Times New Roman" w:hAnsi="Times New Roman" w:cs="Times New Roman"/>
          <w:b/>
          <w:sz w:val="20"/>
          <w:szCs w:val="20"/>
        </w:rPr>
        <w:t xml:space="preserve"> Priekšlikuma indikatīva fiskālā ietekme</w:t>
      </w:r>
      <w:r w:rsidR="00DB3A1A" w:rsidRPr="00D72246">
        <w:rPr>
          <w:rFonts w:ascii="Times New Roman" w:hAnsi="Times New Roman" w:cs="Times New Roman"/>
          <w:bCs/>
          <w:sz w:val="20"/>
          <w:szCs w:val="20"/>
        </w:rPr>
        <w:t>,</w:t>
      </w:r>
      <w:r w:rsidR="00DB3A1A" w:rsidRPr="00D72246">
        <w:rPr>
          <w:rFonts w:ascii="Times New Roman" w:hAnsi="Times New Roman" w:cs="Times New Roman"/>
          <w:bCs/>
          <w:i/>
          <w:iCs/>
          <w:sz w:val="20"/>
          <w:szCs w:val="20"/>
        </w:rPr>
        <w:t> euro</w:t>
      </w:r>
    </w:p>
    <w:tbl>
      <w:tblPr>
        <w:tblStyle w:val="TableGrid"/>
        <w:tblW w:w="9346" w:type="dxa"/>
        <w:tblInd w:w="5" w:type="dxa"/>
        <w:tblLook w:val="04A0" w:firstRow="1" w:lastRow="0" w:firstColumn="1" w:lastColumn="0" w:noHBand="0" w:noVBand="1"/>
      </w:tblPr>
      <w:tblGrid>
        <w:gridCol w:w="4090"/>
        <w:gridCol w:w="1752"/>
        <w:gridCol w:w="1752"/>
        <w:gridCol w:w="1752"/>
      </w:tblGrid>
      <w:tr w:rsidR="00D72246" w:rsidRPr="00D72246" w14:paraId="21AA4F86" w14:textId="77777777" w:rsidTr="00D72246">
        <w:trPr>
          <w:trHeight w:val="255"/>
        </w:trPr>
        <w:tc>
          <w:tcPr>
            <w:tcW w:w="3969" w:type="dxa"/>
            <w:shd w:val="clear" w:color="auto" w:fill="FFFFFF" w:themeFill="background1"/>
          </w:tcPr>
          <w:p w14:paraId="444512BF" w14:textId="77777777" w:rsidR="00D72246" w:rsidRPr="00D72246" w:rsidRDefault="00D72246" w:rsidP="00D72246">
            <w:pPr>
              <w:pStyle w:val="ListParagraph"/>
              <w:spacing w:after="120"/>
              <w:ind w:left="0"/>
              <w:contextualSpacing w:val="0"/>
              <w:jc w:val="center"/>
              <w:rPr>
                <w:rFonts w:ascii="Times New Roman" w:hAnsi="Times New Roman" w:cs="Times New Roman"/>
                <w:b/>
                <w:bCs/>
                <w:sz w:val="20"/>
                <w:szCs w:val="20"/>
              </w:rPr>
            </w:pPr>
          </w:p>
        </w:tc>
        <w:tc>
          <w:tcPr>
            <w:tcW w:w="1701" w:type="dxa"/>
            <w:shd w:val="clear" w:color="auto" w:fill="FFFFFF" w:themeFill="background1"/>
            <w:vAlign w:val="bottom"/>
          </w:tcPr>
          <w:p w14:paraId="28ED09D2" w14:textId="77777777" w:rsidR="00D72246" w:rsidRPr="00D72246" w:rsidRDefault="00D72246" w:rsidP="00D72246">
            <w:pPr>
              <w:pStyle w:val="ListParagraph"/>
              <w:spacing w:after="120"/>
              <w:ind w:left="0"/>
              <w:contextualSpacing w:val="0"/>
              <w:jc w:val="center"/>
              <w:rPr>
                <w:rFonts w:ascii="Times New Roman" w:hAnsi="Times New Roman" w:cs="Times New Roman"/>
                <w:b/>
                <w:bCs/>
                <w:sz w:val="20"/>
                <w:szCs w:val="20"/>
              </w:rPr>
            </w:pPr>
            <w:r w:rsidRPr="00D72246">
              <w:rPr>
                <w:rFonts w:ascii="Times New Roman" w:hAnsi="Times New Roman" w:cs="Times New Roman"/>
                <w:b/>
                <w:bCs/>
                <w:sz w:val="20"/>
                <w:szCs w:val="20"/>
              </w:rPr>
              <w:t>2026</w:t>
            </w:r>
          </w:p>
        </w:tc>
        <w:tc>
          <w:tcPr>
            <w:tcW w:w="1701" w:type="dxa"/>
            <w:shd w:val="clear" w:color="auto" w:fill="FFFFFF" w:themeFill="background1"/>
            <w:vAlign w:val="bottom"/>
          </w:tcPr>
          <w:p w14:paraId="289E8E5D" w14:textId="77777777" w:rsidR="00D72246" w:rsidRPr="00D72246" w:rsidRDefault="00D72246" w:rsidP="00D72246">
            <w:pPr>
              <w:pStyle w:val="ListParagraph"/>
              <w:spacing w:after="120"/>
              <w:ind w:left="0"/>
              <w:contextualSpacing w:val="0"/>
              <w:jc w:val="center"/>
              <w:rPr>
                <w:rFonts w:ascii="Times New Roman" w:hAnsi="Times New Roman" w:cs="Times New Roman"/>
                <w:b/>
                <w:bCs/>
                <w:sz w:val="20"/>
                <w:szCs w:val="20"/>
              </w:rPr>
            </w:pPr>
            <w:r w:rsidRPr="00D72246">
              <w:rPr>
                <w:rFonts w:ascii="Times New Roman" w:hAnsi="Times New Roman" w:cs="Times New Roman"/>
                <w:b/>
                <w:bCs/>
                <w:sz w:val="20"/>
                <w:szCs w:val="20"/>
              </w:rPr>
              <w:t>2027</w:t>
            </w:r>
          </w:p>
        </w:tc>
        <w:tc>
          <w:tcPr>
            <w:tcW w:w="1701" w:type="dxa"/>
            <w:shd w:val="clear" w:color="auto" w:fill="FFFFFF" w:themeFill="background1"/>
            <w:vAlign w:val="bottom"/>
          </w:tcPr>
          <w:p w14:paraId="65C84DCA" w14:textId="77777777" w:rsidR="00D72246" w:rsidRPr="00D72246" w:rsidRDefault="00D72246" w:rsidP="00D72246">
            <w:pPr>
              <w:pStyle w:val="ListParagraph"/>
              <w:spacing w:after="120"/>
              <w:ind w:left="0"/>
              <w:contextualSpacing w:val="0"/>
              <w:jc w:val="center"/>
              <w:rPr>
                <w:rFonts w:ascii="Times New Roman" w:hAnsi="Times New Roman" w:cs="Times New Roman"/>
                <w:b/>
                <w:bCs/>
                <w:sz w:val="20"/>
                <w:szCs w:val="20"/>
              </w:rPr>
            </w:pPr>
            <w:r w:rsidRPr="00D72246">
              <w:rPr>
                <w:rFonts w:ascii="Times New Roman" w:hAnsi="Times New Roman" w:cs="Times New Roman"/>
                <w:b/>
                <w:bCs/>
                <w:sz w:val="20"/>
                <w:szCs w:val="20"/>
              </w:rPr>
              <w:t>2028</w:t>
            </w:r>
          </w:p>
        </w:tc>
      </w:tr>
      <w:tr w:rsidR="00D72246" w:rsidRPr="00D72246" w14:paraId="7A00442A" w14:textId="77777777" w:rsidTr="00D72246">
        <w:trPr>
          <w:trHeight w:val="255"/>
        </w:trPr>
        <w:tc>
          <w:tcPr>
            <w:tcW w:w="3969" w:type="dxa"/>
            <w:shd w:val="clear" w:color="auto" w:fill="FFFFFF" w:themeFill="background1"/>
            <w:vAlign w:val="center"/>
          </w:tcPr>
          <w:p w14:paraId="1DB98978" w14:textId="77777777" w:rsidR="00D72246" w:rsidRPr="00D72246" w:rsidRDefault="00D72246" w:rsidP="00D72246">
            <w:pPr>
              <w:pStyle w:val="ListParagraph"/>
              <w:spacing w:after="120"/>
              <w:ind w:left="0"/>
              <w:contextualSpacing w:val="0"/>
              <w:rPr>
                <w:rFonts w:ascii="Times New Roman" w:hAnsi="Times New Roman" w:cs="Times New Roman"/>
                <w:sz w:val="20"/>
                <w:szCs w:val="20"/>
              </w:rPr>
            </w:pPr>
            <w:r w:rsidRPr="00D72246">
              <w:rPr>
                <w:rFonts w:ascii="Times New Roman" w:hAnsi="Times New Roman" w:cs="Times New Roman"/>
                <w:sz w:val="20"/>
                <w:szCs w:val="20"/>
              </w:rPr>
              <w:t>AN ieņēmumi</w:t>
            </w:r>
          </w:p>
        </w:tc>
        <w:tc>
          <w:tcPr>
            <w:tcW w:w="1701" w:type="dxa"/>
            <w:shd w:val="clear" w:color="auto" w:fill="FFFFFF" w:themeFill="background1"/>
          </w:tcPr>
          <w:p w14:paraId="71DB8680" w14:textId="77777777" w:rsidR="00D72246" w:rsidRPr="00D72246" w:rsidRDefault="00D72246" w:rsidP="00D72246">
            <w:pPr>
              <w:pStyle w:val="ListParagraph"/>
              <w:spacing w:after="120"/>
              <w:ind w:left="0"/>
              <w:contextualSpacing w:val="0"/>
              <w:jc w:val="center"/>
              <w:rPr>
                <w:rFonts w:ascii="Times New Roman" w:hAnsi="Times New Roman" w:cs="Times New Roman"/>
                <w:sz w:val="20"/>
                <w:szCs w:val="20"/>
              </w:rPr>
            </w:pPr>
            <w:r w:rsidRPr="00D72246">
              <w:rPr>
                <w:rFonts w:ascii="Times New Roman" w:hAnsi="Times New Roman" w:cs="Times New Roman"/>
                <w:sz w:val="20"/>
                <w:szCs w:val="20"/>
              </w:rPr>
              <w:t>-</w:t>
            </w:r>
          </w:p>
        </w:tc>
        <w:tc>
          <w:tcPr>
            <w:tcW w:w="1701" w:type="dxa"/>
            <w:shd w:val="clear" w:color="auto" w:fill="FFFFFF" w:themeFill="background1"/>
          </w:tcPr>
          <w:p w14:paraId="0DC3C866" w14:textId="77777777" w:rsidR="00D72246" w:rsidRPr="00D72246" w:rsidRDefault="00D72246" w:rsidP="00D72246">
            <w:pPr>
              <w:pStyle w:val="ListParagraph"/>
              <w:spacing w:after="120"/>
              <w:ind w:left="0"/>
              <w:contextualSpacing w:val="0"/>
              <w:jc w:val="center"/>
              <w:rPr>
                <w:rFonts w:ascii="Times New Roman" w:hAnsi="Times New Roman" w:cs="Times New Roman"/>
                <w:sz w:val="20"/>
                <w:szCs w:val="20"/>
              </w:rPr>
            </w:pPr>
            <w:r w:rsidRPr="00D72246">
              <w:rPr>
                <w:rFonts w:ascii="Times New Roman" w:hAnsi="Times New Roman" w:cs="Times New Roman"/>
                <w:sz w:val="20"/>
                <w:szCs w:val="20"/>
              </w:rPr>
              <w:t>-</w:t>
            </w:r>
          </w:p>
        </w:tc>
        <w:tc>
          <w:tcPr>
            <w:tcW w:w="1701" w:type="dxa"/>
            <w:shd w:val="clear" w:color="auto" w:fill="FFFFFF" w:themeFill="background1"/>
          </w:tcPr>
          <w:p w14:paraId="2AEBBA1D" w14:textId="77777777" w:rsidR="00D72246" w:rsidRPr="00880622" w:rsidRDefault="00D72246" w:rsidP="00D72246">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 xml:space="preserve"> +370 000 </w:t>
            </w:r>
          </w:p>
        </w:tc>
      </w:tr>
      <w:tr w:rsidR="00D72246" w:rsidRPr="00D72246" w14:paraId="562C93AC" w14:textId="77777777" w:rsidTr="00D72246">
        <w:trPr>
          <w:trHeight w:val="255"/>
        </w:trPr>
        <w:tc>
          <w:tcPr>
            <w:tcW w:w="3969" w:type="dxa"/>
            <w:shd w:val="clear" w:color="auto" w:fill="FFFFFF" w:themeFill="background1"/>
            <w:vAlign w:val="center"/>
          </w:tcPr>
          <w:p w14:paraId="7743ECA6" w14:textId="77777777" w:rsidR="00D72246" w:rsidRPr="00D72246" w:rsidRDefault="00D72246" w:rsidP="00D72246">
            <w:pPr>
              <w:pStyle w:val="ListParagraph"/>
              <w:spacing w:after="120"/>
              <w:ind w:left="0"/>
              <w:contextualSpacing w:val="0"/>
              <w:rPr>
                <w:rFonts w:ascii="Times New Roman" w:hAnsi="Times New Roman" w:cs="Times New Roman"/>
                <w:sz w:val="20"/>
                <w:szCs w:val="20"/>
              </w:rPr>
            </w:pPr>
            <w:r w:rsidRPr="00D72246">
              <w:rPr>
                <w:rFonts w:ascii="Times New Roman" w:hAnsi="Times New Roman" w:cs="Times New Roman"/>
                <w:sz w:val="20"/>
                <w:szCs w:val="20"/>
              </w:rPr>
              <w:t>PVN ieņēmumi</w:t>
            </w:r>
          </w:p>
        </w:tc>
        <w:tc>
          <w:tcPr>
            <w:tcW w:w="1701" w:type="dxa"/>
            <w:shd w:val="clear" w:color="auto" w:fill="FFFFFF" w:themeFill="background1"/>
          </w:tcPr>
          <w:p w14:paraId="03DAA401" w14:textId="77777777" w:rsidR="00D72246" w:rsidRPr="00D72246" w:rsidRDefault="00D72246" w:rsidP="00D72246">
            <w:pPr>
              <w:pStyle w:val="ListParagraph"/>
              <w:spacing w:after="120"/>
              <w:ind w:left="0"/>
              <w:contextualSpacing w:val="0"/>
              <w:jc w:val="center"/>
              <w:rPr>
                <w:rFonts w:ascii="Times New Roman" w:hAnsi="Times New Roman" w:cs="Times New Roman"/>
                <w:sz w:val="20"/>
                <w:szCs w:val="20"/>
              </w:rPr>
            </w:pPr>
            <w:r w:rsidRPr="00D72246">
              <w:rPr>
                <w:rFonts w:ascii="Times New Roman" w:hAnsi="Times New Roman" w:cs="Times New Roman"/>
                <w:sz w:val="20"/>
                <w:szCs w:val="20"/>
              </w:rPr>
              <w:t>-</w:t>
            </w:r>
          </w:p>
        </w:tc>
        <w:tc>
          <w:tcPr>
            <w:tcW w:w="1701" w:type="dxa"/>
            <w:shd w:val="clear" w:color="auto" w:fill="FFFFFF" w:themeFill="background1"/>
          </w:tcPr>
          <w:p w14:paraId="75D26C0A" w14:textId="77777777" w:rsidR="00D72246" w:rsidRPr="00D72246" w:rsidRDefault="00D72246" w:rsidP="00D72246">
            <w:pPr>
              <w:pStyle w:val="ListParagraph"/>
              <w:spacing w:after="120"/>
              <w:ind w:left="0"/>
              <w:contextualSpacing w:val="0"/>
              <w:jc w:val="center"/>
              <w:rPr>
                <w:rFonts w:ascii="Times New Roman" w:hAnsi="Times New Roman" w:cs="Times New Roman"/>
                <w:sz w:val="20"/>
                <w:szCs w:val="20"/>
              </w:rPr>
            </w:pPr>
            <w:r w:rsidRPr="00D72246">
              <w:rPr>
                <w:rFonts w:ascii="Times New Roman" w:hAnsi="Times New Roman" w:cs="Times New Roman"/>
                <w:sz w:val="20"/>
                <w:szCs w:val="20"/>
              </w:rPr>
              <w:t>-</w:t>
            </w:r>
          </w:p>
        </w:tc>
        <w:tc>
          <w:tcPr>
            <w:tcW w:w="1701" w:type="dxa"/>
            <w:shd w:val="clear" w:color="auto" w:fill="FFFFFF" w:themeFill="background1"/>
          </w:tcPr>
          <w:p w14:paraId="2487A5E2" w14:textId="77777777" w:rsidR="00D72246" w:rsidRPr="00880622" w:rsidRDefault="00D72246" w:rsidP="00D72246">
            <w:pPr>
              <w:pStyle w:val="ListParagraph"/>
              <w:spacing w:after="120"/>
              <w:ind w:left="0"/>
              <w:contextualSpacing w:val="0"/>
              <w:jc w:val="right"/>
              <w:rPr>
                <w:rFonts w:ascii="Times New Roman" w:hAnsi="Times New Roman" w:cs="Times New Roman"/>
                <w:sz w:val="20"/>
                <w:szCs w:val="20"/>
              </w:rPr>
            </w:pPr>
            <w:r w:rsidRPr="00880622">
              <w:rPr>
                <w:rFonts w:ascii="Times New Roman" w:hAnsi="Times New Roman" w:cs="Times New Roman"/>
                <w:sz w:val="20"/>
                <w:szCs w:val="20"/>
              </w:rPr>
              <w:t xml:space="preserve">+78 000 </w:t>
            </w:r>
          </w:p>
        </w:tc>
      </w:tr>
      <w:tr w:rsidR="00D72246" w:rsidRPr="00D72246" w14:paraId="2885E728" w14:textId="77777777" w:rsidTr="00D72246">
        <w:trPr>
          <w:trHeight w:val="255"/>
        </w:trPr>
        <w:tc>
          <w:tcPr>
            <w:tcW w:w="3969" w:type="dxa"/>
            <w:shd w:val="clear" w:color="auto" w:fill="F2F2F2" w:themeFill="background1" w:themeFillShade="F2"/>
            <w:vAlign w:val="center"/>
          </w:tcPr>
          <w:p w14:paraId="072A1F28" w14:textId="77777777" w:rsidR="00D72246" w:rsidRPr="00D72246" w:rsidRDefault="00D72246" w:rsidP="00D72246">
            <w:pPr>
              <w:spacing w:after="120"/>
              <w:rPr>
                <w:rFonts w:ascii="Times New Roman" w:hAnsi="Times New Roman" w:cs="Times New Roman"/>
                <w:i/>
                <w:iCs/>
                <w:sz w:val="20"/>
                <w:szCs w:val="20"/>
              </w:rPr>
            </w:pPr>
            <w:r w:rsidRPr="00D72246">
              <w:rPr>
                <w:rFonts w:ascii="Times New Roman" w:hAnsi="Times New Roman" w:cs="Times New Roman"/>
                <w:b/>
                <w:bCs/>
                <w:sz w:val="20"/>
                <w:szCs w:val="20"/>
              </w:rPr>
              <w:t>KOPĀ</w:t>
            </w:r>
            <w:r w:rsidRPr="00D72246">
              <w:rPr>
                <w:rFonts w:ascii="Times New Roman" w:hAnsi="Times New Roman" w:cs="Times New Roman"/>
                <w:i/>
                <w:iCs/>
                <w:sz w:val="20"/>
                <w:szCs w:val="20"/>
              </w:rPr>
              <w:t>, no tiem:</w:t>
            </w:r>
          </w:p>
        </w:tc>
        <w:tc>
          <w:tcPr>
            <w:tcW w:w="1701" w:type="dxa"/>
            <w:shd w:val="clear" w:color="auto" w:fill="F2F2F2" w:themeFill="background1" w:themeFillShade="F2"/>
            <w:vAlign w:val="center"/>
          </w:tcPr>
          <w:p w14:paraId="75F9FAB3" w14:textId="77777777" w:rsidR="00D72246" w:rsidRPr="00D72246" w:rsidRDefault="00D72246" w:rsidP="00D72246">
            <w:pPr>
              <w:pStyle w:val="ListParagraph"/>
              <w:spacing w:after="120"/>
              <w:ind w:left="0"/>
              <w:contextualSpacing w:val="0"/>
              <w:jc w:val="center"/>
              <w:rPr>
                <w:rFonts w:ascii="Times New Roman" w:hAnsi="Times New Roman" w:cs="Times New Roman"/>
                <w:i/>
                <w:iCs/>
                <w:sz w:val="20"/>
                <w:szCs w:val="20"/>
              </w:rPr>
            </w:pPr>
            <w:r w:rsidRPr="00D72246">
              <w:rPr>
                <w:rFonts w:ascii="Times New Roman" w:hAnsi="Times New Roman" w:cs="Times New Roman"/>
                <w:i/>
                <w:iCs/>
                <w:sz w:val="20"/>
                <w:szCs w:val="20"/>
              </w:rPr>
              <w:t>-</w:t>
            </w:r>
          </w:p>
        </w:tc>
        <w:tc>
          <w:tcPr>
            <w:tcW w:w="1701" w:type="dxa"/>
            <w:shd w:val="clear" w:color="auto" w:fill="F2F2F2" w:themeFill="background1" w:themeFillShade="F2"/>
            <w:vAlign w:val="center"/>
          </w:tcPr>
          <w:p w14:paraId="12139593" w14:textId="77777777" w:rsidR="00D72246" w:rsidRPr="00D72246" w:rsidRDefault="00D72246" w:rsidP="00D72246">
            <w:pPr>
              <w:pStyle w:val="ListParagraph"/>
              <w:spacing w:after="120"/>
              <w:ind w:left="0"/>
              <w:contextualSpacing w:val="0"/>
              <w:jc w:val="center"/>
              <w:rPr>
                <w:rFonts w:ascii="Times New Roman" w:hAnsi="Times New Roman" w:cs="Times New Roman"/>
                <w:i/>
                <w:iCs/>
                <w:sz w:val="20"/>
                <w:szCs w:val="20"/>
              </w:rPr>
            </w:pPr>
            <w:r w:rsidRPr="00D72246">
              <w:rPr>
                <w:rFonts w:ascii="Times New Roman" w:hAnsi="Times New Roman" w:cs="Times New Roman"/>
                <w:i/>
                <w:iCs/>
                <w:sz w:val="20"/>
                <w:szCs w:val="20"/>
              </w:rPr>
              <w:t>-</w:t>
            </w:r>
          </w:p>
        </w:tc>
        <w:tc>
          <w:tcPr>
            <w:tcW w:w="1701" w:type="dxa"/>
            <w:shd w:val="clear" w:color="auto" w:fill="F2F2F2" w:themeFill="background1" w:themeFillShade="F2"/>
          </w:tcPr>
          <w:p w14:paraId="145DD54A" w14:textId="77777777" w:rsidR="00D72246" w:rsidRPr="00880622" w:rsidRDefault="00D72246" w:rsidP="00D72246">
            <w:pPr>
              <w:pStyle w:val="ListParagraph"/>
              <w:spacing w:after="120"/>
              <w:ind w:left="0"/>
              <w:contextualSpacing w:val="0"/>
              <w:jc w:val="right"/>
              <w:rPr>
                <w:rFonts w:ascii="Times New Roman" w:hAnsi="Times New Roman" w:cs="Times New Roman"/>
                <w:b/>
                <w:bCs/>
                <w:i/>
                <w:iCs/>
                <w:sz w:val="20"/>
                <w:szCs w:val="20"/>
              </w:rPr>
            </w:pPr>
            <w:r w:rsidRPr="00880622">
              <w:rPr>
                <w:rFonts w:ascii="Times New Roman" w:hAnsi="Times New Roman" w:cs="Times New Roman"/>
                <w:b/>
                <w:bCs/>
                <w:sz w:val="20"/>
                <w:szCs w:val="20"/>
              </w:rPr>
              <w:t xml:space="preserve">+448 000 </w:t>
            </w:r>
          </w:p>
        </w:tc>
      </w:tr>
      <w:tr w:rsidR="00D72246" w:rsidRPr="00D72246" w14:paraId="074829A1" w14:textId="77777777" w:rsidTr="00D72246">
        <w:trPr>
          <w:trHeight w:val="255"/>
        </w:trPr>
        <w:tc>
          <w:tcPr>
            <w:tcW w:w="3969" w:type="dxa"/>
            <w:shd w:val="clear" w:color="auto" w:fill="FFFFFF" w:themeFill="background1"/>
            <w:vAlign w:val="center"/>
          </w:tcPr>
          <w:p w14:paraId="3401BD3A" w14:textId="77777777" w:rsidR="00D72246" w:rsidRPr="00D72246" w:rsidRDefault="00D72246" w:rsidP="00B1512C">
            <w:pPr>
              <w:pStyle w:val="ListParagraph"/>
              <w:numPr>
                <w:ilvl w:val="0"/>
                <w:numId w:val="7"/>
              </w:numPr>
              <w:tabs>
                <w:tab w:val="clear" w:pos="720"/>
                <w:tab w:val="num" w:pos="306"/>
              </w:tabs>
              <w:spacing w:after="120"/>
              <w:ind w:left="0" w:firstLine="0"/>
              <w:contextualSpacing w:val="0"/>
              <w:rPr>
                <w:rFonts w:ascii="Times New Roman" w:hAnsi="Times New Roman" w:cs="Times New Roman"/>
                <w:i/>
                <w:iCs/>
                <w:sz w:val="20"/>
                <w:szCs w:val="20"/>
              </w:rPr>
            </w:pPr>
            <w:r w:rsidRPr="00D72246">
              <w:rPr>
                <w:rFonts w:ascii="Times New Roman" w:hAnsi="Times New Roman" w:cs="Times New Roman"/>
                <w:i/>
                <w:iCs/>
                <w:sz w:val="20"/>
                <w:szCs w:val="20"/>
              </w:rPr>
              <w:t>valsts pamatbudžetā</w:t>
            </w:r>
          </w:p>
        </w:tc>
        <w:tc>
          <w:tcPr>
            <w:tcW w:w="1701" w:type="dxa"/>
            <w:shd w:val="clear" w:color="auto" w:fill="FFFFFF" w:themeFill="background1"/>
            <w:vAlign w:val="center"/>
          </w:tcPr>
          <w:p w14:paraId="41C52FCA" w14:textId="77777777" w:rsidR="00D72246" w:rsidRPr="00D72246" w:rsidRDefault="00D72246" w:rsidP="00D72246">
            <w:pPr>
              <w:pStyle w:val="ListParagraph"/>
              <w:spacing w:after="120"/>
              <w:ind w:left="0"/>
              <w:contextualSpacing w:val="0"/>
              <w:jc w:val="center"/>
              <w:rPr>
                <w:rFonts w:ascii="Times New Roman" w:hAnsi="Times New Roman" w:cs="Times New Roman"/>
                <w:i/>
                <w:iCs/>
                <w:sz w:val="20"/>
                <w:szCs w:val="20"/>
              </w:rPr>
            </w:pPr>
            <w:r w:rsidRPr="00D72246">
              <w:rPr>
                <w:rFonts w:ascii="Times New Roman" w:hAnsi="Times New Roman" w:cs="Times New Roman"/>
                <w:i/>
                <w:iCs/>
                <w:sz w:val="20"/>
                <w:szCs w:val="20"/>
              </w:rPr>
              <w:t>-</w:t>
            </w:r>
          </w:p>
        </w:tc>
        <w:tc>
          <w:tcPr>
            <w:tcW w:w="1701" w:type="dxa"/>
            <w:shd w:val="clear" w:color="auto" w:fill="FFFFFF" w:themeFill="background1"/>
            <w:vAlign w:val="center"/>
          </w:tcPr>
          <w:p w14:paraId="44C72A6E" w14:textId="77777777" w:rsidR="00D72246" w:rsidRPr="00D72246" w:rsidRDefault="00D72246" w:rsidP="00D72246">
            <w:pPr>
              <w:pStyle w:val="ListParagraph"/>
              <w:spacing w:after="120"/>
              <w:ind w:left="0"/>
              <w:contextualSpacing w:val="0"/>
              <w:jc w:val="center"/>
              <w:rPr>
                <w:rFonts w:ascii="Times New Roman" w:hAnsi="Times New Roman" w:cs="Times New Roman"/>
                <w:i/>
                <w:iCs/>
                <w:sz w:val="20"/>
                <w:szCs w:val="20"/>
              </w:rPr>
            </w:pPr>
            <w:r w:rsidRPr="00D72246">
              <w:rPr>
                <w:rFonts w:ascii="Times New Roman" w:hAnsi="Times New Roman" w:cs="Times New Roman"/>
                <w:i/>
                <w:iCs/>
                <w:sz w:val="20"/>
                <w:szCs w:val="20"/>
              </w:rPr>
              <w:t>-</w:t>
            </w:r>
          </w:p>
        </w:tc>
        <w:tc>
          <w:tcPr>
            <w:tcW w:w="1701" w:type="dxa"/>
            <w:shd w:val="clear" w:color="auto" w:fill="FFFFFF" w:themeFill="background1"/>
          </w:tcPr>
          <w:p w14:paraId="27B393D5" w14:textId="77777777" w:rsidR="00D72246" w:rsidRPr="00880622" w:rsidRDefault="00D72246" w:rsidP="00D72246">
            <w:pPr>
              <w:pStyle w:val="ListParagraph"/>
              <w:spacing w:after="120"/>
              <w:ind w:left="0"/>
              <w:contextualSpacing w:val="0"/>
              <w:jc w:val="right"/>
              <w:rPr>
                <w:rFonts w:ascii="Times New Roman" w:hAnsi="Times New Roman" w:cs="Times New Roman"/>
                <w:i/>
                <w:iCs/>
                <w:sz w:val="20"/>
                <w:szCs w:val="20"/>
              </w:rPr>
            </w:pPr>
            <w:r w:rsidRPr="00880622">
              <w:rPr>
                <w:rFonts w:ascii="Times New Roman" w:hAnsi="Times New Roman" w:cs="Times New Roman"/>
                <w:i/>
                <w:iCs/>
                <w:sz w:val="20"/>
                <w:szCs w:val="20"/>
              </w:rPr>
              <w:t xml:space="preserve">+448 000 </w:t>
            </w:r>
          </w:p>
        </w:tc>
      </w:tr>
    </w:tbl>
    <w:p w14:paraId="7671BFDB" w14:textId="77777777" w:rsidR="00DB3A1A" w:rsidRPr="00D72246" w:rsidRDefault="00DB3A1A" w:rsidP="00D72246">
      <w:pPr>
        <w:tabs>
          <w:tab w:val="left" w:pos="426"/>
        </w:tabs>
        <w:spacing w:after="120" w:line="240" w:lineRule="auto"/>
        <w:rPr>
          <w:rFonts w:ascii="Times New Roman" w:hAnsi="Times New Roman" w:cs="Times New Roman"/>
          <w:i/>
          <w:sz w:val="20"/>
          <w:szCs w:val="20"/>
        </w:rPr>
      </w:pPr>
      <w:r w:rsidRPr="00D72246">
        <w:rPr>
          <w:rFonts w:ascii="Times New Roman" w:hAnsi="Times New Roman" w:cs="Times New Roman"/>
          <w:b/>
          <w:bCs/>
          <w:i/>
          <w:sz w:val="20"/>
          <w:szCs w:val="20"/>
        </w:rPr>
        <w:t>Avots</w:t>
      </w:r>
      <w:r w:rsidRPr="00D72246">
        <w:rPr>
          <w:rFonts w:ascii="Times New Roman" w:hAnsi="Times New Roman" w:cs="Times New Roman"/>
          <w:i/>
          <w:sz w:val="20"/>
          <w:szCs w:val="20"/>
        </w:rPr>
        <w:t>: FM aprēķini.</w:t>
      </w:r>
    </w:p>
    <w:p w14:paraId="04DA2182" w14:textId="77777777" w:rsidR="00DB3A1A" w:rsidRPr="00DB3A1A" w:rsidRDefault="00DB3A1A" w:rsidP="00DB3A1A">
      <w:pPr>
        <w:rPr>
          <w:rFonts w:ascii="Times New Roman" w:hAnsi="Times New Roman" w:cs="Times New Roman"/>
        </w:rPr>
      </w:pPr>
    </w:p>
    <w:p w14:paraId="3F442FE6" w14:textId="62806C81" w:rsidR="00DB3A1A" w:rsidRPr="00B1512C" w:rsidRDefault="00DB3A1A" w:rsidP="00B1512C">
      <w:pPr>
        <w:pStyle w:val="ListParagraph"/>
        <w:numPr>
          <w:ilvl w:val="2"/>
          <w:numId w:val="15"/>
        </w:numPr>
        <w:shd w:val="clear" w:color="auto" w:fill="FFF2CC" w:themeFill="accent4" w:themeFillTint="33"/>
        <w:spacing w:after="120" w:line="240" w:lineRule="auto"/>
        <w:jc w:val="both"/>
        <w:rPr>
          <w:rFonts w:ascii="Times New Roman" w:hAnsi="Times New Roman" w:cs="Times New Roman"/>
          <w:b/>
          <w:bCs/>
          <w:sz w:val="28"/>
          <w:szCs w:val="28"/>
        </w:rPr>
      </w:pPr>
      <w:r w:rsidRPr="00B1512C">
        <w:rPr>
          <w:rFonts w:ascii="Times New Roman" w:hAnsi="Times New Roman" w:cs="Times New Roman"/>
          <w:b/>
          <w:bCs/>
          <w:sz w:val="28"/>
          <w:szCs w:val="28"/>
        </w:rPr>
        <w:lastRenderedPageBreak/>
        <w:t>Azartspēļu nodokļa likmju paaugstināšana</w:t>
      </w:r>
    </w:p>
    <w:p w14:paraId="35EE62D2" w14:textId="77777777" w:rsidR="00DB3A1A" w:rsidRPr="00EB5274" w:rsidRDefault="00DB3A1A" w:rsidP="00B1512C">
      <w:pPr>
        <w:spacing w:after="120" w:line="240" w:lineRule="auto"/>
        <w:ind w:firstLine="720"/>
        <w:jc w:val="both"/>
        <w:rPr>
          <w:rFonts w:ascii="Times New Roman" w:hAnsi="Times New Roman" w:cs="Times New Roman"/>
          <w:sz w:val="24"/>
          <w:szCs w:val="24"/>
        </w:rPr>
      </w:pPr>
      <w:r w:rsidRPr="00EB5274">
        <w:rPr>
          <w:rFonts w:ascii="Times New Roman" w:hAnsi="Times New Roman" w:cs="Times New Roman"/>
          <w:sz w:val="24"/>
          <w:szCs w:val="24"/>
        </w:rPr>
        <w:t>Azartspēļu nodoklim ir fiskālā funkcija, kuras uzdevums ir nodrošināt valsts budžeta ieņēmumus.</w:t>
      </w:r>
      <w:r w:rsidRPr="00EB5274">
        <w:rPr>
          <w:rFonts w:ascii="Times New Roman" w:hAnsi="Times New Roman" w:cs="Times New Roman"/>
          <w:sz w:val="24"/>
          <w:szCs w:val="24"/>
          <w:highlight w:val="yellow"/>
        </w:rPr>
        <w:t xml:space="preserve"> </w:t>
      </w:r>
    </w:p>
    <w:p w14:paraId="1551EB15" w14:textId="77777777" w:rsidR="00DB3A1A" w:rsidRPr="00EB5274" w:rsidRDefault="00DB3A1A" w:rsidP="00B1512C">
      <w:pPr>
        <w:spacing w:after="120" w:line="240" w:lineRule="auto"/>
        <w:ind w:firstLine="720"/>
        <w:jc w:val="both"/>
        <w:rPr>
          <w:rFonts w:ascii="Times New Roman" w:hAnsi="Times New Roman" w:cs="Times New Roman"/>
          <w:sz w:val="24"/>
          <w:szCs w:val="24"/>
        </w:rPr>
      </w:pPr>
      <w:r w:rsidRPr="00EB5274">
        <w:rPr>
          <w:rFonts w:ascii="Times New Roman" w:hAnsi="Times New Roman" w:cs="Times New Roman"/>
          <w:sz w:val="24"/>
          <w:szCs w:val="24"/>
        </w:rPr>
        <w:t xml:space="preserve">Likuma </w:t>
      </w:r>
      <w:r w:rsidRPr="00EB5274">
        <w:rPr>
          <w:rFonts w:ascii="Times New Roman" w:hAnsi="Times New Roman" w:cs="Times New Roman"/>
          <w:i/>
          <w:iCs/>
          <w:sz w:val="24"/>
          <w:szCs w:val="24"/>
        </w:rPr>
        <w:t xml:space="preserve">“Par izložu un azartspēļu nodevu un nodokli” </w:t>
      </w:r>
      <w:r w:rsidRPr="00EB5274">
        <w:rPr>
          <w:rFonts w:ascii="Times New Roman" w:hAnsi="Times New Roman" w:cs="Times New Roman"/>
          <w:sz w:val="24"/>
          <w:szCs w:val="24"/>
        </w:rPr>
        <w:t>3. panta pirmajā daļā azartspēļu nodokļa likmes ir noteiktas absolūtā izteiksmē, kuras ietekmē inflācija. Līdz ar to būtu lietderīgi pārskatīt absolūtā izteiksmē noteiktās azartspēļu nodokļa likmes ik pēc noteikta laika perioda.</w:t>
      </w:r>
    </w:p>
    <w:p w14:paraId="02B4417A" w14:textId="77777777" w:rsidR="00DB3A1A" w:rsidRPr="00EB5274" w:rsidRDefault="00DB3A1A" w:rsidP="00B1512C">
      <w:pPr>
        <w:spacing w:after="120" w:line="240" w:lineRule="auto"/>
        <w:ind w:firstLine="720"/>
        <w:jc w:val="both"/>
        <w:rPr>
          <w:rFonts w:ascii="Times New Roman" w:hAnsi="Times New Roman" w:cs="Times New Roman"/>
          <w:sz w:val="24"/>
          <w:szCs w:val="24"/>
        </w:rPr>
      </w:pPr>
      <w:r w:rsidRPr="00EB5274">
        <w:rPr>
          <w:rFonts w:ascii="Times New Roman" w:hAnsi="Times New Roman" w:cs="Times New Roman"/>
          <w:sz w:val="24"/>
          <w:szCs w:val="24"/>
        </w:rPr>
        <w:t xml:space="preserve">Pēc Izložu un azartspēļu uzraudzības inspekcijas datiem azartspēļu organizētāju ieņēmumi no interaktīvajām azartspēlēm 2023. gadā ir pieauguši par 150,1% un 2024. gadā – par 181,4%, salīdzinot ar 2019. gadu. Latvijā no 2024. gada 1. janvāra azartspēļu nodokļu likme interaktīvajām azartspēlēm ir </w:t>
      </w:r>
      <w:r w:rsidRPr="00EB5274">
        <w:rPr>
          <w:rFonts w:ascii="Times New Roman" w:hAnsi="Times New Roman" w:cs="Times New Roman"/>
          <w:b/>
          <w:bCs/>
          <w:sz w:val="24"/>
          <w:szCs w:val="24"/>
        </w:rPr>
        <w:t>12%</w:t>
      </w:r>
      <w:r w:rsidRPr="00EB5274">
        <w:rPr>
          <w:rFonts w:ascii="Times New Roman" w:hAnsi="Times New Roman" w:cs="Times New Roman"/>
          <w:sz w:val="24"/>
          <w:szCs w:val="24"/>
        </w:rPr>
        <w:t>.</w:t>
      </w:r>
    </w:p>
    <w:p w14:paraId="58408550" w14:textId="77777777" w:rsidR="00DB3A1A" w:rsidRPr="00EB5274" w:rsidRDefault="00DB3A1A" w:rsidP="00B1512C">
      <w:pPr>
        <w:spacing w:after="120" w:line="240" w:lineRule="auto"/>
        <w:ind w:firstLine="720"/>
        <w:jc w:val="both"/>
        <w:rPr>
          <w:rFonts w:ascii="Times New Roman" w:hAnsi="Times New Roman" w:cs="Times New Roman"/>
          <w:sz w:val="24"/>
          <w:szCs w:val="24"/>
          <w:shd w:val="clear" w:color="auto" w:fill="FFFFFF"/>
        </w:rPr>
      </w:pPr>
      <w:r w:rsidRPr="00EB5274">
        <w:rPr>
          <w:rFonts w:ascii="Times New Roman" w:hAnsi="Times New Roman" w:cs="Times New Roman"/>
          <w:sz w:val="24"/>
          <w:szCs w:val="24"/>
        </w:rPr>
        <w:t xml:space="preserve">Jāatzīmē, ka šobrīd Lietuvā azartspēļu nodoklis interaktīvajām azartspēlēm ir </w:t>
      </w:r>
      <w:r w:rsidRPr="00EB5274">
        <w:rPr>
          <w:rFonts w:ascii="Times New Roman" w:hAnsi="Times New Roman" w:cs="Times New Roman"/>
          <w:b/>
          <w:bCs/>
          <w:sz w:val="24"/>
          <w:szCs w:val="24"/>
        </w:rPr>
        <w:t>22%</w:t>
      </w:r>
      <w:r w:rsidRPr="00EB5274">
        <w:rPr>
          <w:rFonts w:ascii="Times New Roman" w:hAnsi="Times New Roman" w:cs="Times New Roman"/>
          <w:sz w:val="24"/>
          <w:szCs w:val="24"/>
        </w:rPr>
        <w:t xml:space="preserve"> no organizēšanas ieņēmumiem. Tāpat šobrīd Lietuvā azartspēļu nodoklis azartspēļu automātu un galdu spēlēm, bingo, totalizatoram un derībām ir </w:t>
      </w:r>
      <w:r w:rsidRPr="00EB5274">
        <w:rPr>
          <w:rFonts w:ascii="Times New Roman" w:hAnsi="Times New Roman" w:cs="Times New Roman"/>
          <w:b/>
          <w:bCs/>
          <w:sz w:val="24"/>
          <w:szCs w:val="24"/>
        </w:rPr>
        <w:t>22%</w:t>
      </w:r>
      <w:r w:rsidRPr="00EB5274">
        <w:rPr>
          <w:rFonts w:ascii="Times New Roman" w:hAnsi="Times New Roman" w:cs="Times New Roman"/>
          <w:color w:val="00B050"/>
          <w:sz w:val="24"/>
          <w:szCs w:val="24"/>
        </w:rPr>
        <w:t xml:space="preserve"> </w:t>
      </w:r>
      <w:r w:rsidRPr="00EB5274">
        <w:rPr>
          <w:rFonts w:ascii="Times New Roman" w:hAnsi="Times New Roman" w:cs="Times New Roman"/>
          <w:sz w:val="24"/>
          <w:szCs w:val="24"/>
        </w:rPr>
        <w:t xml:space="preserve">no organizēšanas ieņēmumiem. Igaunijā šobrīd azartspēļu nodoklis interaktīvajām azartspēlēm ir </w:t>
      </w:r>
      <w:r w:rsidRPr="00EB5274">
        <w:rPr>
          <w:rFonts w:ascii="Times New Roman" w:hAnsi="Times New Roman" w:cs="Times New Roman"/>
          <w:b/>
          <w:bCs/>
          <w:sz w:val="24"/>
          <w:szCs w:val="24"/>
        </w:rPr>
        <w:t>6%</w:t>
      </w:r>
      <w:r w:rsidRPr="00EB5274">
        <w:rPr>
          <w:rFonts w:ascii="Times New Roman" w:hAnsi="Times New Roman" w:cs="Times New Roman"/>
          <w:sz w:val="24"/>
          <w:szCs w:val="24"/>
        </w:rPr>
        <w:t xml:space="preserve"> apmērā no </w:t>
      </w:r>
      <w:r w:rsidRPr="00EB5274">
        <w:rPr>
          <w:rFonts w:ascii="Times New Roman" w:hAnsi="Times New Roman" w:cs="Times New Roman"/>
          <w:sz w:val="24"/>
          <w:szCs w:val="24"/>
          <w:shd w:val="clear" w:color="auto" w:fill="FFFFFF"/>
        </w:rPr>
        <w:t>organizēšanas ieņēmumiem.</w:t>
      </w:r>
    </w:p>
    <w:p w14:paraId="3E473D69" w14:textId="77777777" w:rsidR="00DB3A1A" w:rsidRPr="00EB5274" w:rsidRDefault="00DB3A1A" w:rsidP="00B1512C">
      <w:pPr>
        <w:spacing w:after="120" w:line="240" w:lineRule="auto"/>
        <w:ind w:firstLine="720"/>
        <w:jc w:val="both"/>
        <w:rPr>
          <w:rFonts w:ascii="Times New Roman" w:hAnsi="Times New Roman" w:cs="Times New Roman"/>
          <w:sz w:val="24"/>
          <w:szCs w:val="24"/>
        </w:rPr>
      </w:pPr>
      <w:r w:rsidRPr="00EB5274">
        <w:rPr>
          <w:rFonts w:ascii="Times New Roman" w:hAnsi="Times New Roman" w:cs="Times New Roman"/>
          <w:sz w:val="24"/>
          <w:szCs w:val="24"/>
        </w:rPr>
        <w:t xml:space="preserve">Lai nodrošinātu papildu ieņēmumus valsts budžetā, </w:t>
      </w:r>
      <w:r w:rsidRPr="00EB5274">
        <w:rPr>
          <w:rFonts w:ascii="Times New Roman" w:hAnsi="Times New Roman" w:cs="Times New Roman"/>
          <w:b/>
          <w:bCs/>
          <w:sz w:val="24"/>
          <w:szCs w:val="24"/>
        </w:rPr>
        <w:t>sākot ar 2026. gada 1. janvāri piedāvāts paaugstināt:</w:t>
      </w:r>
    </w:p>
    <w:p w14:paraId="4E0BAC7A" w14:textId="77777777" w:rsidR="00DB3A1A" w:rsidRPr="00EB5274" w:rsidRDefault="00DB3A1A" w:rsidP="00B1512C">
      <w:pPr>
        <w:pStyle w:val="ListParagraph"/>
        <w:numPr>
          <w:ilvl w:val="0"/>
          <w:numId w:val="8"/>
        </w:numPr>
        <w:spacing w:after="120" w:line="240" w:lineRule="auto"/>
        <w:ind w:left="697" w:firstLine="720"/>
        <w:contextualSpacing w:val="0"/>
        <w:jc w:val="both"/>
        <w:rPr>
          <w:rFonts w:ascii="Times New Roman" w:hAnsi="Times New Roman" w:cs="Times New Roman"/>
          <w:b/>
          <w:bCs/>
          <w:sz w:val="24"/>
          <w:szCs w:val="24"/>
        </w:rPr>
      </w:pPr>
      <w:r w:rsidRPr="00EB5274">
        <w:rPr>
          <w:rFonts w:ascii="Times New Roman" w:hAnsi="Times New Roman" w:cs="Times New Roman"/>
          <w:b/>
          <w:bCs/>
          <w:sz w:val="24"/>
          <w:szCs w:val="24"/>
        </w:rPr>
        <w:t xml:space="preserve">azartspēļu nodokļa likmi azartspēļu automātiem </w:t>
      </w:r>
      <w:r w:rsidRPr="00EB5274">
        <w:rPr>
          <w:rFonts w:ascii="Times New Roman" w:hAnsi="Times New Roman" w:cs="Times New Roman"/>
          <w:sz w:val="24"/>
          <w:szCs w:val="24"/>
        </w:rPr>
        <w:t>(par katra azartspēļu automāta katru spēles vietu) par kalendāro gadu</w:t>
      </w:r>
      <w:r w:rsidRPr="00EB5274">
        <w:rPr>
          <w:rFonts w:ascii="Times New Roman" w:hAnsi="Times New Roman" w:cs="Times New Roman"/>
          <w:b/>
          <w:bCs/>
          <w:sz w:val="24"/>
          <w:szCs w:val="24"/>
        </w:rPr>
        <w:t xml:space="preserve"> </w:t>
      </w:r>
      <w:r w:rsidRPr="00EB5274">
        <w:rPr>
          <w:rFonts w:ascii="Times New Roman" w:hAnsi="Times New Roman" w:cs="Times New Roman"/>
          <w:sz w:val="24"/>
          <w:szCs w:val="24"/>
        </w:rPr>
        <w:t>no</w:t>
      </w:r>
      <w:r w:rsidRPr="00EB5274">
        <w:rPr>
          <w:rFonts w:ascii="Times New Roman" w:hAnsi="Times New Roman" w:cs="Times New Roman"/>
          <w:b/>
          <w:bCs/>
          <w:sz w:val="24"/>
          <w:szCs w:val="24"/>
        </w:rPr>
        <w:t xml:space="preserve"> 6 204 </w:t>
      </w:r>
      <w:r w:rsidRPr="00EB5274">
        <w:rPr>
          <w:rFonts w:ascii="Times New Roman" w:hAnsi="Times New Roman" w:cs="Times New Roman"/>
          <w:i/>
          <w:sz w:val="24"/>
          <w:szCs w:val="24"/>
        </w:rPr>
        <w:t>euro</w:t>
      </w:r>
      <w:r w:rsidRPr="00EB5274">
        <w:rPr>
          <w:rFonts w:ascii="Times New Roman" w:hAnsi="Times New Roman" w:cs="Times New Roman"/>
          <w:sz w:val="24"/>
          <w:szCs w:val="24"/>
        </w:rPr>
        <w:t xml:space="preserve"> uz</w:t>
      </w:r>
      <w:r w:rsidRPr="00EB5274">
        <w:rPr>
          <w:rFonts w:ascii="Times New Roman" w:hAnsi="Times New Roman" w:cs="Times New Roman"/>
          <w:b/>
          <w:bCs/>
          <w:sz w:val="24"/>
          <w:szCs w:val="24"/>
        </w:rPr>
        <w:t xml:space="preserve"> 7 440 </w:t>
      </w:r>
      <w:r w:rsidRPr="00EB5274">
        <w:rPr>
          <w:rFonts w:ascii="Times New Roman" w:hAnsi="Times New Roman" w:cs="Times New Roman"/>
          <w:i/>
          <w:sz w:val="24"/>
          <w:szCs w:val="24"/>
        </w:rPr>
        <w:t>euro</w:t>
      </w:r>
      <w:r w:rsidRPr="00EB5274">
        <w:rPr>
          <w:rFonts w:ascii="Times New Roman" w:hAnsi="Times New Roman" w:cs="Times New Roman"/>
          <w:sz w:val="24"/>
          <w:szCs w:val="24"/>
        </w:rPr>
        <w:t>;</w:t>
      </w:r>
    </w:p>
    <w:p w14:paraId="30E49B2A" w14:textId="77777777" w:rsidR="00DB3A1A" w:rsidRPr="00EB5274" w:rsidRDefault="00DB3A1A" w:rsidP="00B1512C">
      <w:pPr>
        <w:pStyle w:val="ListParagraph"/>
        <w:numPr>
          <w:ilvl w:val="0"/>
          <w:numId w:val="8"/>
        </w:numPr>
        <w:spacing w:after="120" w:line="240" w:lineRule="auto"/>
        <w:ind w:left="697" w:firstLine="720"/>
        <w:contextualSpacing w:val="0"/>
        <w:jc w:val="both"/>
        <w:rPr>
          <w:rFonts w:ascii="Times New Roman" w:hAnsi="Times New Roman" w:cs="Times New Roman"/>
          <w:sz w:val="24"/>
          <w:szCs w:val="24"/>
        </w:rPr>
      </w:pPr>
      <w:r w:rsidRPr="00EB5274">
        <w:rPr>
          <w:rFonts w:ascii="Times New Roman" w:hAnsi="Times New Roman" w:cs="Times New Roman"/>
          <w:b/>
          <w:bCs/>
          <w:sz w:val="24"/>
          <w:szCs w:val="24"/>
        </w:rPr>
        <w:t xml:space="preserve">azartspēļu nodokļa likmi ruletei un kāršu un kauliņu spēlei </w:t>
      </w:r>
      <w:r w:rsidRPr="00EB5274">
        <w:rPr>
          <w:rFonts w:ascii="Times New Roman" w:hAnsi="Times New Roman" w:cs="Times New Roman"/>
          <w:sz w:val="24"/>
          <w:szCs w:val="24"/>
        </w:rPr>
        <w:t>(par katru galdu) par kalendāro gadu</w:t>
      </w:r>
      <w:r w:rsidRPr="00EB5274">
        <w:rPr>
          <w:rFonts w:ascii="Times New Roman" w:hAnsi="Times New Roman" w:cs="Times New Roman"/>
          <w:b/>
          <w:bCs/>
          <w:sz w:val="24"/>
          <w:szCs w:val="24"/>
        </w:rPr>
        <w:t xml:space="preserve"> </w:t>
      </w:r>
      <w:r w:rsidRPr="00EB5274">
        <w:rPr>
          <w:rFonts w:ascii="Times New Roman" w:hAnsi="Times New Roman" w:cs="Times New Roman"/>
          <w:sz w:val="24"/>
          <w:szCs w:val="24"/>
        </w:rPr>
        <w:t>no</w:t>
      </w:r>
      <w:r w:rsidRPr="00EB5274">
        <w:rPr>
          <w:rFonts w:ascii="Times New Roman" w:hAnsi="Times New Roman" w:cs="Times New Roman"/>
          <w:b/>
          <w:bCs/>
          <w:sz w:val="24"/>
          <w:szCs w:val="24"/>
        </w:rPr>
        <w:t xml:space="preserve"> 33 696 </w:t>
      </w:r>
      <w:r w:rsidRPr="00EB5274">
        <w:rPr>
          <w:rFonts w:ascii="Times New Roman" w:hAnsi="Times New Roman" w:cs="Times New Roman"/>
          <w:i/>
          <w:sz w:val="24"/>
          <w:szCs w:val="24"/>
        </w:rPr>
        <w:t>euro</w:t>
      </w:r>
      <w:r w:rsidRPr="00EB5274">
        <w:rPr>
          <w:rFonts w:ascii="Times New Roman" w:hAnsi="Times New Roman" w:cs="Times New Roman"/>
          <w:sz w:val="24"/>
          <w:szCs w:val="24"/>
        </w:rPr>
        <w:t xml:space="preserve"> uz</w:t>
      </w:r>
      <w:r w:rsidRPr="00EB5274">
        <w:rPr>
          <w:rFonts w:ascii="Times New Roman" w:hAnsi="Times New Roman" w:cs="Times New Roman"/>
          <w:b/>
          <w:bCs/>
          <w:sz w:val="24"/>
          <w:szCs w:val="24"/>
        </w:rPr>
        <w:t xml:space="preserve"> 40 440 </w:t>
      </w:r>
      <w:r w:rsidRPr="00EB5274">
        <w:rPr>
          <w:rFonts w:ascii="Times New Roman" w:hAnsi="Times New Roman" w:cs="Times New Roman"/>
          <w:i/>
          <w:sz w:val="24"/>
          <w:szCs w:val="24"/>
        </w:rPr>
        <w:t>euro</w:t>
      </w:r>
      <w:r w:rsidRPr="00EB5274">
        <w:rPr>
          <w:rFonts w:ascii="Times New Roman" w:hAnsi="Times New Roman" w:cs="Times New Roman"/>
          <w:sz w:val="24"/>
          <w:szCs w:val="24"/>
        </w:rPr>
        <w:t>;</w:t>
      </w:r>
    </w:p>
    <w:p w14:paraId="4D2161BD" w14:textId="77777777" w:rsidR="00DB3A1A" w:rsidRPr="00EB5274" w:rsidRDefault="00DB3A1A" w:rsidP="00B1512C">
      <w:pPr>
        <w:pStyle w:val="ListParagraph"/>
        <w:numPr>
          <w:ilvl w:val="0"/>
          <w:numId w:val="8"/>
        </w:numPr>
        <w:spacing w:after="120" w:line="240" w:lineRule="auto"/>
        <w:ind w:left="697" w:firstLine="720"/>
        <w:contextualSpacing w:val="0"/>
        <w:jc w:val="both"/>
        <w:rPr>
          <w:rFonts w:ascii="Times New Roman" w:hAnsi="Times New Roman" w:cs="Times New Roman"/>
          <w:sz w:val="24"/>
          <w:szCs w:val="24"/>
        </w:rPr>
      </w:pPr>
      <w:r w:rsidRPr="00EB5274">
        <w:rPr>
          <w:rFonts w:ascii="Times New Roman" w:hAnsi="Times New Roman" w:cs="Times New Roman"/>
          <w:b/>
          <w:bCs/>
          <w:sz w:val="24"/>
          <w:szCs w:val="24"/>
        </w:rPr>
        <w:t xml:space="preserve">azartspēļu nodokļa likmi </w:t>
      </w:r>
      <w:r w:rsidRPr="00EB5274">
        <w:rPr>
          <w:rFonts w:ascii="Times New Roman" w:hAnsi="Times New Roman" w:cs="Times New Roman"/>
          <w:sz w:val="24"/>
          <w:szCs w:val="24"/>
        </w:rPr>
        <w:t xml:space="preserve">likuma </w:t>
      </w:r>
      <w:r w:rsidRPr="00EB5274">
        <w:rPr>
          <w:rFonts w:ascii="Times New Roman" w:hAnsi="Times New Roman" w:cs="Times New Roman"/>
          <w:i/>
          <w:iCs/>
          <w:sz w:val="24"/>
          <w:szCs w:val="24"/>
        </w:rPr>
        <w:t xml:space="preserve">“Par izložu un azartspēļu nodevu un nodokli” </w:t>
      </w:r>
      <w:r w:rsidRPr="00EB5274">
        <w:rPr>
          <w:rFonts w:ascii="Times New Roman" w:hAnsi="Times New Roman" w:cs="Times New Roman"/>
          <w:sz w:val="24"/>
          <w:szCs w:val="24"/>
        </w:rPr>
        <w:t xml:space="preserve">3. panta otrajā un trešajā daļā minētajam objektam </w:t>
      </w:r>
      <w:r w:rsidRPr="00EB5274">
        <w:rPr>
          <w:rFonts w:ascii="Times New Roman" w:hAnsi="Times New Roman" w:cs="Times New Roman"/>
          <w:b/>
          <w:bCs/>
          <w:sz w:val="24"/>
          <w:szCs w:val="24"/>
        </w:rPr>
        <w:t xml:space="preserve">(veiksmes spēlei pa tālruni un totalizatoram un derībām) </w:t>
      </w:r>
      <w:r w:rsidRPr="00EB5274">
        <w:rPr>
          <w:rFonts w:ascii="Times New Roman" w:hAnsi="Times New Roman" w:cs="Times New Roman"/>
          <w:sz w:val="24"/>
          <w:szCs w:val="24"/>
        </w:rPr>
        <w:t xml:space="preserve">no </w:t>
      </w:r>
      <w:r w:rsidRPr="00EB5274">
        <w:rPr>
          <w:rFonts w:ascii="Times New Roman" w:hAnsi="Times New Roman" w:cs="Times New Roman"/>
          <w:b/>
          <w:bCs/>
          <w:sz w:val="24"/>
          <w:szCs w:val="24"/>
        </w:rPr>
        <w:t xml:space="preserve">15% </w:t>
      </w:r>
      <w:r w:rsidRPr="00EB5274">
        <w:rPr>
          <w:rFonts w:ascii="Times New Roman" w:hAnsi="Times New Roman" w:cs="Times New Roman"/>
          <w:sz w:val="24"/>
          <w:szCs w:val="24"/>
        </w:rPr>
        <w:t>uz</w:t>
      </w:r>
      <w:r w:rsidRPr="00EB5274">
        <w:rPr>
          <w:rFonts w:ascii="Times New Roman" w:hAnsi="Times New Roman" w:cs="Times New Roman"/>
          <w:b/>
          <w:bCs/>
          <w:sz w:val="24"/>
          <w:szCs w:val="24"/>
        </w:rPr>
        <w:t xml:space="preserve"> 18% </w:t>
      </w:r>
      <w:r w:rsidRPr="00EB5274">
        <w:rPr>
          <w:rFonts w:ascii="Times New Roman" w:hAnsi="Times New Roman" w:cs="Times New Roman"/>
          <w:sz w:val="24"/>
          <w:szCs w:val="24"/>
        </w:rPr>
        <w:t>no šīs spēles organizēšanas ieņēmumiem;</w:t>
      </w:r>
    </w:p>
    <w:p w14:paraId="14AF7471" w14:textId="77777777" w:rsidR="00DB3A1A" w:rsidRPr="00EB5274" w:rsidRDefault="00DB3A1A" w:rsidP="00B1512C">
      <w:pPr>
        <w:pStyle w:val="ListParagraph"/>
        <w:numPr>
          <w:ilvl w:val="0"/>
          <w:numId w:val="8"/>
        </w:numPr>
        <w:spacing w:after="120" w:line="240" w:lineRule="auto"/>
        <w:ind w:left="697" w:firstLine="720"/>
        <w:contextualSpacing w:val="0"/>
        <w:jc w:val="both"/>
        <w:rPr>
          <w:rFonts w:ascii="Times New Roman" w:hAnsi="Times New Roman" w:cs="Times New Roman"/>
          <w:sz w:val="24"/>
          <w:szCs w:val="24"/>
        </w:rPr>
      </w:pPr>
      <w:r w:rsidRPr="00EB5274">
        <w:rPr>
          <w:rFonts w:ascii="Times New Roman" w:hAnsi="Times New Roman" w:cs="Times New Roman"/>
          <w:b/>
          <w:bCs/>
          <w:sz w:val="24"/>
          <w:szCs w:val="24"/>
        </w:rPr>
        <w:t xml:space="preserve">azartspēļu nodokļa likmi </w:t>
      </w:r>
      <w:r w:rsidRPr="00EB5274">
        <w:rPr>
          <w:rFonts w:ascii="Times New Roman" w:hAnsi="Times New Roman" w:cs="Times New Roman"/>
          <w:sz w:val="24"/>
          <w:szCs w:val="24"/>
        </w:rPr>
        <w:t xml:space="preserve">likuma </w:t>
      </w:r>
      <w:r w:rsidRPr="00EB5274">
        <w:rPr>
          <w:rFonts w:ascii="Times New Roman" w:hAnsi="Times New Roman" w:cs="Times New Roman"/>
          <w:i/>
          <w:iCs/>
          <w:sz w:val="24"/>
          <w:szCs w:val="24"/>
        </w:rPr>
        <w:t>“Par izložu un azartspēļu nodevu un nodokli”</w:t>
      </w:r>
      <w:r w:rsidRPr="00EB5274">
        <w:rPr>
          <w:rFonts w:ascii="Times New Roman" w:hAnsi="Times New Roman" w:cs="Times New Roman"/>
          <w:sz w:val="24"/>
          <w:szCs w:val="24"/>
        </w:rPr>
        <w:t xml:space="preserve"> 3. panta ceturtajā daļā minētajam objektam</w:t>
      </w:r>
      <w:r w:rsidRPr="00EB5274">
        <w:rPr>
          <w:rFonts w:ascii="Times New Roman" w:hAnsi="Times New Roman" w:cs="Times New Roman"/>
          <w:b/>
          <w:bCs/>
          <w:sz w:val="24"/>
          <w:szCs w:val="24"/>
        </w:rPr>
        <w:t xml:space="preserve"> (bingo) </w:t>
      </w:r>
      <w:r w:rsidRPr="00EB5274">
        <w:rPr>
          <w:rFonts w:ascii="Times New Roman" w:hAnsi="Times New Roman" w:cs="Times New Roman"/>
          <w:sz w:val="24"/>
          <w:szCs w:val="24"/>
        </w:rPr>
        <w:t>no</w:t>
      </w:r>
      <w:r w:rsidRPr="00EB5274">
        <w:rPr>
          <w:rFonts w:ascii="Times New Roman" w:hAnsi="Times New Roman" w:cs="Times New Roman"/>
          <w:b/>
          <w:bCs/>
          <w:sz w:val="24"/>
          <w:szCs w:val="24"/>
        </w:rPr>
        <w:t xml:space="preserve"> 10% </w:t>
      </w:r>
      <w:r w:rsidRPr="00EB5274">
        <w:rPr>
          <w:rFonts w:ascii="Times New Roman" w:hAnsi="Times New Roman" w:cs="Times New Roman"/>
          <w:sz w:val="24"/>
          <w:szCs w:val="24"/>
        </w:rPr>
        <w:t>uz</w:t>
      </w:r>
      <w:r w:rsidRPr="00EB5274">
        <w:rPr>
          <w:rFonts w:ascii="Times New Roman" w:hAnsi="Times New Roman" w:cs="Times New Roman"/>
          <w:b/>
          <w:bCs/>
          <w:sz w:val="24"/>
          <w:szCs w:val="24"/>
        </w:rPr>
        <w:t xml:space="preserve"> 12% </w:t>
      </w:r>
      <w:r w:rsidRPr="00EB5274">
        <w:rPr>
          <w:rFonts w:ascii="Times New Roman" w:hAnsi="Times New Roman" w:cs="Times New Roman"/>
          <w:sz w:val="24"/>
          <w:szCs w:val="24"/>
        </w:rPr>
        <w:t xml:space="preserve">no šīs spēles organizēšanas ieņēmumiem; </w:t>
      </w:r>
    </w:p>
    <w:p w14:paraId="2A12D24B" w14:textId="77777777" w:rsidR="00DB3A1A" w:rsidRPr="00EB5274" w:rsidRDefault="00DB3A1A" w:rsidP="00B1512C">
      <w:pPr>
        <w:pStyle w:val="ListParagraph"/>
        <w:numPr>
          <w:ilvl w:val="0"/>
          <w:numId w:val="8"/>
        </w:numPr>
        <w:spacing w:after="120" w:line="240" w:lineRule="auto"/>
        <w:ind w:left="697" w:firstLine="720"/>
        <w:contextualSpacing w:val="0"/>
        <w:jc w:val="both"/>
        <w:rPr>
          <w:rFonts w:ascii="Times New Roman" w:hAnsi="Times New Roman" w:cs="Times New Roman"/>
          <w:b/>
          <w:bCs/>
          <w:sz w:val="24"/>
          <w:szCs w:val="24"/>
        </w:rPr>
      </w:pPr>
      <w:r w:rsidRPr="00EB5274">
        <w:rPr>
          <w:rFonts w:ascii="Times New Roman" w:hAnsi="Times New Roman" w:cs="Times New Roman"/>
          <w:b/>
          <w:bCs/>
          <w:sz w:val="24"/>
          <w:szCs w:val="24"/>
        </w:rPr>
        <w:t xml:space="preserve">azartspēļu nodokļa likmi </w:t>
      </w:r>
      <w:r w:rsidRPr="00EB5274">
        <w:rPr>
          <w:rFonts w:ascii="Times New Roman" w:hAnsi="Times New Roman" w:cs="Times New Roman"/>
          <w:sz w:val="24"/>
          <w:szCs w:val="24"/>
        </w:rPr>
        <w:t xml:space="preserve">likuma </w:t>
      </w:r>
      <w:r w:rsidRPr="00EB5274">
        <w:rPr>
          <w:rFonts w:ascii="Times New Roman" w:hAnsi="Times New Roman" w:cs="Times New Roman"/>
          <w:i/>
          <w:iCs/>
          <w:sz w:val="24"/>
          <w:szCs w:val="24"/>
        </w:rPr>
        <w:t>“Par izložu un azartspēļu nodevu un nodokli”</w:t>
      </w:r>
      <w:r w:rsidRPr="00EB5274">
        <w:rPr>
          <w:rFonts w:ascii="Times New Roman" w:hAnsi="Times New Roman" w:cs="Times New Roman"/>
          <w:sz w:val="24"/>
          <w:szCs w:val="24"/>
        </w:rPr>
        <w:t xml:space="preserve"> 3. panta piektajā daļā minētajam objektam</w:t>
      </w:r>
      <w:r w:rsidRPr="00EB5274">
        <w:rPr>
          <w:rFonts w:ascii="Times New Roman" w:hAnsi="Times New Roman" w:cs="Times New Roman"/>
          <w:b/>
          <w:bCs/>
          <w:sz w:val="24"/>
          <w:szCs w:val="24"/>
        </w:rPr>
        <w:t xml:space="preserve"> (interaktīvajām azartspēlēm) </w:t>
      </w:r>
      <w:r w:rsidRPr="00EB5274">
        <w:rPr>
          <w:rFonts w:ascii="Times New Roman" w:hAnsi="Times New Roman" w:cs="Times New Roman"/>
          <w:sz w:val="24"/>
          <w:szCs w:val="24"/>
        </w:rPr>
        <w:t>no</w:t>
      </w:r>
      <w:r w:rsidRPr="00EB5274">
        <w:rPr>
          <w:rFonts w:ascii="Times New Roman" w:hAnsi="Times New Roman" w:cs="Times New Roman"/>
          <w:b/>
          <w:bCs/>
          <w:sz w:val="24"/>
          <w:szCs w:val="24"/>
        </w:rPr>
        <w:t xml:space="preserve"> 12% </w:t>
      </w:r>
      <w:r w:rsidRPr="00EB5274">
        <w:rPr>
          <w:rFonts w:ascii="Times New Roman" w:hAnsi="Times New Roman" w:cs="Times New Roman"/>
          <w:sz w:val="24"/>
          <w:szCs w:val="24"/>
        </w:rPr>
        <w:t>uz</w:t>
      </w:r>
      <w:r w:rsidRPr="00EB5274">
        <w:rPr>
          <w:rFonts w:ascii="Times New Roman" w:hAnsi="Times New Roman" w:cs="Times New Roman"/>
          <w:b/>
          <w:bCs/>
          <w:sz w:val="24"/>
          <w:szCs w:val="24"/>
        </w:rPr>
        <w:t xml:space="preserve"> 15% </w:t>
      </w:r>
      <w:r w:rsidRPr="00EB5274">
        <w:rPr>
          <w:rFonts w:ascii="Times New Roman" w:hAnsi="Times New Roman" w:cs="Times New Roman"/>
          <w:sz w:val="24"/>
          <w:szCs w:val="24"/>
        </w:rPr>
        <w:t>no šīs spēles organizēšanas ieņēmumiem.</w:t>
      </w:r>
    </w:p>
    <w:p w14:paraId="2F1A4669" w14:textId="77777777" w:rsidR="00DB3A1A" w:rsidRPr="00EB5274" w:rsidRDefault="00DB3A1A" w:rsidP="00B1512C">
      <w:pPr>
        <w:spacing w:after="120" w:line="240" w:lineRule="auto"/>
        <w:ind w:firstLine="720"/>
        <w:jc w:val="both"/>
        <w:rPr>
          <w:rFonts w:ascii="Times New Roman" w:hAnsi="Times New Roman" w:cs="Times New Roman"/>
          <w:sz w:val="24"/>
          <w:szCs w:val="24"/>
          <w:shd w:val="clear" w:color="auto" w:fill="FFFFFF"/>
        </w:rPr>
      </w:pPr>
      <w:r w:rsidRPr="00EB5274">
        <w:rPr>
          <w:rFonts w:ascii="Times New Roman" w:hAnsi="Times New Roman" w:cs="Times New Roman"/>
          <w:sz w:val="24"/>
          <w:szCs w:val="24"/>
          <w:shd w:val="clear" w:color="auto" w:fill="FFFFFF"/>
        </w:rPr>
        <w:t xml:space="preserve">Saeimā 2024. gada 4. decembrī pieņemtajā likumā </w:t>
      </w:r>
      <w:r w:rsidRPr="00EB5274">
        <w:rPr>
          <w:rFonts w:ascii="Times New Roman" w:hAnsi="Times New Roman" w:cs="Times New Roman"/>
          <w:sz w:val="24"/>
          <w:szCs w:val="24"/>
        </w:rPr>
        <w:t>“</w:t>
      </w:r>
      <w:r w:rsidRPr="00EB5274">
        <w:rPr>
          <w:rFonts w:ascii="Times New Roman" w:hAnsi="Times New Roman" w:cs="Times New Roman"/>
          <w:i/>
          <w:iCs/>
          <w:sz w:val="24"/>
          <w:szCs w:val="24"/>
        </w:rPr>
        <w:t>Grozījumi likumā “Par izložu un azartspēļu nodevu un nodokli</w:t>
      </w:r>
      <w:r w:rsidRPr="00EB5274">
        <w:rPr>
          <w:rFonts w:ascii="Times New Roman" w:hAnsi="Times New Roman" w:cs="Times New Roman"/>
          <w:sz w:val="24"/>
          <w:szCs w:val="24"/>
        </w:rPr>
        <w:t xml:space="preserve">”” </w:t>
      </w:r>
      <w:r w:rsidRPr="00EB5274">
        <w:rPr>
          <w:rFonts w:ascii="Times New Roman" w:hAnsi="Times New Roman" w:cs="Times New Roman"/>
          <w:sz w:val="24"/>
          <w:szCs w:val="24"/>
          <w:shd w:val="clear" w:color="auto" w:fill="FFFFFF"/>
        </w:rPr>
        <w:t>azartspēļu nodokļa likmju paaugstināšana iepriekš minētajā apmērā bija paredzēta, sākot ar 2027. gadu.</w:t>
      </w:r>
    </w:p>
    <w:p w14:paraId="1E0C08B5" w14:textId="5D6E748B" w:rsidR="00DB3A1A" w:rsidRPr="00B1512C" w:rsidRDefault="00D47AD0" w:rsidP="00B1512C">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8</w:t>
      </w:r>
      <w:r w:rsidR="00DB3A1A" w:rsidRPr="00B1512C">
        <w:rPr>
          <w:rFonts w:ascii="Times New Roman" w:hAnsi="Times New Roman" w:cs="Times New Roman"/>
          <w:sz w:val="20"/>
          <w:szCs w:val="20"/>
        </w:rPr>
        <w:t>. tab</w:t>
      </w:r>
      <w:r>
        <w:rPr>
          <w:rFonts w:ascii="Times New Roman" w:hAnsi="Times New Roman" w:cs="Times New Roman"/>
          <w:sz w:val="20"/>
          <w:szCs w:val="20"/>
        </w:rPr>
        <w:t>ula</w:t>
      </w:r>
      <w:r w:rsidR="00DB3A1A" w:rsidRPr="00B1512C">
        <w:rPr>
          <w:rFonts w:ascii="Times New Roman" w:hAnsi="Times New Roman" w:cs="Times New Roman"/>
          <w:bCs/>
          <w:sz w:val="20"/>
          <w:szCs w:val="20"/>
        </w:rPr>
        <w:t>.</w:t>
      </w:r>
      <w:r w:rsidR="00DB3A1A" w:rsidRPr="00B1512C">
        <w:rPr>
          <w:rFonts w:ascii="Times New Roman" w:hAnsi="Times New Roman" w:cs="Times New Roman"/>
          <w:b/>
          <w:sz w:val="20"/>
          <w:szCs w:val="20"/>
        </w:rPr>
        <w:t xml:space="preserve"> Priekšlikuma indikatīva fiskālā ietekme</w:t>
      </w:r>
      <w:r w:rsidR="00DB3A1A" w:rsidRPr="00B1512C">
        <w:rPr>
          <w:rFonts w:ascii="Times New Roman" w:hAnsi="Times New Roman" w:cs="Times New Roman"/>
          <w:bCs/>
          <w:sz w:val="20"/>
          <w:szCs w:val="20"/>
        </w:rPr>
        <w:t>,</w:t>
      </w:r>
      <w:r w:rsidR="00DB3A1A" w:rsidRPr="00B1512C">
        <w:rPr>
          <w:rFonts w:ascii="Times New Roman" w:hAnsi="Times New Roman" w:cs="Times New Roman"/>
          <w:bCs/>
          <w:i/>
          <w:iCs/>
          <w:sz w:val="20"/>
          <w:szCs w:val="20"/>
        </w:rPr>
        <w:t> euro</w:t>
      </w:r>
    </w:p>
    <w:tbl>
      <w:tblPr>
        <w:tblStyle w:val="TableGrid"/>
        <w:tblW w:w="9346" w:type="dxa"/>
        <w:tblInd w:w="5" w:type="dxa"/>
        <w:tblLook w:val="04A0" w:firstRow="1" w:lastRow="0" w:firstColumn="1" w:lastColumn="0" w:noHBand="0" w:noVBand="1"/>
      </w:tblPr>
      <w:tblGrid>
        <w:gridCol w:w="4090"/>
        <w:gridCol w:w="1752"/>
        <w:gridCol w:w="1752"/>
        <w:gridCol w:w="1752"/>
      </w:tblGrid>
      <w:tr w:rsidR="00B1512C" w:rsidRPr="00B1512C" w14:paraId="0A437597" w14:textId="77777777" w:rsidTr="00B1512C">
        <w:trPr>
          <w:trHeight w:val="255"/>
        </w:trPr>
        <w:tc>
          <w:tcPr>
            <w:tcW w:w="3969" w:type="dxa"/>
            <w:shd w:val="clear" w:color="auto" w:fill="FFFFFF" w:themeFill="background1"/>
          </w:tcPr>
          <w:p w14:paraId="4EB6C412" w14:textId="77777777" w:rsidR="00B1512C" w:rsidRPr="00B1512C" w:rsidRDefault="00B1512C" w:rsidP="00B1512C">
            <w:pPr>
              <w:pStyle w:val="ListParagraph"/>
              <w:spacing w:after="120"/>
              <w:ind w:left="0"/>
              <w:contextualSpacing w:val="0"/>
              <w:jc w:val="center"/>
              <w:rPr>
                <w:rFonts w:ascii="Times New Roman" w:hAnsi="Times New Roman" w:cs="Times New Roman"/>
                <w:b/>
                <w:bCs/>
                <w:sz w:val="20"/>
                <w:szCs w:val="20"/>
              </w:rPr>
            </w:pPr>
          </w:p>
        </w:tc>
        <w:tc>
          <w:tcPr>
            <w:tcW w:w="1701" w:type="dxa"/>
            <w:shd w:val="clear" w:color="auto" w:fill="FFFFFF" w:themeFill="background1"/>
            <w:vAlign w:val="bottom"/>
          </w:tcPr>
          <w:p w14:paraId="548CC8D8" w14:textId="77777777" w:rsidR="00B1512C" w:rsidRPr="00B1512C" w:rsidRDefault="00B1512C" w:rsidP="00B1512C">
            <w:pPr>
              <w:pStyle w:val="ListParagraph"/>
              <w:spacing w:after="120"/>
              <w:ind w:left="0"/>
              <w:contextualSpacing w:val="0"/>
              <w:jc w:val="center"/>
              <w:rPr>
                <w:rFonts w:ascii="Times New Roman" w:hAnsi="Times New Roman" w:cs="Times New Roman"/>
                <w:b/>
                <w:bCs/>
                <w:sz w:val="20"/>
                <w:szCs w:val="20"/>
              </w:rPr>
            </w:pPr>
            <w:r w:rsidRPr="00B1512C">
              <w:rPr>
                <w:rFonts w:ascii="Times New Roman" w:hAnsi="Times New Roman" w:cs="Times New Roman"/>
                <w:b/>
                <w:bCs/>
                <w:sz w:val="20"/>
                <w:szCs w:val="20"/>
              </w:rPr>
              <w:t>2026</w:t>
            </w:r>
          </w:p>
        </w:tc>
        <w:tc>
          <w:tcPr>
            <w:tcW w:w="1701" w:type="dxa"/>
            <w:shd w:val="clear" w:color="auto" w:fill="FFFFFF" w:themeFill="background1"/>
            <w:vAlign w:val="bottom"/>
          </w:tcPr>
          <w:p w14:paraId="3801EC4C" w14:textId="77777777" w:rsidR="00B1512C" w:rsidRPr="00B1512C" w:rsidRDefault="00B1512C" w:rsidP="00B1512C">
            <w:pPr>
              <w:pStyle w:val="ListParagraph"/>
              <w:spacing w:after="120"/>
              <w:ind w:left="0"/>
              <w:contextualSpacing w:val="0"/>
              <w:jc w:val="center"/>
              <w:rPr>
                <w:rFonts w:ascii="Times New Roman" w:hAnsi="Times New Roman" w:cs="Times New Roman"/>
                <w:b/>
                <w:bCs/>
                <w:sz w:val="20"/>
                <w:szCs w:val="20"/>
              </w:rPr>
            </w:pPr>
            <w:r w:rsidRPr="00B1512C">
              <w:rPr>
                <w:rFonts w:ascii="Times New Roman" w:hAnsi="Times New Roman" w:cs="Times New Roman"/>
                <w:b/>
                <w:bCs/>
                <w:sz w:val="20"/>
                <w:szCs w:val="20"/>
              </w:rPr>
              <w:t>2027</w:t>
            </w:r>
          </w:p>
        </w:tc>
        <w:tc>
          <w:tcPr>
            <w:tcW w:w="1701" w:type="dxa"/>
            <w:shd w:val="clear" w:color="auto" w:fill="FFFFFF" w:themeFill="background1"/>
            <w:vAlign w:val="bottom"/>
          </w:tcPr>
          <w:p w14:paraId="3CD2F3AE" w14:textId="77777777" w:rsidR="00B1512C" w:rsidRPr="00B1512C" w:rsidRDefault="00B1512C" w:rsidP="00B1512C">
            <w:pPr>
              <w:pStyle w:val="ListParagraph"/>
              <w:spacing w:after="120"/>
              <w:ind w:left="0"/>
              <w:contextualSpacing w:val="0"/>
              <w:jc w:val="center"/>
              <w:rPr>
                <w:rFonts w:ascii="Times New Roman" w:hAnsi="Times New Roman" w:cs="Times New Roman"/>
                <w:b/>
                <w:bCs/>
                <w:sz w:val="20"/>
                <w:szCs w:val="20"/>
              </w:rPr>
            </w:pPr>
            <w:r w:rsidRPr="00B1512C">
              <w:rPr>
                <w:rFonts w:ascii="Times New Roman" w:hAnsi="Times New Roman" w:cs="Times New Roman"/>
                <w:b/>
                <w:bCs/>
                <w:sz w:val="20"/>
                <w:szCs w:val="20"/>
              </w:rPr>
              <w:t>2028</w:t>
            </w:r>
          </w:p>
        </w:tc>
      </w:tr>
      <w:tr w:rsidR="00880622" w:rsidRPr="00880622" w14:paraId="033C8F52" w14:textId="77777777" w:rsidTr="00B1512C">
        <w:trPr>
          <w:trHeight w:val="255"/>
        </w:trPr>
        <w:tc>
          <w:tcPr>
            <w:tcW w:w="3969" w:type="dxa"/>
            <w:shd w:val="clear" w:color="auto" w:fill="F2F2F2" w:themeFill="background1" w:themeFillShade="F2"/>
            <w:vAlign w:val="center"/>
          </w:tcPr>
          <w:p w14:paraId="5902D33B" w14:textId="77777777" w:rsidR="00B1512C" w:rsidRPr="00880622" w:rsidRDefault="00B1512C" w:rsidP="00B1512C">
            <w:pPr>
              <w:spacing w:after="120"/>
              <w:rPr>
                <w:rFonts w:ascii="Times New Roman" w:hAnsi="Times New Roman" w:cs="Times New Roman"/>
                <w:i/>
                <w:iCs/>
                <w:sz w:val="20"/>
                <w:szCs w:val="20"/>
              </w:rPr>
            </w:pPr>
            <w:r w:rsidRPr="00880622">
              <w:rPr>
                <w:rFonts w:ascii="Times New Roman" w:eastAsia="Calibri" w:hAnsi="Times New Roman" w:cs="Times New Roman"/>
                <w:b/>
                <w:bCs/>
                <w:sz w:val="20"/>
                <w:szCs w:val="20"/>
              </w:rPr>
              <w:t>IAN ieņēmumi</w:t>
            </w:r>
            <w:r w:rsidRPr="00880622">
              <w:rPr>
                <w:rFonts w:ascii="Times New Roman" w:hAnsi="Times New Roman" w:cs="Times New Roman"/>
                <w:i/>
                <w:iCs/>
                <w:sz w:val="20"/>
                <w:szCs w:val="20"/>
              </w:rPr>
              <w:t>, no tiem:</w:t>
            </w:r>
          </w:p>
        </w:tc>
        <w:tc>
          <w:tcPr>
            <w:tcW w:w="1701" w:type="dxa"/>
            <w:shd w:val="clear" w:color="auto" w:fill="F2F2F2" w:themeFill="background1" w:themeFillShade="F2"/>
            <w:vAlign w:val="center"/>
          </w:tcPr>
          <w:p w14:paraId="5C6E732C" w14:textId="77777777" w:rsidR="00B1512C" w:rsidRPr="00880622" w:rsidRDefault="00B1512C" w:rsidP="00B1512C">
            <w:pPr>
              <w:pStyle w:val="ListParagraph"/>
              <w:spacing w:after="120"/>
              <w:ind w:left="0"/>
              <w:contextualSpacing w:val="0"/>
              <w:jc w:val="right"/>
              <w:rPr>
                <w:rFonts w:ascii="Times New Roman" w:hAnsi="Times New Roman" w:cs="Times New Roman"/>
                <w:i/>
                <w:iCs/>
                <w:sz w:val="20"/>
                <w:szCs w:val="20"/>
              </w:rPr>
            </w:pPr>
            <w:r w:rsidRPr="00880622">
              <w:rPr>
                <w:rFonts w:ascii="Times New Roman" w:eastAsia="Calibri" w:hAnsi="Times New Roman" w:cs="Times New Roman"/>
                <w:b/>
                <w:bCs/>
                <w:sz w:val="20"/>
                <w:szCs w:val="20"/>
              </w:rPr>
              <w:t>+9 200 000</w:t>
            </w:r>
          </w:p>
        </w:tc>
        <w:tc>
          <w:tcPr>
            <w:tcW w:w="1701" w:type="dxa"/>
            <w:shd w:val="clear" w:color="auto" w:fill="F2F2F2" w:themeFill="background1" w:themeFillShade="F2"/>
            <w:vAlign w:val="center"/>
          </w:tcPr>
          <w:p w14:paraId="144538AD" w14:textId="77777777" w:rsidR="00B1512C" w:rsidRPr="00880622" w:rsidRDefault="00B1512C" w:rsidP="00B1512C">
            <w:pPr>
              <w:pStyle w:val="ListParagraph"/>
              <w:spacing w:after="120"/>
              <w:ind w:left="0"/>
              <w:contextualSpacing w:val="0"/>
              <w:jc w:val="center"/>
              <w:rPr>
                <w:rFonts w:ascii="Times New Roman" w:hAnsi="Times New Roman" w:cs="Times New Roman"/>
                <w:sz w:val="20"/>
                <w:szCs w:val="20"/>
              </w:rPr>
            </w:pPr>
            <w:r w:rsidRPr="00880622">
              <w:rPr>
                <w:rFonts w:ascii="Times New Roman" w:hAnsi="Times New Roman" w:cs="Times New Roman"/>
                <w:sz w:val="20"/>
                <w:szCs w:val="20"/>
              </w:rPr>
              <w:t>-</w:t>
            </w:r>
          </w:p>
        </w:tc>
        <w:tc>
          <w:tcPr>
            <w:tcW w:w="1701" w:type="dxa"/>
            <w:shd w:val="clear" w:color="auto" w:fill="F2F2F2" w:themeFill="background1" w:themeFillShade="F2"/>
            <w:vAlign w:val="center"/>
          </w:tcPr>
          <w:p w14:paraId="3E9C0895" w14:textId="77777777" w:rsidR="00B1512C" w:rsidRPr="00880622" w:rsidRDefault="00B1512C" w:rsidP="00B1512C">
            <w:pPr>
              <w:pStyle w:val="ListParagraph"/>
              <w:spacing w:after="120"/>
              <w:ind w:left="0"/>
              <w:contextualSpacing w:val="0"/>
              <w:jc w:val="center"/>
              <w:rPr>
                <w:rFonts w:ascii="Times New Roman" w:hAnsi="Times New Roman" w:cs="Times New Roman"/>
                <w:i/>
                <w:iCs/>
                <w:sz w:val="20"/>
                <w:szCs w:val="20"/>
              </w:rPr>
            </w:pPr>
            <w:r w:rsidRPr="00880622">
              <w:rPr>
                <w:rFonts w:ascii="Times New Roman" w:hAnsi="Times New Roman" w:cs="Times New Roman"/>
                <w:sz w:val="20"/>
                <w:szCs w:val="20"/>
              </w:rPr>
              <w:t>-</w:t>
            </w:r>
          </w:p>
        </w:tc>
      </w:tr>
      <w:tr w:rsidR="00880622" w:rsidRPr="00880622" w14:paraId="7A1BAC88" w14:textId="77777777" w:rsidTr="00B1512C">
        <w:trPr>
          <w:trHeight w:val="255"/>
        </w:trPr>
        <w:tc>
          <w:tcPr>
            <w:tcW w:w="3969" w:type="dxa"/>
            <w:shd w:val="clear" w:color="auto" w:fill="FFFFFF" w:themeFill="background1"/>
            <w:vAlign w:val="center"/>
          </w:tcPr>
          <w:p w14:paraId="4552E939" w14:textId="77777777" w:rsidR="00B1512C" w:rsidRPr="00880622" w:rsidRDefault="00B1512C" w:rsidP="00B1512C">
            <w:pPr>
              <w:pStyle w:val="ListParagraph"/>
              <w:numPr>
                <w:ilvl w:val="0"/>
                <w:numId w:val="7"/>
              </w:numPr>
              <w:tabs>
                <w:tab w:val="clear" w:pos="720"/>
                <w:tab w:val="num" w:pos="306"/>
              </w:tabs>
              <w:spacing w:after="120"/>
              <w:ind w:left="0" w:firstLine="0"/>
              <w:contextualSpacing w:val="0"/>
              <w:rPr>
                <w:rFonts w:ascii="Times New Roman" w:hAnsi="Times New Roman" w:cs="Times New Roman"/>
                <w:i/>
                <w:iCs/>
                <w:sz w:val="20"/>
                <w:szCs w:val="20"/>
              </w:rPr>
            </w:pPr>
            <w:r w:rsidRPr="00880622">
              <w:rPr>
                <w:rFonts w:ascii="Times New Roman" w:hAnsi="Times New Roman" w:cs="Times New Roman"/>
                <w:i/>
                <w:iCs/>
                <w:sz w:val="20"/>
                <w:szCs w:val="20"/>
              </w:rPr>
              <w:t>valsts pamatbudžetā</w:t>
            </w:r>
          </w:p>
        </w:tc>
        <w:tc>
          <w:tcPr>
            <w:tcW w:w="1701" w:type="dxa"/>
            <w:shd w:val="clear" w:color="auto" w:fill="FFFFFF" w:themeFill="background1"/>
            <w:vAlign w:val="center"/>
          </w:tcPr>
          <w:p w14:paraId="18CA1588" w14:textId="77777777" w:rsidR="00B1512C" w:rsidRPr="00880622" w:rsidRDefault="00B1512C" w:rsidP="00B1512C">
            <w:pPr>
              <w:pStyle w:val="ListParagraph"/>
              <w:spacing w:after="120"/>
              <w:ind w:left="0"/>
              <w:contextualSpacing w:val="0"/>
              <w:jc w:val="right"/>
              <w:rPr>
                <w:rFonts w:ascii="Times New Roman" w:hAnsi="Times New Roman" w:cs="Times New Roman"/>
                <w:i/>
                <w:iCs/>
                <w:sz w:val="20"/>
                <w:szCs w:val="20"/>
              </w:rPr>
            </w:pPr>
            <w:r w:rsidRPr="00880622">
              <w:rPr>
                <w:rFonts w:ascii="Times New Roman" w:eastAsia="Calibri" w:hAnsi="Times New Roman" w:cs="Times New Roman"/>
                <w:i/>
                <w:iCs/>
                <w:sz w:val="20"/>
                <w:szCs w:val="20"/>
              </w:rPr>
              <w:t>+9 025 000</w:t>
            </w:r>
          </w:p>
        </w:tc>
        <w:tc>
          <w:tcPr>
            <w:tcW w:w="1701" w:type="dxa"/>
            <w:shd w:val="clear" w:color="auto" w:fill="FFFFFF" w:themeFill="background1"/>
            <w:vAlign w:val="center"/>
          </w:tcPr>
          <w:p w14:paraId="1BA8CED6" w14:textId="77777777" w:rsidR="00B1512C" w:rsidRPr="00880622" w:rsidRDefault="00B1512C" w:rsidP="00B1512C">
            <w:pPr>
              <w:pStyle w:val="ListParagraph"/>
              <w:spacing w:after="120"/>
              <w:ind w:left="0"/>
              <w:contextualSpacing w:val="0"/>
              <w:jc w:val="center"/>
              <w:rPr>
                <w:rFonts w:ascii="Times New Roman" w:hAnsi="Times New Roman" w:cs="Times New Roman"/>
                <w:sz w:val="20"/>
                <w:szCs w:val="20"/>
              </w:rPr>
            </w:pPr>
            <w:r w:rsidRPr="00880622">
              <w:rPr>
                <w:rFonts w:ascii="Times New Roman" w:hAnsi="Times New Roman" w:cs="Times New Roman"/>
                <w:sz w:val="20"/>
                <w:szCs w:val="20"/>
              </w:rPr>
              <w:t>-</w:t>
            </w:r>
          </w:p>
        </w:tc>
        <w:tc>
          <w:tcPr>
            <w:tcW w:w="1701" w:type="dxa"/>
            <w:shd w:val="clear" w:color="auto" w:fill="FFFFFF" w:themeFill="background1"/>
            <w:vAlign w:val="center"/>
          </w:tcPr>
          <w:p w14:paraId="3613A5B5" w14:textId="77777777" w:rsidR="00B1512C" w:rsidRPr="00880622" w:rsidRDefault="00B1512C" w:rsidP="00B1512C">
            <w:pPr>
              <w:pStyle w:val="ListParagraph"/>
              <w:spacing w:after="120"/>
              <w:ind w:left="0"/>
              <w:contextualSpacing w:val="0"/>
              <w:jc w:val="center"/>
              <w:rPr>
                <w:rFonts w:ascii="Times New Roman" w:hAnsi="Times New Roman" w:cs="Times New Roman"/>
                <w:i/>
                <w:iCs/>
                <w:sz w:val="20"/>
                <w:szCs w:val="20"/>
              </w:rPr>
            </w:pPr>
            <w:r w:rsidRPr="00880622">
              <w:rPr>
                <w:rFonts w:ascii="Times New Roman" w:hAnsi="Times New Roman" w:cs="Times New Roman"/>
                <w:sz w:val="20"/>
                <w:szCs w:val="20"/>
              </w:rPr>
              <w:t>-</w:t>
            </w:r>
          </w:p>
        </w:tc>
      </w:tr>
      <w:tr w:rsidR="00880622" w:rsidRPr="00880622" w14:paraId="0C9C4E58" w14:textId="77777777" w:rsidTr="00B1512C">
        <w:trPr>
          <w:trHeight w:val="255"/>
        </w:trPr>
        <w:tc>
          <w:tcPr>
            <w:tcW w:w="3969" w:type="dxa"/>
            <w:shd w:val="clear" w:color="auto" w:fill="FFFFFF" w:themeFill="background1"/>
            <w:vAlign w:val="center"/>
          </w:tcPr>
          <w:p w14:paraId="12B6E016" w14:textId="77777777" w:rsidR="00B1512C" w:rsidRPr="00880622" w:rsidRDefault="00B1512C" w:rsidP="00B1512C">
            <w:pPr>
              <w:pStyle w:val="ListParagraph"/>
              <w:numPr>
                <w:ilvl w:val="0"/>
                <w:numId w:val="7"/>
              </w:numPr>
              <w:tabs>
                <w:tab w:val="clear" w:pos="720"/>
                <w:tab w:val="num" w:pos="306"/>
              </w:tabs>
              <w:spacing w:after="120"/>
              <w:ind w:left="0" w:firstLine="0"/>
              <w:contextualSpacing w:val="0"/>
              <w:rPr>
                <w:rFonts w:ascii="Times New Roman" w:hAnsi="Times New Roman" w:cs="Times New Roman"/>
                <w:i/>
                <w:iCs/>
                <w:sz w:val="20"/>
                <w:szCs w:val="20"/>
              </w:rPr>
            </w:pPr>
            <w:r w:rsidRPr="00880622">
              <w:rPr>
                <w:rFonts w:ascii="Times New Roman" w:hAnsi="Times New Roman" w:cs="Times New Roman"/>
                <w:i/>
                <w:iCs/>
                <w:sz w:val="20"/>
                <w:szCs w:val="20"/>
              </w:rPr>
              <w:t>pašvaldību budžetos</w:t>
            </w:r>
          </w:p>
        </w:tc>
        <w:tc>
          <w:tcPr>
            <w:tcW w:w="1701" w:type="dxa"/>
            <w:shd w:val="clear" w:color="auto" w:fill="FFFFFF" w:themeFill="background1"/>
            <w:vAlign w:val="center"/>
          </w:tcPr>
          <w:p w14:paraId="0CBF5714" w14:textId="77777777" w:rsidR="00B1512C" w:rsidRPr="00880622" w:rsidRDefault="00B1512C" w:rsidP="00B1512C">
            <w:pPr>
              <w:pStyle w:val="ListParagraph"/>
              <w:spacing w:after="120"/>
              <w:ind w:left="0"/>
              <w:contextualSpacing w:val="0"/>
              <w:jc w:val="right"/>
              <w:rPr>
                <w:rFonts w:ascii="Times New Roman" w:hAnsi="Times New Roman" w:cs="Times New Roman"/>
                <w:i/>
                <w:iCs/>
                <w:sz w:val="20"/>
                <w:szCs w:val="20"/>
              </w:rPr>
            </w:pPr>
            <w:r w:rsidRPr="00880622">
              <w:rPr>
                <w:rFonts w:ascii="Times New Roman" w:eastAsia="Calibri" w:hAnsi="Times New Roman" w:cs="Times New Roman"/>
                <w:i/>
                <w:iCs/>
                <w:sz w:val="20"/>
                <w:szCs w:val="20"/>
              </w:rPr>
              <w:t>+175 000</w:t>
            </w:r>
          </w:p>
        </w:tc>
        <w:tc>
          <w:tcPr>
            <w:tcW w:w="1701" w:type="dxa"/>
            <w:shd w:val="clear" w:color="auto" w:fill="FFFFFF" w:themeFill="background1"/>
            <w:vAlign w:val="center"/>
          </w:tcPr>
          <w:p w14:paraId="237C5EC1" w14:textId="77777777" w:rsidR="00B1512C" w:rsidRPr="00880622" w:rsidRDefault="00B1512C" w:rsidP="00B1512C">
            <w:pPr>
              <w:pStyle w:val="ListParagraph"/>
              <w:spacing w:after="120"/>
              <w:ind w:left="0"/>
              <w:contextualSpacing w:val="0"/>
              <w:jc w:val="center"/>
              <w:rPr>
                <w:rFonts w:ascii="Times New Roman" w:hAnsi="Times New Roman" w:cs="Times New Roman"/>
                <w:sz w:val="20"/>
                <w:szCs w:val="20"/>
              </w:rPr>
            </w:pPr>
            <w:r w:rsidRPr="00880622">
              <w:rPr>
                <w:rFonts w:ascii="Times New Roman" w:hAnsi="Times New Roman" w:cs="Times New Roman"/>
                <w:sz w:val="20"/>
                <w:szCs w:val="20"/>
              </w:rPr>
              <w:t>-</w:t>
            </w:r>
          </w:p>
        </w:tc>
        <w:tc>
          <w:tcPr>
            <w:tcW w:w="1701" w:type="dxa"/>
            <w:shd w:val="clear" w:color="auto" w:fill="FFFFFF" w:themeFill="background1"/>
            <w:vAlign w:val="center"/>
          </w:tcPr>
          <w:p w14:paraId="754BC656" w14:textId="77777777" w:rsidR="00B1512C" w:rsidRPr="00880622" w:rsidRDefault="00B1512C" w:rsidP="00B1512C">
            <w:pPr>
              <w:pStyle w:val="ListParagraph"/>
              <w:spacing w:after="120"/>
              <w:ind w:left="0"/>
              <w:contextualSpacing w:val="0"/>
              <w:jc w:val="center"/>
              <w:rPr>
                <w:rFonts w:ascii="Times New Roman" w:hAnsi="Times New Roman" w:cs="Times New Roman"/>
                <w:i/>
                <w:iCs/>
                <w:sz w:val="20"/>
                <w:szCs w:val="20"/>
              </w:rPr>
            </w:pPr>
            <w:r w:rsidRPr="00880622">
              <w:rPr>
                <w:rFonts w:ascii="Times New Roman" w:hAnsi="Times New Roman" w:cs="Times New Roman"/>
                <w:sz w:val="20"/>
                <w:szCs w:val="20"/>
              </w:rPr>
              <w:t>-</w:t>
            </w:r>
          </w:p>
        </w:tc>
      </w:tr>
    </w:tbl>
    <w:p w14:paraId="637631A6" w14:textId="77777777" w:rsidR="00DB3A1A" w:rsidRPr="00880622" w:rsidRDefault="00DB3A1A" w:rsidP="00B1512C">
      <w:pPr>
        <w:tabs>
          <w:tab w:val="left" w:pos="426"/>
        </w:tabs>
        <w:spacing w:after="120" w:line="240" w:lineRule="auto"/>
        <w:rPr>
          <w:rFonts w:ascii="Times New Roman" w:hAnsi="Times New Roman" w:cs="Times New Roman"/>
          <w:i/>
          <w:sz w:val="20"/>
          <w:szCs w:val="20"/>
        </w:rPr>
      </w:pPr>
      <w:r w:rsidRPr="00880622">
        <w:rPr>
          <w:rFonts w:ascii="Times New Roman" w:hAnsi="Times New Roman" w:cs="Times New Roman"/>
          <w:b/>
          <w:bCs/>
          <w:i/>
          <w:sz w:val="20"/>
          <w:szCs w:val="20"/>
        </w:rPr>
        <w:t>Avots</w:t>
      </w:r>
      <w:r w:rsidRPr="00880622">
        <w:rPr>
          <w:rFonts w:ascii="Times New Roman" w:hAnsi="Times New Roman" w:cs="Times New Roman"/>
          <w:i/>
          <w:sz w:val="20"/>
          <w:szCs w:val="20"/>
        </w:rPr>
        <w:t>: FM aprēķini.</w:t>
      </w:r>
    </w:p>
    <w:p w14:paraId="485BA989" w14:textId="77777777" w:rsidR="00DB3A1A" w:rsidRPr="00B1512C" w:rsidRDefault="00DB3A1A" w:rsidP="00B1512C">
      <w:pPr>
        <w:spacing w:after="120" w:line="240" w:lineRule="auto"/>
        <w:ind w:firstLine="720"/>
        <w:jc w:val="both"/>
        <w:rPr>
          <w:rFonts w:ascii="Times New Roman" w:hAnsi="Times New Roman" w:cs="Times New Roman"/>
          <w:sz w:val="24"/>
          <w:szCs w:val="24"/>
          <w:lang w:eastAsia="lv-LV"/>
        </w:rPr>
      </w:pPr>
      <w:r w:rsidRPr="00B1512C">
        <w:rPr>
          <w:rFonts w:ascii="Times New Roman" w:hAnsi="Times New Roman" w:cs="Times New Roman"/>
          <w:sz w:val="24"/>
          <w:szCs w:val="24"/>
          <w:lang w:eastAsia="lv-LV"/>
        </w:rPr>
        <w:t xml:space="preserve">Būtiskākais devums fiskālajā ietekmē tiek prognozēts no azartspēļu nodokļa likmes paaugstināšanas azartspēļu automātiem (+3,2 milj. </w:t>
      </w:r>
      <w:r w:rsidRPr="007234F1">
        <w:rPr>
          <w:rFonts w:ascii="Times New Roman" w:hAnsi="Times New Roman" w:cs="Times New Roman"/>
          <w:i/>
          <w:iCs/>
          <w:sz w:val="24"/>
          <w:szCs w:val="24"/>
          <w:lang w:eastAsia="lv-LV"/>
        </w:rPr>
        <w:t>euro</w:t>
      </w:r>
      <w:r w:rsidRPr="00B1512C">
        <w:rPr>
          <w:rFonts w:ascii="Times New Roman" w:hAnsi="Times New Roman" w:cs="Times New Roman"/>
          <w:sz w:val="24"/>
          <w:szCs w:val="24"/>
          <w:lang w:eastAsia="lv-LV"/>
        </w:rPr>
        <w:t xml:space="preserve">) un interaktīvajām azartspēlēm (+5,7 milj. </w:t>
      </w:r>
      <w:r w:rsidRPr="007234F1">
        <w:rPr>
          <w:rFonts w:ascii="Times New Roman" w:hAnsi="Times New Roman" w:cs="Times New Roman"/>
          <w:i/>
          <w:iCs/>
          <w:sz w:val="24"/>
          <w:szCs w:val="24"/>
          <w:lang w:eastAsia="lv-LV"/>
        </w:rPr>
        <w:t>euro</w:t>
      </w:r>
      <w:r w:rsidRPr="00B1512C">
        <w:rPr>
          <w:rFonts w:ascii="Times New Roman" w:hAnsi="Times New Roman" w:cs="Times New Roman"/>
          <w:sz w:val="24"/>
          <w:szCs w:val="24"/>
          <w:lang w:eastAsia="lv-LV"/>
        </w:rPr>
        <w:t>).</w:t>
      </w:r>
    </w:p>
    <w:p w14:paraId="7F83CCC0" w14:textId="77777777" w:rsidR="00DB3A1A" w:rsidRDefault="00DB3A1A" w:rsidP="00DB3A1A">
      <w:pPr>
        <w:rPr>
          <w:rFonts w:ascii="Times New Roman" w:hAnsi="Times New Roman" w:cs="Times New Roman"/>
          <w:lang w:eastAsia="lv-LV"/>
        </w:rPr>
      </w:pPr>
    </w:p>
    <w:p w14:paraId="7E52D5BC" w14:textId="16B71706" w:rsidR="00DB3A1A" w:rsidRPr="00BF2D33" w:rsidRDefault="00DB3A1A" w:rsidP="002C3F2D">
      <w:pPr>
        <w:pStyle w:val="ListParagraph"/>
        <w:numPr>
          <w:ilvl w:val="2"/>
          <w:numId w:val="15"/>
        </w:numPr>
        <w:shd w:val="clear" w:color="auto" w:fill="FFF2CC" w:themeFill="accent4" w:themeFillTint="33"/>
        <w:spacing w:after="120" w:line="240" w:lineRule="auto"/>
        <w:contextualSpacing w:val="0"/>
        <w:jc w:val="both"/>
        <w:rPr>
          <w:rFonts w:ascii="Times New Roman" w:hAnsi="Times New Roman" w:cs="Times New Roman"/>
          <w:b/>
          <w:bCs/>
          <w:sz w:val="28"/>
          <w:szCs w:val="28"/>
        </w:rPr>
      </w:pPr>
      <w:r w:rsidRPr="00BF2D33">
        <w:rPr>
          <w:rFonts w:ascii="Times New Roman" w:hAnsi="Times New Roman" w:cs="Times New Roman"/>
          <w:b/>
          <w:bCs/>
          <w:sz w:val="28"/>
          <w:szCs w:val="28"/>
        </w:rPr>
        <w:t>Uzņēmumu ienākuma nodokļa izmaiņas</w:t>
      </w:r>
    </w:p>
    <w:p w14:paraId="4ADE9464" w14:textId="77777777" w:rsidR="00DB3A1A" w:rsidRPr="00687738" w:rsidRDefault="00DB3A1A" w:rsidP="002C3F2D">
      <w:pPr>
        <w:pStyle w:val="Heading2"/>
        <w:spacing w:before="0" w:after="120"/>
        <w:rPr>
          <w:rFonts w:ascii="Times New Roman" w:hAnsi="Times New Roman"/>
          <w:u w:val="single"/>
        </w:rPr>
      </w:pPr>
      <w:r w:rsidRPr="00687738">
        <w:rPr>
          <w:rFonts w:ascii="Times New Roman" w:hAnsi="Times New Roman"/>
          <w:u w:val="single"/>
        </w:rPr>
        <w:lastRenderedPageBreak/>
        <w:t>Samazināti uzņēmumu ienākuma nodokļa ierobežojumi attiecībā uz procentu maksājumiem</w:t>
      </w:r>
    </w:p>
    <w:p w14:paraId="57EFAD59" w14:textId="77777777" w:rsidR="00DB3A1A" w:rsidRPr="00AB7566" w:rsidRDefault="00DB3A1A" w:rsidP="00AB7566">
      <w:pPr>
        <w:spacing w:after="120" w:line="240" w:lineRule="auto"/>
        <w:ind w:firstLine="720"/>
        <w:jc w:val="both"/>
        <w:rPr>
          <w:rFonts w:ascii="Times New Roman" w:hAnsi="Times New Roman" w:cs="Times New Roman"/>
          <w:sz w:val="24"/>
          <w:szCs w:val="24"/>
        </w:rPr>
      </w:pPr>
      <w:r w:rsidRPr="00AB7566">
        <w:rPr>
          <w:rFonts w:ascii="Times New Roman" w:hAnsi="Times New Roman" w:cs="Times New Roman"/>
          <w:i/>
          <w:iCs/>
          <w:sz w:val="24"/>
          <w:szCs w:val="24"/>
        </w:rPr>
        <w:t>Uzņēmumu ienākuma nodokļa likuma</w:t>
      </w:r>
      <w:r w:rsidRPr="00AB7566">
        <w:rPr>
          <w:rFonts w:ascii="Times New Roman" w:hAnsi="Times New Roman" w:cs="Times New Roman"/>
          <w:sz w:val="24"/>
          <w:szCs w:val="24"/>
        </w:rPr>
        <w:t xml:space="preserve"> 10. pantā ietvertas normas, lai novērstu iespēju samazināt ar uzņēmumu ienākuma nodokli (</w:t>
      </w:r>
      <w:r w:rsidRPr="00AB7566">
        <w:rPr>
          <w:rFonts w:ascii="Times New Roman" w:hAnsi="Times New Roman" w:cs="Times New Roman"/>
          <w:i/>
          <w:iCs/>
          <w:sz w:val="24"/>
          <w:szCs w:val="24"/>
        </w:rPr>
        <w:t>turpmāk – UIN</w:t>
      </w:r>
      <w:r w:rsidRPr="00AB7566">
        <w:rPr>
          <w:rFonts w:ascii="Times New Roman" w:hAnsi="Times New Roman" w:cs="Times New Roman"/>
          <w:sz w:val="24"/>
          <w:szCs w:val="24"/>
        </w:rPr>
        <w:t>) apliekamo bāzi par palielinātiem procentu maksājumiem. Likumā ir paredzēta atkāpe attiecībā uz publiskās apgrozības vērtspapīriem un aizņēmumiem no kredītiestādēm. Tomēr šāda atkāpe nav paredzēta attiecībā uz līdzīgiem vērtspapīriem, kā arī vairākiem nebanku finanšu pakalpojumu sniedzējiem, kas izsniedz aizdevumus. Ņemot vērā finanšu sektora attīstību un jaunus pakalpojumu veidus, būtu izskatāma atkāpe arī uz citiem aizdevumu sniedzējiem.</w:t>
      </w:r>
    </w:p>
    <w:p w14:paraId="20DA1430" w14:textId="77777777" w:rsidR="00DB3A1A" w:rsidRPr="00AB7566" w:rsidRDefault="00DB3A1A" w:rsidP="00AB7566">
      <w:pPr>
        <w:spacing w:after="120" w:line="240" w:lineRule="auto"/>
        <w:ind w:firstLine="720"/>
        <w:jc w:val="both"/>
        <w:rPr>
          <w:rFonts w:ascii="Times New Roman" w:hAnsi="Times New Roman" w:cs="Times New Roman"/>
          <w:sz w:val="24"/>
          <w:szCs w:val="24"/>
        </w:rPr>
      </w:pPr>
      <w:r w:rsidRPr="00AB7566">
        <w:rPr>
          <w:rFonts w:ascii="Times New Roman" w:hAnsi="Times New Roman" w:cs="Times New Roman"/>
          <w:sz w:val="24"/>
          <w:szCs w:val="24"/>
        </w:rPr>
        <w:t>Kā parāda Starptautiskā Valūtas fonda (</w:t>
      </w:r>
      <w:r w:rsidRPr="00AB7566">
        <w:rPr>
          <w:rFonts w:ascii="Times New Roman" w:hAnsi="Times New Roman" w:cs="Times New Roman"/>
          <w:i/>
          <w:iCs/>
          <w:sz w:val="24"/>
          <w:szCs w:val="24"/>
        </w:rPr>
        <w:t>turpmāk – SVF</w:t>
      </w:r>
      <w:r w:rsidRPr="00AB7566">
        <w:rPr>
          <w:rFonts w:ascii="Times New Roman" w:hAnsi="Times New Roman" w:cs="Times New Roman"/>
          <w:sz w:val="24"/>
          <w:szCs w:val="24"/>
        </w:rPr>
        <w:t>) analīze par finanšu institūciju un finanšu tirgus attīstības pakāpi pēc tā attīstības dziļuma, ņemot vērā tirgus apjomu un likviditāti, kā arī pēc finanšu pakalpojumu pieejamības un efektivitātes, ko vērtē pēc pakalpojuma izmaksām, ilgtspējas un aktivitātes finanšu tirgū, Latvija atpaliek no vairuma Ekonomiskās sadarbības un attīstības organizācijas (</w:t>
      </w:r>
      <w:r w:rsidRPr="00AB7566">
        <w:rPr>
          <w:rFonts w:ascii="Times New Roman" w:hAnsi="Times New Roman" w:cs="Times New Roman"/>
          <w:i/>
          <w:iCs/>
          <w:sz w:val="24"/>
          <w:szCs w:val="24"/>
        </w:rPr>
        <w:t>turpmāk – OECD</w:t>
      </w:r>
      <w:r w:rsidRPr="00AB7566">
        <w:rPr>
          <w:rFonts w:ascii="Times New Roman" w:hAnsi="Times New Roman" w:cs="Times New Roman"/>
          <w:sz w:val="24"/>
          <w:szCs w:val="24"/>
        </w:rPr>
        <w:t>) un Eiropas Savienības dalībvalstīm. Atbilstoši SVF finanšu attīstības indeksa mērījumam, Latvijā ir labāk attīstītas finanšu iestādes (kredītiestādes, apdrošināšanas sabiedrības, ieguldījuma fondi un pensiju fondi), bet vājāk  - finanšu tirgus (akcijas un obligācijas).</w:t>
      </w:r>
    </w:p>
    <w:p w14:paraId="69453BA5" w14:textId="77777777" w:rsidR="00DB3A1A" w:rsidRPr="00AB7566" w:rsidRDefault="00DB3A1A" w:rsidP="00AB7566">
      <w:pPr>
        <w:spacing w:after="120" w:line="240" w:lineRule="auto"/>
        <w:ind w:firstLine="720"/>
        <w:jc w:val="both"/>
        <w:rPr>
          <w:rFonts w:ascii="Times New Roman" w:hAnsi="Times New Roman" w:cs="Times New Roman"/>
          <w:sz w:val="24"/>
          <w:szCs w:val="24"/>
        </w:rPr>
      </w:pPr>
      <w:r w:rsidRPr="00AB7566">
        <w:rPr>
          <w:rFonts w:ascii="Times New Roman" w:hAnsi="Times New Roman" w:cs="Times New Roman"/>
          <w:sz w:val="24"/>
          <w:szCs w:val="24"/>
        </w:rPr>
        <w:t>2024. gada OECD Ekonomikas pārskatā par Latviju ir teikts, ka “kapitāla tirgus ir nepietiekami attīstīts, tādēļ uzņēmumiem ir ierobežotas iespējas piesaistīt nebanku finansējumu”.</w:t>
      </w:r>
    </w:p>
    <w:p w14:paraId="200E0A5A" w14:textId="77777777" w:rsidR="00DB3A1A" w:rsidRPr="00AB7566" w:rsidRDefault="00DB3A1A" w:rsidP="00AB7566">
      <w:pPr>
        <w:spacing w:after="120" w:line="240" w:lineRule="auto"/>
        <w:ind w:firstLine="720"/>
        <w:jc w:val="both"/>
        <w:rPr>
          <w:rFonts w:ascii="Times New Roman" w:hAnsi="Times New Roman" w:cs="Times New Roman"/>
          <w:sz w:val="24"/>
          <w:szCs w:val="24"/>
        </w:rPr>
      </w:pPr>
      <w:r w:rsidRPr="00AB7566">
        <w:rPr>
          <w:rFonts w:ascii="Times New Roman" w:hAnsi="Times New Roman" w:cs="Times New Roman"/>
          <w:sz w:val="24"/>
          <w:szCs w:val="24"/>
        </w:rPr>
        <w:t>Vēl jo vairāk, privātā finansējuma piekļuve ir īpaši ierobežota un dārga maziem un vidējiem uzņēmumiem, ja neņem vērā to finansējumu, kuru nodrošina Eiropas Savienības fondu programmas un attīstības finanšu institūcija “Altum”. Latvijā ir nepietiekami attīstīts biržas izaugsmes uzņēmumu tirgus, mezanīna fondu finansējums, un tikai pēdējos gados tirgū ir parādījies alternatīvo ieguldījumu fondu aizdevumu finansējums un kolektīvo finansēšanas platformu finansējums, tomēr joprojām salīdzinoši reti izmantots.</w:t>
      </w:r>
    </w:p>
    <w:p w14:paraId="55AFD744" w14:textId="77777777" w:rsidR="00DB3A1A" w:rsidRPr="00AB7566" w:rsidRDefault="00DB3A1A" w:rsidP="00AB7566">
      <w:pPr>
        <w:spacing w:after="120" w:line="240" w:lineRule="auto"/>
        <w:ind w:firstLine="720"/>
        <w:jc w:val="both"/>
        <w:rPr>
          <w:rFonts w:ascii="Times New Roman" w:hAnsi="Times New Roman" w:cs="Times New Roman"/>
          <w:sz w:val="24"/>
          <w:szCs w:val="24"/>
        </w:rPr>
      </w:pPr>
      <w:r w:rsidRPr="00AB7566">
        <w:rPr>
          <w:rFonts w:ascii="Times New Roman" w:hAnsi="Times New Roman" w:cs="Times New Roman"/>
          <w:sz w:val="24"/>
          <w:szCs w:val="24"/>
        </w:rPr>
        <w:t xml:space="preserve">Ņemot vērā iepriekš minēto, nepieciešams izstrādāt grozījumus </w:t>
      </w:r>
      <w:r w:rsidRPr="00AB7566">
        <w:rPr>
          <w:rFonts w:ascii="Times New Roman" w:hAnsi="Times New Roman" w:cs="Times New Roman"/>
          <w:i/>
          <w:iCs/>
          <w:sz w:val="24"/>
          <w:szCs w:val="24"/>
        </w:rPr>
        <w:t>Uzņēmumu ienākuma nodokļa likumā</w:t>
      </w:r>
      <w:r w:rsidRPr="00AB7566">
        <w:rPr>
          <w:rFonts w:ascii="Times New Roman" w:hAnsi="Times New Roman" w:cs="Times New Roman"/>
          <w:sz w:val="24"/>
          <w:szCs w:val="24"/>
        </w:rPr>
        <w:t xml:space="preserve">, kas paredz, ka sākot ar 2028. gada 1. janvāri likuma 10. panta pirmajā daļā noteiktais par nodokļa bāzē iekļaujamiem palielinātiem procentu maksājumiem netiek attiecināts uz mērķsabiedrībām, kuras izveidotas saskaņā ar </w:t>
      </w:r>
      <w:r w:rsidRPr="00AB7566">
        <w:rPr>
          <w:rFonts w:ascii="Times New Roman" w:hAnsi="Times New Roman" w:cs="Times New Roman"/>
          <w:i/>
          <w:iCs/>
          <w:sz w:val="24"/>
          <w:szCs w:val="24"/>
        </w:rPr>
        <w:t>Publiskās un privātās partnerības likumu</w:t>
      </w:r>
      <w:r w:rsidRPr="00AB7566">
        <w:rPr>
          <w:rFonts w:ascii="Times New Roman" w:hAnsi="Times New Roman" w:cs="Times New Roman"/>
          <w:sz w:val="24"/>
          <w:szCs w:val="24"/>
        </w:rPr>
        <w:t>, procentu maksājumiem par Latvijā un citā Eiropas Savienības dalībvalstī vai Eiropas Ekonomikas zonas valstī emitētajiem vērtspapīriem, kas iekļauti tirdzniecībai tirdzniecības vietā, un vērtspapīrošanas sabiedrības emitētajiem vērtspapīriem, par finansējumu, kas piesaistīts ar Latvijā un citā Eiropas Savienības dalībvalstī vai Eiropas Ekonomikas zonas valstī reģistrēta un darbības atļauju saņēmuša kolektīvās finansēšanas pakalpojumu sniedzēja un licencētas ieguldījumu brokeru sabiedrības starpniecību, kā arī par aizņēmumu, kas saņemts no Latvijā un citā Eiropas Savienības dalībvalstī vai Eiropas Ekonomikas zonas valstī reģistrēta un pārvaldīta alternatīvā ieguldījumu fonda.</w:t>
      </w:r>
    </w:p>
    <w:p w14:paraId="55E22ADC" w14:textId="3D16FD3F" w:rsidR="00DB3A1A" w:rsidRPr="002C3F2D" w:rsidRDefault="00D47AD0" w:rsidP="002C3F2D">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9</w:t>
      </w:r>
      <w:r w:rsidR="00DB3A1A" w:rsidRPr="002C3F2D">
        <w:rPr>
          <w:rFonts w:ascii="Times New Roman" w:hAnsi="Times New Roman" w:cs="Times New Roman"/>
          <w:sz w:val="20"/>
          <w:szCs w:val="20"/>
        </w:rPr>
        <w:t>. tab</w:t>
      </w:r>
      <w:r>
        <w:rPr>
          <w:rFonts w:ascii="Times New Roman" w:hAnsi="Times New Roman" w:cs="Times New Roman"/>
          <w:sz w:val="20"/>
          <w:szCs w:val="20"/>
        </w:rPr>
        <w:t>ula</w:t>
      </w:r>
      <w:r w:rsidR="00DB3A1A" w:rsidRPr="002C3F2D">
        <w:rPr>
          <w:rFonts w:ascii="Times New Roman" w:hAnsi="Times New Roman" w:cs="Times New Roman"/>
          <w:bCs/>
          <w:sz w:val="20"/>
          <w:szCs w:val="20"/>
        </w:rPr>
        <w:t>.</w:t>
      </w:r>
      <w:r w:rsidR="00DB3A1A" w:rsidRPr="002C3F2D">
        <w:rPr>
          <w:rFonts w:ascii="Times New Roman" w:hAnsi="Times New Roman" w:cs="Times New Roman"/>
          <w:b/>
          <w:sz w:val="20"/>
          <w:szCs w:val="20"/>
        </w:rPr>
        <w:t xml:space="preserve"> Priekšlikuma indikatīva fiskālā ietekme</w:t>
      </w:r>
      <w:r w:rsidR="00DB3A1A" w:rsidRPr="002C3F2D">
        <w:rPr>
          <w:rFonts w:ascii="Times New Roman" w:hAnsi="Times New Roman" w:cs="Times New Roman"/>
          <w:bCs/>
          <w:sz w:val="20"/>
          <w:szCs w:val="20"/>
        </w:rPr>
        <w:t>,</w:t>
      </w:r>
      <w:r w:rsidR="00DB3A1A" w:rsidRPr="002C3F2D">
        <w:rPr>
          <w:rFonts w:ascii="Times New Roman" w:hAnsi="Times New Roman" w:cs="Times New Roman"/>
          <w:bCs/>
          <w:i/>
          <w:iCs/>
          <w:sz w:val="20"/>
          <w:szCs w:val="20"/>
        </w:rPr>
        <w:t> euro</w:t>
      </w:r>
    </w:p>
    <w:tbl>
      <w:tblPr>
        <w:tblStyle w:val="TableGrid"/>
        <w:tblW w:w="9346" w:type="dxa"/>
        <w:tblInd w:w="5" w:type="dxa"/>
        <w:tblLook w:val="04A0" w:firstRow="1" w:lastRow="0" w:firstColumn="1" w:lastColumn="0" w:noHBand="0" w:noVBand="1"/>
      </w:tblPr>
      <w:tblGrid>
        <w:gridCol w:w="3959"/>
        <w:gridCol w:w="1701"/>
        <w:gridCol w:w="1701"/>
        <w:gridCol w:w="1985"/>
      </w:tblGrid>
      <w:tr w:rsidR="00AB7566" w:rsidRPr="002C3F2D" w14:paraId="3561EDCA" w14:textId="77777777" w:rsidTr="002C3F2D">
        <w:trPr>
          <w:trHeight w:val="255"/>
        </w:trPr>
        <w:tc>
          <w:tcPr>
            <w:tcW w:w="3959" w:type="dxa"/>
            <w:shd w:val="clear" w:color="auto" w:fill="FFFFFF" w:themeFill="background1"/>
          </w:tcPr>
          <w:p w14:paraId="60932DFC" w14:textId="77777777" w:rsidR="00AB7566" w:rsidRPr="002C3F2D" w:rsidRDefault="00AB7566" w:rsidP="002C3F2D">
            <w:pPr>
              <w:pStyle w:val="ListParagraph"/>
              <w:spacing w:after="120"/>
              <w:ind w:left="0"/>
              <w:contextualSpacing w:val="0"/>
              <w:jc w:val="center"/>
              <w:rPr>
                <w:rFonts w:ascii="Times New Roman" w:hAnsi="Times New Roman" w:cs="Times New Roman"/>
                <w:b/>
                <w:bCs/>
                <w:sz w:val="20"/>
                <w:szCs w:val="20"/>
              </w:rPr>
            </w:pPr>
          </w:p>
        </w:tc>
        <w:tc>
          <w:tcPr>
            <w:tcW w:w="1701" w:type="dxa"/>
            <w:shd w:val="clear" w:color="auto" w:fill="FFFFFF" w:themeFill="background1"/>
            <w:vAlign w:val="bottom"/>
          </w:tcPr>
          <w:p w14:paraId="09580440" w14:textId="77777777" w:rsidR="00AB7566" w:rsidRPr="002C3F2D" w:rsidRDefault="00AB7566" w:rsidP="002C3F2D">
            <w:pPr>
              <w:pStyle w:val="ListParagraph"/>
              <w:spacing w:after="120"/>
              <w:ind w:left="0"/>
              <w:contextualSpacing w:val="0"/>
              <w:jc w:val="center"/>
              <w:rPr>
                <w:rFonts w:ascii="Times New Roman" w:hAnsi="Times New Roman" w:cs="Times New Roman"/>
                <w:b/>
                <w:bCs/>
                <w:sz w:val="20"/>
                <w:szCs w:val="20"/>
              </w:rPr>
            </w:pPr>
            <w:r w:rsidRPr="002C3F2D">
              <w:rPr>
                <w:rFonts w:ascii="Times New Roman" w:hAnsi="Times New Roman" w:cs="Times New Roman"/>
                <w:b/>
                <w:bCs/>
                <w:sz w:val="20"/>
                <w:szCs w:val="20"/>
              </w:rPr>
              <w:t>2026</w:t>
            </w:r>
          </w:p>
        </w:tc>
        <w:tc>
          <w:tcPr>
            <w:tcW w:w="1701" w:type="dxa"/>
            <w:shd w:val="clear" w:color="auto" w:fill="FFFFFF" w:themeFill="background1"/>
            <w:vAlign w:val="bottom"/>
          </w:tcPr>
          <w:p w14:paraId="10A7CDB7" w14:textId="77777777" w:rsidR="00AB7566" w:rsidRPr="002C3F2D" w:rsidRDefault="00AB7566" w:rsidP="002C3F2D">
            <w:pPr>
              <w:pStyle w:val="ListParagraph"/>
              <w:spacing w:after="120"/>
              <w:ind w:left="0"/>
              <w:contextualSpacing w:val="0"/>
              <w:jc w:val="center"/>
              <w:rPr>
                <w:rFonts w:ascii="Times New Roman" w:hAnsi="Times New Roman" w:cs="Times New Roman"/>
                <w:b/>
                <w:bCs/>
                <w:sz w:val="20"/>
                <w:szCs w:val="20"/>
              </w:rPr>
            </w:pPr>
            <w:r w:rsidRPr="002C3F2D">
              <w:rPr>
                <w:rFonts w:ascii="Times New Roman" w:hAnsi="Times New Roman" w:cs="Times New Roman"/>
                <w:b/>
                <w:bCs/>
                <w:sz w:val="20"/>
                <w:szCs w:val="20"/>
              </w:rPr>
              <w:t>2027</w:t>
            </w:r>
          </w:p>
        </w:tc>
        <w:tc>
          <w:tcPr>
            <w:tcW w:w="1985" w:type="dxa"/>
            <w:shd w:val="clear" w:color="auto" w:fill="FFFFFF" w:themeFill="background1"/>
            <w:vAlign w:val="bottom"/>
          </w:tcPr>
          <w:p w14:paraId="108B9D61" w14:textId="77777777" w:rsidR="00AB7566" w:rsidRPr="002C3F2D" w:rsidRDefault="00AB7566" w:rsidP="002C3F2D">
            <w:pPr>
              <w:pStyle w:val="ListParagraph"/>
              <w:spacing w:after="120"/>
              <w:ind w:left="0"/>
              <w:contextualSpacing w:val="0"/>
              <w:jc w:val="center"/>
              <w:rPr>
                <w:rFonts w:ascii="Times New Roman" w:hAnsi="Times New Roman" w:cs="Times New Roman"/>
                <w:b/>
                <w:bCs/>
                <w:sz w:val="20"/>
                <w:szCs w:val="20"/>
              </w:rPr>
            </w:pPr>
            <w:r w:rsidRPr="002C3F2D">
              <w:rPr>
                <w:rFonts w:ascii="Times New Roman" w:hAnsi="Times New Roman" w:cs="Times New Roman"/>
                <w:b/>
                <w:bCs/>
                <w:sz w:val="20"/>
                <w:szCs w:val="20"/>
              </w:rPr>
              <w:t>2028</w:t>
            </w:r>
          </w:p>
        </w:tc>
      </w:tr>
      <w:tr w:rsidR="00AB7566" w:rsidRPr="002C3F2D" w14:paraId="147AA495" w14:textId="77777777" w:rsidTr="002C3F2D">
        <w:trPr>
          <w:trHeight w:val="255"/>
        </w:trPr>
        <w:tc>
          <w:tcPr>
            <w:tcW w:w="3959" w:type="dxa"/>
            <w:shd w:val="clear" w:color="auto" w:fill="F2F2F2" w:themeFill="background1" w:themeFillShade="F2"/>
            <w:vAlign w:val="center"/>
          </w:tcPr>
          <w:p w14:paraId="08EC1C5A" w14:textId="77777777" w:rsidR="00AB7566" w:rsidRPr="002C3F2D" w:rsidRDefault="00AB7566" w:rsidP="002C3F2D">
            <w:pPr>
              <w:spacing w:after="120"/>
              <w:rPr>
                <w:rFonts w:ascii="Times New Roman" w:hAnsi="Times New Roman" w:cs="Times New Roman"/>
                <w:i/>
                <w:iCs/>
                <w:sz w:val="20"/>
                <w:szCs w:val="20"/>
              </w:rPr>
            </w:pPr>
            <w:r w:rsidRPr="002C3F2D">
              <w:rPr>
                <w:rFonts w:ascii="Times New Roman" w:eastAsia="Calibri" w:hAnsi="Times New Roman" w:cs="Times New Roman"/>
                <w:b/>
                <w:bCs/>
                <w:sz w:val="20"/>
                <w:szCs w:val="20"/>
              </w:rPr>
              <w:t>UIN ieņēmumi</w:t>
            </w:r>
            <w:r w:rsidRPr="002C3F2D">
              <w:rPr>
                <w:rFonts w:ascii="Times New Roman" w:hAnsi="Times New Roman" w:cs="Times New Roman"/>
                <w:i/>
                <w:iCs/>
                <w:sz w:val="20"/>
                <w:szCs w:val="20"/>
              </w:rPr>
              <w:t>, no tiem:</w:t>
            </w:r>
          </w:p>
        </w:tc>
        <w:tc>
          <w:tcPr>
            <w:tcW w:w="1701" w:type="dxa"/>
            <w:shd w:val="clear" w:color="auto" w:fill="F2F2F2" w:themeFill="background1" w:themeFillShade="F2"/>
            <w:vAlign w:val="center"/>
          </w:tcPr>
          <w:p w14:paraId="6508647C" w14:textId="77777777" w:rsidR="00AB7566" w:rsidRPr="00880622" w:rsidRDefault="00AB7566" w:rsidP="002C3F2D">
            <w:pPr>
              <w:pStyle w:val="ListParagraph"/>
              <w:spacing w:after="120"/>
              <w:ind w:left="0"/>
              <w:contextualSpacing w:val="0"/>
              <w:jc w:val="center"/>
              <w:rPr>
                <w:rFonts w:ascii="Times New Roman" w:hAnsi="Times New Roman" w:cs="Times New Roman"/>
                <w:i/>
                <w:iCs/>
                <w:sz w:val="20"/>
                <w:szCs w:val="20"/>
              </w:rPr>
            </w:pPr>
            <w:r w:rsidRPr="00880622">
              <w:rPr>
                <w:rFonts w:ascii="Times New Roman" w:eastAsia="Calibri" w:hAnsi="Times New Roman" w:cs="Times New Roman"/>
                <w:b/>
                <w:bCs/>
                <w:sz w:val="20"/>
                <w:szCs w:val="20"/>
              </w:rPr>
              <w:t>-</w:t>
            </w:r>
          </w:p>
        </w:tc>
        <w:tc>
          <w:tcPr>
            <w:tcW w:w="1701" w:type="dxa"/>
            <w:shd w:val="clear" w:color="auto" w:fill="F2F2F2" w:themeFill="background1" w:themeFillShade="F2"/>
            <w:vAlign w:val="center"/>
          </w:tcPr>
          <w:p w14:paraId="0E03E74E" w14:textId="77777777" w:rsidR="00AB7566" w:rsidRPr="00880622" w:rsidRDefault="00AB7566" w:rsidP="002C3F2D">
            <w:pPr>
              <w:pStyle w:val="ListParagraph"/>
              <w:spacing w:after="120"/>
              <w:ind w:left="0"/>
              <w:contextualSpacing w:val="0"/>
              <w:jc w:val="center"/>
              <w:rPr>
                <w:rFonts w:ascii="Times New Roman" w:hAnsi="Times New Roman" w:cs="Times New Roman"/>
                <w:i/>
                <w:iCs/>
                <w:sz w:val="20"/>
                <w:szCs w:val="20"/>
              </w:rPr>
            </w:pPr>
            <w:r w:rsidRPr="00880622">
              <w:rPr>
                <w:rFonts w:ascii="Times New Roman" w:eastAsia="Calibri" w:hAnsi="Times New Roman" w:cs="Times New Roman"/>
                <w:b/>
                <w:bCs/>
                <w:sz w:val="20"/>
                <w:szCs w:val="20"/>
              </w:rPr>
              <w:t>-</w:t>
            </w:r>
          </w:p>
        </w:tc>
        <w:tc>
          <w:tcPr>
            <w:tcW w:w="1985" w:type="dxa"/>
            <w:shd w:val="clear" w:color="auto" w:fill="F2F2F2" w:themeFill="background1" w:themeFillShade="F2"/>
            <w:vAlign w:val="center"/>
          </w:tcPr>
          <w:p w14:paraId="46CD5149" w14:textId="77777777" w:rsidR="00AB7566" w:rsidRPr="002C3F2D" w:rsidRDefault="00AB7566" w:rsidP="002C3F2D">
            <w:pPr>
              <w:pStyle w:val="ListParagraph"/>
              <w:spacing w:after="120"/>
              <w:ind w:left="0"/>
              <w:contextualSpacing w:val="0"/>
              <w:jc w:val="center"/>
              <w:rPr>
                <w:rFonts w:ascii="Times New Roman" w:hAnsi="Times New Roman" w:cs="Times New Roman"/>
                <w:i/>
                <w:iCs/>
                <w:sz w:val="20"/>
                <w:szCs w:val="20"/>
              </w:rPr>
            </w:pPr>
            <w:r w:rsidRPr="002C3F2D">
              <w:rPr>
                <w:rFonts w:ascii="Times New Roman" w:eastAsia="Calibri" w:hAnsi="Times New Roman" w:cs="Times New Roman"/>
                <w:b/>
                <w:bCs/>
                <w:color w:val="C00000"/>
                <w:sz w:val="20"/>
                <w:szCs w:val="20"/>
              </w:rPr>
              <w:t>-2 900 000</w:t>
            </w:r>
          </w:p>
        </w:tc>
      </w:tr>
      <w:tr w:rsidR="00AB7566" w:rsidRPr="002C3F2D" w14:paraId="69F274A3" w14:textId="77777777" w:rsidTr="002C3F2D">
        <w:trPr>
          <w:trHeight w:val="255"/>
        </w:trPr>
        <w:tc>
          <w:tcPr>
            <w:tcW w:w="3959" w:type="dxa"/>
            <w:shd w:val="clear" w:color="auto" w:fill="FFFFFF" w:themeFill="background1"/>
            <w:vAlign w:val="center"/>
          </w:tcPr>
          <w:p w14:paraId="40089C5B" w14:textId="77777777" w:rsidR="00AB7566" w:rsidRPr="002C3F2D" w:rsidRDefault="00AB7566" w:rsidP="002C3F2D">
            <w:pPr>
              <w:pStyle w:val="ListParagraph"/>
              <w:numPr>
                <w:ilvl w:val="0"/>
                <w:numId w:val="7"/>
              </w:numPr>
              <w:tabs>
                <w:tab w:val="clear" w:pos="720"/>
                <w:tab w:val="num" w:pos="306"/>
              </w:tabs>
              <w:spacing w:after="120"/>
              <w:ind w:left="0" w:firstLine="0"/>
              <w:contextualSpacing w:val="0"/>
              <w:rPr>
                <w:rFonts w:ascii="Times New Roman" w:hAnsi="Times New Roman" w:cs="Times New Roman"/>
                <w:i/>
                <w:iCs/>
                <w:sz w:val="20"/>
                <w:szCs w:val="20"/>
              </w:rPr>
            </w:pPr>
            <w:r w:rsidRPr="002C3F2D">
              <w:rPr>
                <w:rFonts w:ascii="Times New Roman" w:hAnsi="Times New Roman" w:cs="Times New Roman"/>
                <w:i/>
                <w:iCs/>
                <w:sz w:val="20"/>
                <w:szCs w:val="20"/>
              </w:rPr>
              <w:t>valsts pamatbudžetā</w:t>
            </w:r>
          </w:p>
        </w:tc>
        <w:tc>
          <w:tcPr>
            <w:tcW w:w="1701" w:type="dxa"/>
            <w:shd w:val="clear" w:color="auto" w:fill="FFFFFF" w:themeFill="background1"/>
            <w:vAlign w:val="center"/>
          </w:tcPr>
          <w:p w14:paraId="256319B0" w14:textId="77777777" w:rsidR="00AB7566" w:rsidRPr="00880622" w:rsidRDefault="00AB7566" w:rsidP="002C3F2D">
            <w:pPr>
              <w:pStyle w:val="ListParagraph"/>
              <w:spacing w:after="120"/>
              <w:ind w:left="0"/>
              <w:contextualSpacing w:val="0"/>
              <w:jc w:val="center"/>
              <w:rPr>
                <w:rFonts w:ascii="Times New Roman" w:hAnsi="Times New Roman" w:cs="Times New Roman"/>
                <w:i/>
                <w:iCs/>
                <w:sz w:val="20"/>
                <w:szCs w:val="20"/>
              </w:rPr>
            </w:pPr>
            <w:r w:rsidRPr="00880622">
              <w:rPr>
                <w:rFonts w:ascii="Times New Roman" w:eastAsia="Calibri" w:hAnsi="Times New Roman" w:cs="Times New Roman"/>
                <w:i/>
                <w:iCs/>
                <w:sz w:val="20"/>
                <w:szCs w:val="20"/>
              </w:rPr>
              <w:t>-</w:t>
            </w:r>
          </w:p>
        </w:tc>
        <w:tc>
          <w:tcPr>
            <w:tcW w:w="1701" w:type="dxa"/>
            <w:shd w:val="clear" w:color="auto" w:fill="FFFFFF" w:themeFill="background1"/>
            <w:vAlign w:val="center"/>
          </w:tcPr>
          <w:p w14:paraId="65DD4B7A" w14:textId="77777777" w:rsidR="00AB7566" w:rsidRPr="00880622" w:rsidRDefault="00AB7566" w:rsidP="002C3F2D">
            <w:pPr>
              <w:pStyle w:val="ListParagraph"/>
              <w:spacing w:after="120"/>
              <w:ind w:left="0"/>
              <w:contextualSpacing w:val="0"/>
              <w:jc w:val="center"/>
              <w:rPr>
                <w:rFonts w:ascii="Times New Roman" w:hAnsi="Times New Roman" w:cs="Times New Roman"/>
                <w:i/>
                <w:iCs/>
                <w:sz w:val="20"/>
                <w:szCs w:val="20"/>
              </w:rPr>
            </w:pPr>
            <w:r w:rsidRPr="00880622">
              <w:rPr>
                <w:rFonts w:ascii="Times New Roman" w:eastAsia="Calibri" w:hAnsi="Times New Roman" w:cs="Times New Roman"/>
                <w:i/>
                <w:iCs/>
                <w:sz w:val="20"/>
                <w:szCs w:val="20"/>
              </w:rPr>
              <w:t>-</w:t>
            </w:r>
          </w:p>
        </w:tc>
        <w:tc>
          <w:tcPr>
            <w:tcW w:w="1985" w:type="dxa"/>
            <w:shd w:val="clear" w:color="auto" w:fill="FFFFFF" w:themeFill="background1"/>
            <w:vAlign w:val="center"/>
          </w:tcPr>
          <w:p w14:paraId="75A57FA7" w14:textId="77777777" w:rsidR="00AB7566" w:rsidRPr="002C3F2D" w:rsidRDefault="00AB7566" w:rsidP="002C3F2D">
            <w:pPr>
              <w:pStyle w:val="ListParagraph"/>
              <w:spacing w:after="120"/>
              <w:ind w:left="0"/>
              <w:contextualSpacing w:val="0"/>
              <w:jc w:val="center"/>
              <w:rPr>
                <w:rFonts w:ascii="Times New Roman" w:hAnsi="Times New Roman" w:cs="Times New Roman"/>
                <w:i/>
                <w:iCs/>
                <w:sz w:val="20"/>
                <w:szCs w:val="20"/>
              </w:rPr>
            </w:pPr>
            <w:r w:rsidRPr="002C3F2D">
              <w:rPr>
                <w:rFonts w:ascii="Times New Roman" w:eastAsia="Calibri" w:hAnsi="Times New Roman" w:cs="Times New Roman"/>
                <w:i/>
                <w:iCs/>
                <w:color w:val="C00000"/>
                <w:sz w:val="20"/>
                <w:szCs w:val="20"/>
              </w:rPr>
              <w:t>-2 900 000</w:t>
            </w:r>
          </w:p>
        </w:tc>
      </w:tr>
    </w:tbl>
    <w:p w14:paraId="15718BCD" w14:textId="77777777" w:rsidR="00DB3A1A" w:rsidRPr="002C3F2D" w:rsidRDefault="00DB3A1A" w:rsidP="002C3F2D">
      <w:pPr>
        <w:tabs>
          <w:tab w:val="left" w:pos="426"/>
        </w:tabs>
        <w:spacing w:after="120" w:line="240" w:lineRule="auto"/>
        <w:rPr>
          <w:rFonts w:ascii="Times New Roman" w:hAnsi="Times New Roman" w:cs="Times New Roman"/>
          <w:i/>
          <w:sz w:val="20"/>
          <w:szCs w:val="20"/>
        </w:rPr>
      </w:pPr>
      <w:r w:rsidRPr="002C3F2D">
        <w:rPr>
          <w:rFonts w:ascii="Times New Roman" w:hAnsi="Times New Roman" w:cs="Times New Roman"/>
          <w:b/>
          <w:bCs/>
          <w:i/>
          <w:sz w:val="20"/>
          <w:szCs w:val="20"/>
        </w:rPr>
        <w:t>Avots</w:t>
      </w:r>
      <w:r w:rsidRPr="002C3F2D">
        <w:rPr>
          <w:rFonts w:ascii="Times New Roman" w:hAnsi="Times New Roman" w:cs="Times New Roman"/>
          <w:i/>
          <w:sz w:val="20"/>
          <w:szCs w:val="20"/>
        </w:rPr>
        <w:t>: FM aprēķini.</w:t>
      </w:r>
    </w:p>
    <w:p w14:paraId="4B8FB316" w14:textId="4487EC91" w:rsidR="00DB3A1A" w:rsidRPr="00687738" w:rsidRDefault="00DB3A1A" w:rsidP="00DB3A1A">
      <w:pPr>
        <w:pStyle w:val="Heading2"/>
        <w:rPr>
          <w:rFonts w:ascii="Times New Roman" w:hAnsi="Times New Roman"/>
          <w:u w:val="single"/>
        </w:rPr>
      </w:pPr>
      <w:r w:rsidRPr="00687738">
        <w:rPr>
          <w:rFonts w:ascii="Times New Roman" w:hAnsi="Times New Roman"/>
          <w:u w:val="single"/>
        </w:rPr>
        <w:t>Nodokļu sloga līdzsvarošana investoriem – fiziskām personām</w:t>
      </w:r>
    </w:p>
    <w:p w14:paraId="62D62B7B" w14:textId="77777777" w:rsidR="00DB3A1A" w:rsidRPr="002C3F2D" w:rsidRDefault="00DB3A1A" w:rsidP="00687738">
      <w:pPr>
        <w:spacing w:after="120" w:line="240" w:lineRule="auto"/>
        <w:ind w:firstLine="720"/>
        <w:jc w:val="both"/>
        <w:rPr>
          <w:rFonts w:ascii="Times New Roman" w:hAnsi="Times New Roman" w:cs="Times New Roman"/>
          <w:sz w:val="24"/>
          <w:szCs w:val="24"/>
        </w:rPr>
      </w:pPr>
      <w:r w:rsidRPr="002C3F2D">
        <w:rPr>
          <w:rFonts w:ascii="Times New Roman" w:hAnsi="Times New Roman" w:cs="Times New Roman"/>
          <w:sz w:val="24"/>
          <w:szCs w:val="24"/>
        </w:rPr>
        <w:t xml:space="preserve">Izpildot </w:t>
      </w:r>
      <w:r w:rsidRPr="002C3F2D">
        <w:rPr>
          <w:rFonts w:ascii="Times New Roman" w:hAnsi="Times New Roman" w:cs="Times New Roman"/>
          <w:i/>
          <w:iCs/>
          <w:sz w:val="24"/>
          <w:szCs w:val="24"/>
        </w:rPr>
        <w:t>Lielo un stratēģiski nozīmīgo investīciju projektu koordinācijas padomes</w:t>
      </w:r>
      <w:r w:rsidRPr="002C3F2D">
        <w:rPr>
          <w:rFonts w:ascii="Times New Roman" w:hAnsi="Times New Roman" w:cs="Times New Roman"/>
          <w:sz w:val="24"/>
          <w:szCs w:val="24"/>
        </w:rPr>
        <w:t xml:space="preserve"> 2025. gada 10. aprīļa sēdes protokola Nr. 2/2025 sadaļas 3.2. § (Nodokļu slogs ārvalstu investoriem) 1. punktā doto uzdevumu, FM sagatavot normatīvā regulējuma grozījumus ar mērķi nodrošināt nodokļu sloga līdzsvarošanu ārvalstu investoriem, vienlaikus izvērtējot to ārvalstu </w:t>
      </w:r>
      <w:r w:rsidRPr="002C3F2D">
        <w:rPr>
          <w:rFonts w:ascii="Times New Roman" w:hAnsi="Times New Roman" w:cs="Times New Roman"/>
          <w:sz w:val="24"/>
          <w:szCs w:val="24"/>
        </w:rPr>
        <w:lastRenderedPageBreak/>
        <w:t xml:space="preserve">investoru grupu tvērumu, uz kurām minētais risinājums būtu attiecināms, nepieciešams izstrādāt grozījumus </w:t>
      </w:r>
      <w:r w:rsidRPr="002C3F2D">
        <w:rPr>
          <w:rFonts w:ascii="Times New Roman" w:hAnsi="Times New Roman" w:cs="Times New Roman"/>
          <w:i/>
          <w:iCs/>
          <w:sz w:val="24"/>
          <w:szCs w:val="24"/>
        </w:rPr>
        <w:t>Uzņēmumu ienākuma nodokļa likumā</w:t>
      </w:r>
      <w:r w:rsidRPr="002C3F2D">
        <w:rPr>
          <w:rFonts w:ascii="Times New Roman" w:hAnsi="Times New Roman" w:cs="Times New Roman"/>
          <w:sz w:val="24"/>
          <w:szCs w:val="24"/>
        </w:rPr>
        <w:t>, paredzot alternatīvu UIN sistēmu.</w:t>
      </w:r>
    </w:p>
    <w:p w14:paraId="4D4EFB61" w14:textId="77777777" w:rsidR="00DB3A1A" w:rsidRPr="002C3F2D" w:rsidRDefault="00DB3A1A" w:rsidP="00687738">
      <w:pPr>
        <w:spacing w:after="120" w:line="240" w:lineRule="auto"/>
        <w:ind w:firstLine="720"/>
        <w:jc w:val="both"/>
        <w:rPr>
          <w:rFonts w:ascii="Times New Roman" w:hAnsi="Times New Roman" w:cs="Times New Roman"/>
          <w:sz w:val="24"/>
          <w:szCs w:val="24"/>
        </w:rPr>
      </w:pPr>
      <w:r w:rsidRPr="002C3F2D">
        <w:rPr>
          <w:rFonts w:ascii="Times New Roman" w:hAnsi="Times New Roman" w:cs="Times New Roman"/>
          <w:sz w:val="24"/>
          <w:szCs w:val="24"/>
        </w:rPr>
        <w:t xml:space="preserve">Minētajos grozījumos, paralēli jau pastāvošajai UIN sistēmai, būtu jāparedz dalītu UIN un iedzīvotāju ienākuma nodokļa piemērošanu sadalītajai peļņai. Šī alternatīvā uzņēmumu ienākuma nodokļa  sistēma paredzētu nodokļa maksātājam, kura dalībnieki taksācijas periodā ir tikai fiziskās personas, iespēju izvēlēties piemērot alternatīvu </w:t>
      </w:r>
      <w:r w:rsidRPr="002C3F2D">
        <w:rPr>
          <w:rFonts w:ascii="Times New Roman" w:hAnsi="Times New Roman" w:cs="Times New Roman"/>
          <w:b/>
          <w:bCs/>
          <w:sz w:val="24"/>
          <w:szCs w:val="24"/>
        </w:rPr>
        <w:t>15%</w:t>
      </w:r>
      <w:r w:rsidRPr="002C3F2D">
        <w:rPr>
          <w:rFonts w:ascii="Times New Roman" w:hAnsi="Times New Roman" w:cs="Times New Roman"/>
          <w:sz w:val="24"/>
          <w:szCs w:val="24"/>
        </w:rPr>
        <w:t xml:space="preserve"> UIN likmi dividenžu sadales brīdī (vispārējā likme ir 20%), vienlaikus, nosakot iedzīvotāju ienākuma nodokļa ieturēšanu šādam dividenžu ienākumam 6% apmērā. </w:t>
      </w:r>
    </w:p>
    <w:p w14:paraId="6A0E8F14" w14:textId="77777777" w:rsidR="00DB3A1A" w:rsidRPr="002C3F2D" w:rsidRDefault="00DB3A1A" w:rsidP="00687738">
      <w:pPr>
        <w:spacing w:after="120" w:line="240" w:lineRule="auto"/>
        <w:ind w:firstLine="720"/>
        <w:jc w:val="both"/>
        <w:rPr>
          <w:rFonts w:ascii="Times New Roman" w:hAnsi="Times New Roman" w:cs="Times New Roman"/>
          <w:sz w:val="24"/>
          <w:szCs w:val="24"/>
        </w:rPr>
      </w:pPr>
      <w:r w:rsidRPr="002C3F2D">
        <w:rPr>
          <w:rFonts w:ascii="Times New Roman" w:hAnsi="Times New Roman" w:cs="Times New Roman"/>
          <w:sz w:val="24"/>
          <w:szCs w:val="24"/>
        </w:rPr>
        <w:t>Vienlaikus, minētais modelis arī radītu iedzīvotāju ienākuma nodokļa pārdali tās pašvaldības budžetā, kurā dalībnieks deklarējis savu dzīvesvietu, vai, ja dalībnieks ir nerezidents, tās pašvaldības budžetā, kurā nodokļa maksātājs, kurš sadala peļņu, ir reģistrēts.</w:t>
      </w:r>
    </w:p>
    <w:p w14:paraId="4B93E01C" w14:textId="2A426403" w:rsidR="00DB3A1A" w:rsidRPr="00687738" w:rsidRDefault="00D47AD0" w:rsidP="00687738">
      <w:pPr>
        <w:spacing w:after="12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r w:rsidR="00DB3A1A" w:rsidRPr="00687738">
        <w:rPr>
          <w:rFonts w:ascii="Times New Roman" w:eastAsia="Calibri" w:hAnsi="Times New Roman" w:cs="Times New Roman"/>
          <w:sz w:val="20"/>
          <w:szCs w:val="20"/>
        </w:rPr>
        <w:t>. tab</w:t>
      </w:r>
      <w:r>
        <w:rPr>
          <w:rFonts w:ascii="Times New Roman" w:eastAsia="Calibri" w:hAnsi="Times New Roman" w:cs="Times New Roman"/>
          <w:sz w:val="20"/>
          <w:szCs w:val="20"/>
        </w:rPr>
        <w:t>ula</w:t>
      </w:r>
      <w:r w:rsidR="00DB3A1A" w:rsidRPr="00687738">
        <w:rPr>
          <w:rFonts w:ascii="Times New Roman" w:eastAsia="Calibri" w:hAnsi="Times New Roman" w:cs="Times New Roman"/>
          <w:bCs/>
          <w:sz w:val="20"/>
          <w:szCs w:val="20"/>
        </w:rPr>
        <w:t>.</w:t>
      </w:r>
      <w:r w:rsidR="00DB3A1A" w:rsidRPr="00687738">
        <w:rPr>
          <w:rFonts w:ascii="Times New Roman" w:eastAsia="Calibri" w:hAnsi="Times New Roman" w:cs="Times New Roman"/>
          <w:b/>
          <w:sz w:val="20"/>
          <w:szCs w:val="20"/>
        </w:rPr>
        <w:t xml:space="preserve"> Priekšlikuma indikatīva fiskālā ietekme</w:t>
      </w:r>
      <w:r w:rsidR="00DB3A1A" w:rsidRPr="00687738">
        <w:rPr>
          <w:rFonts w:ascii="Times New Roman" w:eastAsia="Calibri" w:hAnsi="Times New Roman" w:cs="Times New Roman"/>
          <w:bCs/>
          <w:sz w:val="20"/>
          <w:szCs w:val="20"/>
        </w:rPr>
        <w:t>,</w:t>
      </w:r>
      <w:r w:rsidR="00DB3A1A" w:rsidRPr="00687738">
        <w:rPr>
          <w:rFonts w:ascii="Times New Roman" w:eastAsia="Calibri" w:hAnsi="Times New Roman" w:cs="Times New Roman"/>
          <w:bCs/>
          <w:i/>
          <w:iCs/>
          <w:sz w:val="20"/>
          <w:szCs w:val="20"/>
        </w:rPr>
        <w:t> euro</w:t>
      </w:r>
    </w:p>
    <w:tbl>
      <w:tblPr>
        <w:tblStyle w:val="TableGrid"/>
        <w:tblW w:w="9346" w:type="dxa"/>
        <w:tblInd w:w="5" w:type="dxa"/>
        <w:tblLook w:val="04A0" w:firstRow="1" w:lastRow="0" w:firstColumn="1" w:lastColumn="0" w:noHBand="0" w:noVBand="1"/>
      </w:tblPr>
      <w:tblGrid>
        <w:gridCol w:w="4243"/>
        <w:gridCol w:w="1701"/>
        <w:gridCol w:w="1701"/>
        <w:gridCol w:w="1701"/>
      </w:tblGrid>
      <w:tr w:rsidR="00687738" w:rsidRPr="00687738" w14:paraId="4E344C8E" w14:textId="77777777" w:rsidTr="003D364C">
        <w:tc>
          <w:tcPr>
            <w:tcW w:w="4243" w:type="dxa"/>
            <w:shd w:val="clear" w:color="auto" w:fill="FFFFFF"/>
          </w:tcPr>
          <w:p w14:paraId="030976F4" w14:textId="77777777" w:rsidR="00687738" w:rsidRPr="00687738" w:rsidRDefault="00687738" w:rsidP="00687738">
            <w:pPr>
              <w:spacing w:after="120"/>
              <w:jc w:val="center"/>
              <w:rPr>
                <w:rFonts w:ascii="Times New Roman" w:eastAsia="Calibri" w:hAnsi="Times New Roman" w:cs="Times New Roman"/>
                <w:b/>
                <w:bCs/>
                <w:sz w:val="20"/>
                <w:szCs w:val="20"/>
              </w:rPr>
            </w:pPr>
          </w:p>
        </w:tc>
        <w:tc>
          <w:tcPr>
            <w:tcW w:w="1701" w:type="dxa"/>
            <w:shd w:val="clear" w:color="auto" w:fill="FFFFFF"/>
            <w:vAlign w:val="bottom"/>
          </w:tcPr>
          <w:p w14:paraId="1D252DE2" w14:textId="77777777" w:rsidR="00687738" w:rsidRPr="00687738" w:rsidRDefault="00687738" w:rsidP="00687738">
            <w:pPr>
              <w:spacing w:after="120"/>
              <w:jc w:val="center"/>
              <w:rPr>
                <w:rFonts w:ascii="Times New Roman" w:eastAsia="Calibri" w:hAnsi="Times New Roman" w:cs="Times New Roman"/>
                <w:b/>
                <w:bCs/>
                <w:sz w:val="20"/>
                <w:szCs w:val="20"/>
              </w:rPr>
            </w:pPr>
            <w:r w:rsidRPr="00687738">
              <w:rPr>
                <w:rFonts w:ascii="Times New Roman" w:eastAsia="Calibri" w:hAnsi="Times New Roman" w:cs="Times New Roman"/>
                <w:b/>
                <w:bCs/>
                <w:sz w:val="20"/>
                <w:szCs w:val="20"/>
              </w:rPr>
              <w:t>2026</w:t>
            </w:r>
          </w:p>
        </w:tc>
        <w:tc>
          <w:tcPr>
            <w:tcW w:w="1701" w:type="dxa"/>
            <w:shd w:val="clear" w:color="auto" w:fill="FFFFFF"/>
            <w:vAlign w:val="bottom"/>
          </w:tcPr>
          <w:p w14:paraId="365DF645" w14:textId="77777777" w:rsidR="00687738" w:rsidRPr="00687738" w:rsidRDefault="00687738" w:rsidP="00687738">
            <w:pPr>
              <w:spacing w:after="120"/>
              <w:jc w:val="center"/>
              <w:rPr>
                <w:rFonts w:ascii="Times New Roman" w:eastAsia="Calibri" w:hAnsi="Times New Roman" w:cs="Times New Roman"/>
                <w:b/>
                <w:bCs/>
                <w:sz w:val="20"/>
                <w:szCs w:val="20"/>
              </w:rPr>
            </w:pPr>
            <w:r w:rsidRPr="00687738">
              <w:rPr>
                <w:rFonts w:ascii="Times New Roman" w:eastAsia="Calibri" w:hAnsi="Times New Roman" w:cs="Times New Roman"/>
                <w:b/>
                <w:bCs/>
                <w:sz w:val="20"/>
                <w:szCs w:val="20"/>
              </w:rPr>
              <w:t>2027</w:t>
            </w:r>
          </w:p>
        </w:tc>
        <w:tc>
          <w:tcPr>
            <w:tcW w:w="1701" w:type="dxa"/>
            <w:shd w:val="clear" w:color="auto" w:fill="FFFFFF"/>
            <w:vAlign w:val="bottom"/>
          </w:tcPr>
          <w:p w14:paraId="4DBD8444" w14:textId="77777777" w:rsidR="00687738" w:rsidRPr="00687738" w:rsidRDefault="00687738" w:rsidP="00687738">
            <w:pPr>
              <w:spacing w:after="120"/>
              <w:jc w:val="center"/>
              <w:rPr>
                <w:rFonts w:ascii="Times New Roman" w:eastAsia="Calibri" w:hAnsi="Times New Roman" w:cs="Times New Roman"/>
                <w:b/>
                <w:bCs/>
                <w:sz w:val="20"/>
                <w:szCs w:val="20"/>
              </w:rPr>
            </w:pPr>
            <w:r w:rsidRPr="00687738">
              <w:rPr>
                <w:rFonts w:ascii="Times New Roman" w:eastAsia="Calibri" w:hAnsi="Times New Roman" w:cs="Times New Roman"/>
                <w:b/>
                <w:bCs/>
                <w:sz w:val="20"/>
                <w:szCs w:val="20"/>
              </w:rPr>
              <w:t>2028</w:t>
            </w:r>
          </w:p>
        </w:tc>
      </w:tr>
      <w:tr w:rsidR="00687738" w:rsidRPr="00687738" w14:paraId="4E5C2FF2" w14:textId="77777777" w:rsidTr="003D364C">
        <w:tc>
          <w:tcPr>
            <w:tcW w:w="4243" w:type="dxa"/>
            <w:vAlign w:val="center"/>
          </w:tcPr>
          <w:p w14:paraId="4769C96A" w14:textId="77777777" w:rsidR="00687738" w:rsidRPr="00687738" w:rsidRDefault="00687738" w:rsidP="00687738">
            <w:pPr>
              <w:spacing w:after="120"/>
              <w:rPr>
                <w:rFonts w:ascii="Times New Roman" w:eastAsia="Calibri" w:hAnsi="Times New Roman" w:cs="Times New Roman"/>
                <w:b/>
                <w:bCs/>
                <w:sz w:val="20"/>
                <w:szCs w:val="20"/>
              </w:rPr>
            </w:pPr>
            <w:r w:rsidRPr="00687738">
              <w:rPr>
                <w:rFonts w:ascii="Times New Roman" w:hAnsi="Times New Roman" w:cs="Times New Roman"/>
                <w:sz w:val="20"/>
                <w:szCs w:val="20"/>
              </w:rPr>
              <w:t>UIN ieņēmumi</w:t>
            </w:r>
          </w:p>
        </w:tc>
        <w:tc>
          <w:tcPr>
            <w:tcW w:w="1701" w:type="dxa"/>
          </w:tcPr>
          <w:p w14:paraId="4060BB94" w14:textId="77777777" w:rsidR="00687738" w:rsidRPr="00687738" w:rsidRDefault="00687738" w:rsidP="00687738">
            <w:pPr>
              <w:spacing w:after="120"/>
              <w:jc w:val="right"/>
              <w:rPr>
                <w:rFonts w:ascii="Times New Roman" w:eastAsia="Calibri" w:hAnsi="Times New Roman" w:cs="Times New Roman"/>
                <w:b/>
                <w:bCs/>
                <w:color w:val="C00000"/>
                <w:sz w:val="20"/>
                <w:szCs w:val="20"/>
              </w:rPr>
            </w:pPr>
            <w:r w:rsidRPr="00687738">
              <w:rPr>
                <w:rFonts w:ascii="Times New Roman" w:hAnsi="Times New Roman" w:cs="Times New Roman"/>
                <w:color w:val="C00000"/>
                <w:sz w:val="20"/>
                <w:szCs w:val="20"/>
              </w:rPr>
              <w:t>- 399 000</w:t>
            </w:r>
          </w:p>
        </w:tc>
        <w:tc>
          <w:tcPr>
            <w:tcW w:w="1701" w:type="dxa"/>
          </w:tcPr>
          <w:p w14:paraId="5A08EEF6" w14:textId="77777777" w:rsidR="00687738" w:rsidRPr="00687738" w:rsidRDefault="00687738" w:rsidP="00687738">
            <w:pPr>
              <w:spacing w:after="120"/>
              <w:jc w:val="right"/>
              <w:rPr>
                <w:rFonts w:ascii="Times New Roman" w:eastAsia="Calibri" w:hAnsi="Times New Roman" w:cs="Times New Roman"/>
                <w:b/>
                <w:bCs/>
                <w:color w:val="C00000"/>
                <w:sz w:val="20"/>
                <w:szCs w:val="20"/>
              </w:rPr>
            </w:pPr>
            <w:r w:rsidRPr="00687738">
              <w:rPr>
                <w:rFonts w:ascii="Times New Roman" w:hAnsi="Times New Roman" w:cs="Times New Roman"/>
                <w:color w:val="C00000"/>
                <w:sz w:val="20"/>
                <w:szCs w:val="20"/>
              </w:rPr>
              <w:t>- 399 000</w:t>
            </w:r>
          </w:p>
        </w:tc>
        <w:tc>
          <w:tcPr>
            <w:tcW w:w="1701" w:type="dxa"/>
          </w:tcPr>
          <w:p w14:paraId="23C4372C" w14:textId="77777777" w:rsidR="00687738" w:rsidRPr="00687738" w:rsidRDefault="00687738" w:rsidP="00687738">
            <w:pPr>
              <w:spacing w:after="120"/>
              <w:jc w:val="right"/>
              <w:rPr>
                <w:rFonts w:ascii="Times New Roman" w:eastAsia="Calibri" w:hAnsi="Times New Roman" w:cs="Times New Roman"/>
                <w:b/>
                <w:bCs/>
                <w:color w:val="C00000"/>
                <w:sz w:val="20"/>
                <w:szCs w:val="20"/>
              </w:rPr>
            </w:pPr>
            <w:r w:rsidRPr="00687738">
              <w:rPr>
                <w:rFonts w:ascii="Times New Roman" w:hAnsi="Times New Roman" w:cs="Times New Roman"/>
                <w:color w:val="C00000"/>
                <w:sz w:val="20"/>
                <w:szCs w:val="20"/>
              </w:rPr>
              <w:t>- 399 000</w:t>
            </w:r>
          </w:p>
        </w:tc>
      </w:tr>
      <w:tr w:rsidR="00687738" w:rsidRPr="00687738" w14:paraId="2B86B7C3" w14:textId="77777777" w:rsidTr="003D364C">
        <w:tc>
          <w:tcPr>
            <w:tcW w:w="4243" w:type="dxa"/>
            <w:vAlign w:val="center"/>
          </w:tcPr>
          <w:p w14:paraId="41A8309A" w14:textId="77777777" w:rsidR="00687738" w:rsidRPr="00687738" w:rsidRDefault="00687738" w:rsidP="00687738">
            <w:pPr>
              <w:spacing w:after="120"/>
              <w:rPr>
                <w:rFonts w:ascii="Times New Roman" w:eastAsia="Calibri" w:hAnsi="Times New Roman" w:cs="Times New Roman"/>
                <w:b/>
                <w:bCs/>
                <w:sz w:val="20"/>
                <w:szCs w:val="20"/>
              </w:rPr>
            </w:pPr>
            <w:r w:rsidRPr="00687738">
              <w:rPr>
                <w:rFonts w:ascii="Times New Roman" w:hAnsi="Times New Roman" w:cs="Times New Roman"/>
                <w:sz w:val="20"/>
                <w:szCs w:val="20"/>
              </w:rPr>
              <w:t>IIN ieņēmumi</w:t>
            </w:r>
          </w:p>
        </w:tc>
        <w:tc>
          <w:tcPr>
            <w:tcW w:w="1701" w:type="dxa"/>
          </w:tcPr>
          <w:p w14:paraId="6C5D6E0B" w14:textId="77777777" w:rsidR="00687738" w:rsidRPr="00880622" w:rsidRDefault="00687738" w:rsidP="00687738">
            <w:pPr>
              <w:spacing w:after="120"/>
              <w:jc w:val="right"/>
              <w:rPr>
                <w:rFonts w:ascii="Times New Roman" w:eastAsia="Calibri" w:hAnsi="Times New Roman" w:cs="Times New Roman"/>
                <w:b/>
                <w:bCs/>
                <w:sz w:val="20"/>
                <w:szCs w:val="20"/>
              </w:rPr>
            </w:pPr>
            <w:r w:rsidRPr="00880622">
              <w:rPr>
                <w:rFonts w:ascii="Times New Roman" w:hAnsi="Times New Roman" w:cs="Times New Roman"/>
                <w:sz w:val="20"/>
                <w:szCs w:val="20"/>
              </w:rPr>
              <w:t>+407 000</w:t>
            </w:r>
          </w:p>
        </w:tc>
        <w:tc>
          <w:tcPr>
            <w:tcW w:w="1701" w:type="dxa"/>
          </w:tcPr>
          <w:p w14:paraId="57537DA0" w14:textId="77777777" w:rsidR="00687738" w:rsidRPr="00880622" w:rsidRDefault="00687738" w:rsidP="00687738">
            <w:pPr>
              <w:spacing w:after="120"/>
              <w:jc w:val="right"/>
              <w:rPr>
                <w:rFonts w:ascii="Times New Roman" w:eastAsia="Calibri" w:hAnsi="Times New Roman" w:cs="Times New Roman"/>
                <w:b/>
                <w:bCs/>
                <w:sz w:val="20"/>
                <w:szCs w:val="20"/>
              </w:rPr>
            </w:pPr>
            <w:r w:rsidRPr="00880622">
              <w:rPr>
                <w:rFonts w:ascii="Times New Roman" w:hAnsi="Times New Roman" w:cs="Times New Roman"/>
                <w:sz w:val="20"/>
                <w:szCs w:val="20"/>
              </w:rPr>
              <w:t>+407 000</w:t>
            </w:r>
          </w:p>
        </w:tc>
        <w:tc>
          <w:tcPr>
            <w:tcW w:w="1701" w:type="dxa"/>
          </w:tcPr>
          <w:p w14:paraId="3907570A" w14:textId="77777777" w:rsidR="00687738" w:rsidRPr="00880622" w:rsidRDefault="00687738" w:rsidP="00687738">
            <w:pPr>
              <w:spacing w:after="120"/>
              <w:jc w:val="right"/>
              <w:rPr>
                <w:rFonts w:ascii="Times New Roman" w:eastAsia="Calibri" w:hAnsi="Times New Roman" w:cs="Times New Roman"/>
                <w:b/>
                <w:bCs/>
                <w:sz w:val="20"/>
                <w:szCs w:val="20"/>
              </w:rPr>
            </w:pPr>
            <w:r w:rsidRPr="00880622">
              <w:rPr>
                <w:rFonts w:ascii="Times New Roman" w:hAnsi="Times New Roman" w:cs="Times New Roman"/>
                <w:sz w:val="20"/>
                <w:szCs w:val="20"/>
              </w:rPr>
              <w:t>+407 000</w:t>
            </w:r>
          </w:p>
        </w:tc>
      </w:tr>
      <w:tr w:rsidR="00687738" w:rsidRPr="00687738" w14:paraId="202FE569" w14:textId="77777777" w:rsidTr="003D364C">
        <w:tc>
          <w:tcPr>
            <w:tcW w:w="4243" w:type="dxa"/>
            <w:shd w:val="clear" w:color="auto" w:fill="E7E6E6"/>
            <w:vAlign w:val="center"/>
          </w:tcPr>
          <w:p w14:paraId="6A446AFC" w14:textId="77777777" w:rsidR="00687738" w:rsidRPr="00687738" w:rsidRDefault="00687738" w:rsidP="00687738">
            <w:pPr>
              <w:spacing w:after="120"/>
              <w:rPr>
                <w:rFonts w:ascii="Times New Roman" w:eastAsia="Calibri" w:hAnsi="Times New Roman" w:cs="Times New Roman"/>
                <w:b/>
                <w:bCs/>
                <w:sz w:val="20"/>
                <w:szCs w:val="20"/>
              </w:rPr>
            </w:pPr>
            <w:r w:rsidRPr="00687738">
              <w:rPr>
                <w:rFonts w:ascii="Times New Roman" w:hAnsi="Times New Roman" w:cs="Times New Roman"/>
                <w:b/>
                <w:bCs/>
                <w:sz w:val="20"/>
                <w:szCs w:val="20"/>
              </w:rPr>
              <w:t>KOPĀ</w:t>
            </w:r>
            <w:r w:rsidRPr="00687738">
              <w:rPr>
                <w:rFonts w:ascii="Times New Roman" w:hAnsi="Times New Roman" w:cs="Times New Roman"/>
                <w:i/>
                <w:iCs/>
                <w:sz w:val="20"/>
                <w:szCs w:val="20"/>
              </w:rPr>
              <w:t>, no tiem:</w:t>
            </w:r>
          </w:p>
        </w:tc>
        <w:tc>
          <w:tcPr>
            <w:tcW w:w="1701" w:type="dxa"/>
            <w:shd w:val="clear" w:color="auto" w:fill="E7E6E6"/>
            <w:vAlign w:val="center"/>
          </w:tcPr>
          <w:p w14:paraId="5DC939C2" w14:textId="77777777" w:rsidR="00687738" w:rsidRPr="00880622" w:rsidRDefault="00687738" w:rsidP="00687738">
            <w:pPr>
              <w:spacing w:after="120"/>
              <w:jc w:val="right"/>
              <w:rPr>
                <w:rFonts w:ascii="Times New Roman" w:eastAsia="Calibri" w:hAnsi="Times New Roman" w:cs="Times New Roman"/>
                <w:b/>
                <w:bCs/>
                <w:sz w:val="20"/>
                <w:szCs w:val="20"/>
              </w:rPr>
            </w:pPr>
            <w:r w:rsidRPr="00880622">
              <w:rPr>
                <w:rFonts w:ascii="Times New Roman" w:hAnsi="Times New Roman" w:cs="Times New Roman"/>
                <w:b/>
                <w:bCs/>
                <w:sz w:val="20"/>
                <w:szCs w:val="20"/>
              </w:rPr>
              <w:t>+8 000</w:t>
            </w:r>
          </w:p>
        </w:tc>
        <w:tc>
          <w:tcPr>
            <w:tcW w:w="1701" w:type="dxa"/>
            <w:shd w:val="clear" w:color="auto" w:fill="E7E6E6"/>
            <w:vAlign w:val="center"/>
          </w:tcPr>
          <w:p w14:paraId="0BB9BD1E" w14:textId="77777777" w:rsidR="00687738" w:rsidRPr="00880622" w:rsidRDefault="00687738" w:rsidP="00687738">
            <w:pPr>
              <w:spacing w:after="120"/>
              <w:jc w:val="right"/>
              <w:rPr>
                <w:rFonts w:ascii="Times New Roman" w:eastAsia="Calibri" w:hAnsi="Times New Roman" w:cs="Times New Roman"/>
                <w:b/>
                <w:bCs/>
                <w:sz w:val="20"/>
                <w:szCs w:val="20"/>
              </w:rPr>
            </w:pPr>
            <w:r w:rsidRPr="00880622">
              <w:rPr>
                <w:rFonts w:ascii="Times New Roman" w:hAnsi="Times New Roman" w:cs="Times New Roman"/>
                <w:b/>
                <w:bCs/>
                <w:sz w:val="20"/>
                <w:szCs w:val="20"/>
              </w:rPr>
              <w:t>+8 000</w:t>
            </w:r>
          </w:p>
        </w:tc>
        <w:tc>
          <w:tcPr>
            <w:tcW w:w="1701" w:type="dxa"/>
            <w:shd w:val="clear" w:color="auto" w:fill="E7E6E6"/>
            <w:vAlign w:val="center"/>
          </w:tcPr>
          <w:p w14:paraId="6F98E21D" w14:textId="77777777" w:rsidR="00687738" w:rsidRPr="00880622" w:rsidRDefault="00687738" w:rsidP="00687738">
            <w:pPr>
              <w:spacing w:after="120"/>
              <w:jc w:val="right"/>
              <w:rPr>
                <w:rFonts w:ascii="Times New Roman" w:eastAsia="Calibri" w:hAnsi="Times New Roman" w:cs="Times New Roman"/>
                <w:b/>
                <w:bCs/>
                <w:sz w:val="20"/>
                <w:szCs w:val="20"/>
              </w:rPr>
            </w:pPr>
            <w:r w:rsidRPr="00880622">
              <w:rPr>
                <w:rFonts w:ascii="Times New Roman" w:hAnsi="Times New Roman" w:cs="Times New Roman"/>
                <w:b/>
                <w:bCs/>
                <w:sz w:val="20"/>
                <w:szCs w:val="20"/>
              </w:rPr>
              <w:t>+8 000</w:t>
            </w:r>
          </w:p>
        </w:tc>
      </w:tr>
      <w:tr w:rsidR="00687738" w:rsidRPr="00687738" w14:paraId="0B4E859C" w14:textId="77777777" w:rsidTr="003D364C">
        <w:tc>
          <w:tcPr>
            <w:tcW w:w="4243" w:type="dxa"/>
            <w:shd w:val="clear" w:color="auto" w:fill="FFFFFF"/>
            <w:vAlign w:val="center"/>
          </w:tcPr>
          <w:p w14:paraId="6880B6B9" w14:textId="77777777" w:rsidR="00687738" w:rsidRPr="00687738" w:rsidRDefault="00687738" w:rsidP="00687738">
            <w:pPr>
              <w:numPr>
                <w:ilvl w:val="0"/>
                <w:numId w:val="7"/>
              </w:numPr>
              <w:tabs>
                <w:tab w:val="num" w:pos="306"/>
              </w:tabs>
              <w:spacing w:after="120"/>
              <w:ind w:left="0" w:firstLine="0"/>
              <w:jc w:val="both"/>
              <w:rPr>
                <w:rFonts w:ascii="Times New Roman" w:eastAsia="Calibri" w:hAnsi="Times New Roman" w:cs="Times New Roman"/>
                <w:i/>
                <w:iCs/>
                <w:sz w:val="20"/>
                <w:szCs w:val="20"/>
              </w:rPr>
            </w:pPr>
            <w:r w:rsidRPr="00687738">
              <w:rPr>
                <w:rFonts w:ascii="Times New Roman" w:eastAsia="Calibri" w:hAnsi="Times New Roman" w:cs="Times New Roman"/>
                <w:i/>
                <w:iCs/>
                <w:sz w:val="20"/>
                <w:szCs w:val="20"/>
              </w:rPr>
              <w:t>valsts pamatbudžetā</w:t>
            </w:r>
          </w:p>
        </w:tc>
        <w:tc>
          <w:tcPr>
            <w:tcW w:w="1701" w:type="dxa"/>
            <w:shd w:val="clear" w:color="auto" w:fill="FFFFFF"/>
            <w:vAlign w:val="center"/>
          </w:tcPr>
          <w:p w14:paraId="2CEEBF49" w14:textId="77777777" w:rsidR="00687738" w:rsidRPr="00687738" w:rsidRDefault="00687738" w:rsidP="00687738">
            <w:pPr>
              <w:spacing w:after="120"/>
              <w:jc w:val="right"/>
              <w:rPr>
                <w:rFonts w:ascii="Times New Roman" w:eastAsia="Calibri" w:hAnsi="Times New Roman" w:cs="Times New Roman"/>
                <w:i/>
                <w:iCs/>
                <w:color w:val="C00000"/>
                <w:sz w:val="20"/>
                <w:szCs w:val="20"/>
              </w:rPr>
            </w:pPr>
            <w:r w:rsidRPr="00687738">
              <w:rPr>
                <w:rFonts w:ascii="Times New Roman" w:eastAsia="Calibri" w:hAnsi="Times New Roman" w:cs="Times New Roman"/>
                <w:i/>
                <w:iCs/>
                <w:color w:val="C00000"/>
                <w:sz w:val="20"/>
                <w:szCs w:val="20"/>
              </w:rPr>
              <w:t>-310 000</w:t>
            </w:r>
          </w:p>
        </w:tc>
        <w:tc>
          <w:tcPr>
            <w:tcW w:w="1701" w:type="dxa"/>
            <w:shd w:val="clear" w:color="auto" w:fill="FFFFFF"/>
            <w:vAlign w:val="center"/>
          </w:tcPr>
          <w:p w14:paraId="5E2D1275" w14:textId="77777777" w:rsidR="00687738" w:rsidRPr="00687738" w:rsidRDefault="00687738" w:rsidP="00687738">
            <w:pPr>
              <w:spacing w:after="120"/>
              <w:jc w:val="right"/>
              <w:rPr>
                <w:rFonts w:ascii="Times New Roman" w:eastAsia="Calibri" w:hAnsi="Times New Roman" w:cs="Times New Roman"/>
                <w:i/>
                <w:iCs/>
                <w:color w:val="C00000"/>
                <w:sz w:val="20"/>
                <w:szCs w:val="20"/>
              </w:rPr>
            </w:pPr>
            <w:r w:rsidRPr="00687738">
              <w:rPr>
                <w:rFonts w:ascii="Times New Roman" w:eastAsia="Calibri" w:hAnsi="Times New Roman" w:cs="Times New Roman"/>
                <w:i/>
                <w:iCs/>
                <w:color w:val="C00000"/>
                <w:sz w:val="20"/>
                <w:szCs w:val="20"/>
              </w:rPr>
              <w:t>-310 000</w:t>
            </w:r>
          </w:p>
        </w:tc>
        <w:tc>
          <w:tcPr>
            <w:tcW w:w="1701" w:type="dxa"/>
            <w:shd w:val="clear" w:color="auto" w:fill="FFFFFF"/>
            <w:vAlign w:val="center"/>
          </w:tcPr>
          <w:p w14:paraId="022A0287" w14:textId="77777777" w:rsidR="00687738" w:rsidRPr="00687738" w:rsidRDefault="00687738" w:rsidP="00687738">
            <w:pPr>
              <w:spacing w:after="120"/>
              <w:jc w:val="right"/>
              <w:rPr>
                <w:rFonts w:ascii="Times New Roman" w:eastAsia="Calibri" w:hAnsi="Times New Roman" w:cs="Times New Roman"/>
                <w:i/>
                <w:iCs/>
                <w:color w:val="C00000"/>
                <w:sz w:val="20"/>
                <w:szCs w:val="20"/>
              </w:rPr>
            </w:pPr>
            <w:r w:rsidRPr="00687738">
              <w:rPr>
                <w:rFonts w:ascii="Times New Roman" w:eastAsia="Calibri" w:hAnsi="Times New Roman" w:cs="Times New Roman"/>
                <w:i/>
                <w:iCs/>
                <w:color w:val="C00000"/>
                <w:sz w:val="20"/>
                <w:szCs w:val="20"/>
              </w:rPr>
              <w:t>-310 000</w:t>
            </w:r>
          </w:p>
        </w:tc>
      </w:tr>
      <w:tr w:rsidR="00687738" w:rsidRPr="00687738" w14:paraId="7A769833" w14:textId="77777777" w:rsidTr="003D364C">
        <w:tc>
          <w:tcPr>
            <w:tcW w:w="4243" w:type="dxa"/>
            <w:shd w:val="clear" w:color="auto" w:fill="FFFFFF"/>
            <w:vAlign w:val="center"/>
          </w:tcPr>
          <w:p w14:paraId="5E686C57" w14:textId="77777777" w:rsidR="00687738" w:rsidRPr="00687738" w:rsidRDefault="00687738" w:rsidP="00687738">
            <w:pPr>
              <w:numPr>
                <w:ilvl w:val="0"/>
                <w:numId w:val="7"/>
              </w:numPr>
              <w:tabs>
                <w:tab w:val="num" w:pos="306"/>
              </w:tabs>
              <w:spacing w:after="120"/>
              <w:ind w:left="0" w:firstLine="0"/>
              <w:jc w:val="both"/>
              <w:rPr>
                <w:rFonts w:ascii="Times New Roman" w:eastAsia="Calibri" w:hAnsi="Times New Roman" w:cs="Times New Roman"/>
                <w:i/>
                <w:iCs/>
                <w:sz w:val="20"/>
                <w:szCs w:val="20"/>
              </w:rPr>
            </w:pPr>
            <w:r w:rsidRPr="00687738">
              <w:rPr>
                <w:rFonts w:ascii="Times New Roman" w:eastAsia="Calibri" w:hAnsi="Times New Roman" w:cs="Times New Roman"/>
                <w:i/>
                <w:iCs/>
                <w:sz w:val="20"/>
                <w:szCs w:val="20"/>
              </w:rPr>
              <w:t>pašvaldību budžetos</w:t>
            </w:r>
          </w:p>
        </w:tc>
        <w:tc>
          <w:tcPr>
            <w:tcW w:w="1701" w:type="dxa"/>
            <w:shd w:val="clear" w:color="auto" w:fill="FFFFFF"/>
            <w:vAlign w:val="center"/>
          </w:tcPr>
          <w:p w14:paraId="6711280F" w14:textId="77777777" w:rsidR="00687738" w:rsidRPr="00880622" w:rsidRDefault="00687738" w:rsidP="00687738">
            <w:pPr>
              <w:spacing w:after="120"/>
              <w:jc w:val="right"/>
              <w:rPr>
                <w:rFonts w:ascii="Times New Roman" w:eastAsia="Calibri" w:hAnsi="Times New Roman" w:cs="Times New Roman"/>
                <w:i/>
                <w:iCs/>
                <w:sz w:val="20"/>
                <w:szCs w:val="20"/>
              </w:rPr>
            </w:pPr>
            <w:r w:rsidRPr="00880622">
              <w:rPr>
                <w:rFonts w:ascii="Times New Roman" w:eastAsia="Calibri" w:hAnsi="Times New Roman" w:cs="Times New Roman"/>
                <w:i/>
                <w:iCs/>
                <w:sz w:val="20"/>
                <w:szCs w:val="20"/>
              </w:rPr>
              <w:t>+318 000</w:t>
            </w:r>
          </w:p>
        </w:tc>
        <w:tc>
          <w:tcPr>
            <w:tcW w:w="1701" w:type="dxa"/>
            <w:shd w:val="clear" w:color="auto" w:fill="FFFFFF"/>
            <w:vAlign w:val="center"/>
          </w:tcPr>
          <w:p w14:paraId="183ABB37" w14:textId="77777777" w:rsidR="00687738" w:rsidRPr="00880622" w:rsidRDefault="00687738" w:rsidP="00687738">
            <w:pPr>
              <w:spacing w:after="120"/>
              <w:jc w:val="right"/>
              <w:rPr>
                <w:rFonts w:ascii="Times New Roman" w:eastAsia="Calibri" w:hAnsi="Times New Roman" w:cs="Times New Roman"/>
                <w:i/>
                <w:iCs/>
                <w:sz w:val="20"/>
                <w:szCs w:val="20"/>
              </w:rPr>
            </w:pPr>
            <w:r w:rsidRPr="00880622">
              <w:rPr>
                <w:rFonts w:ascii="Times New Roman" w:eastAsia="Calibri" w:hAnsi="Times New Roman" w:cs="Times New Roman"/>
                <w:i/>
                <w:iCs/>
                <w:sz w:val="20"/>
                <w:szCs w:val="20"/>
              </w:rPr>
              <w:t>+318 000</w:t>
            </w:r>
          </w:p>
        </w:tc>
        <w:tc>
          <w:tcPr>
            <w:tcW w:w="1701" w:type="dxa"/>
            <w:shd w:val="clear" w:color="auto" w:fill="FFFFFF"/>
            <w:vAlign w:val="center"/>
          </w:tcPr>
          <w:p w14:paraId="202CF8CF" w14:textId="77777777" w:rsidR="00687738" w:rsidRPr="00880622" w:rsidRDefault="00687738" w:rsidP="00687738">
            <w:pPr>
              <w:spacing w:after="120"/>
              <w:jc w:val="right"/>
              <w:rPr>
                <w:rFonts w:ascii="Times New Roman" w:eastAsia="Calibri" w:hAnsi="Times New Roman" w:cs="Times New Roman"/>
                <w:i/>
                <w:iCs/>
                <w:sz w:val="20"/>
                <w:szCs w:val="20"/>
              </w:rPr>
            </w:pPr>
            <w:r w:rsidRPr="00880622">
              <w:rPr>
                <w:rFonts w:ascii="Times New Roman" w:eastAsia="Calibri" w:hAnsi="Times New Roman" w:cs="Times New Roman"/>
                <w:i/>
                <w:iCs/>
                <w:sz w:val="20"/>
                <w:szCs w:val="20"/>
              </w:rPr>
              <w:t>+318 000</w:t>
            </w:r>
          </w:p>
        </w:tc>
      </w:tr>
    </w:tbl>
    <w:p w14:paraId="32B9D7EF" w14:textId="77777777" w:rsidR="00DB3A1A" w:rsidRDefault="00DB3A1A" w:rsidP="00687738">
      <w:pPr>
        <w:tabs>
          <w:tab w:val="left" w:pos="426"/>
        </w:tabs>
        <w:spacing w:after="120" w:line="240" w:lineRule="auto"/>
        <w:rPr>
          <w:rFonts w:ascii="Times New Roman" w:eastAsia="Calibri" w:hAnsi="Times New Roman" w:cs="Times New Roman"/>
          <w:i/>
          <w:sz w:val="20"/>
          <w:szCs w:val="20"/>
        </w:rPr>
      </w:pPr>
      <w:r w:rsidRPr="00687738">
        <w:rPr>
          <w:rFonts w:ascii="Times New Roman" w:eastAsia="Calibri" w:hAnsi="Times New Roman" w:cs="Times New Roman"/>
          <w:b/>
          <w:bCs/>
          <w:i/>
          <w:sz w:val="20"/>
          <w:szCs w:val="20"/>
        </w:rPr>
        <w:t>Avots</w:t>
      </w:r>
      <w:r w:rsidRPr="00687738">
        <w:rPr>
          <w:rFonts w:ascii="Times New Roman" w:eastAsia="Calibri" w:hAnsi="Times New Roman" w:cs="Times New Roman"/>
          <w:i/>
          <w:sz w:val="20"/>
          <w:szCs w:val="20"/>
        </w:rPr>
        <w:t>: FM aprēķini.</w:t>
      </w:r>
    </w:p>
    <w:p w14:paraId="03070129" w14:textId="77777777" w:rsidR="00687738" w:rsidRPr="00687738" w:rsidRDefault="00687738" w:rsidP="00DB3A1A">
      <w:pPr>
        <w:tabs>
          <w:tab w:val="left" w:pos="426"/>
        </w:tabs>
        <w:spacing w:before="120" w:after="240"/>
        <w:rPr>
          <w:rFonts w:ascii="Times New Roman" w:eastAsia="Calibri" w:hAnsi="Times New Roman" w:cs="Times New Roman"/>
          <w:i/>
          <w:sz w:val="20"/>
          <w:szCs w:val="20"/>
        </w:rPr>
      </w:pPr>
    </w:p>
    <w:p w14:paraId="1E9DCBF6" w14:textId="18AFB032" w:rsidR="00DB3A1A" w:rsidRPr="003D364C" w:rsidRDefault="00DB3A1A" w:rsidP="003D364C">
      <w:pPr>
        <w:pStyle w:val="ListParagraph"/>
        <w:numPr>
          <w:ilvl w:val="2"/>
          <w:numId w:val="15"/>
        </w:numPr>
        <w:shd w:val="clear" w:color="auto" w:fill="FFF2CC" w:themeFill="accent4" w:themeFillTint="33"/>
        <w:spacing w:after="120" w:line="240" w:lineRule="auto"/>
        <w:jc w:val="both"/>
        <w:rPr>
          <w:rFonts w:ascii="Times New Roman" w:hAnsi="Times New Roman" w:cs="Times New Roman"/>
          <w:b/>
          <w:bCs/>
          <w:sz w:val="28"/>
          <w:szCs w:val="28"/>
        </w:rPr>
      </w:pPr>
      <w:r w:rsidRPr="003D364C">
        <w:rPr>
          <w:rFonts w:ascii="Times New Roman" w:hAnsi="Times New Roman" w:cs="Times New Roman"/>
          <w:b/>
          <w:bCs/>
          <w:sz w:val="28"/>
          <w:szCs w:val="28"/>
        </w:rPr>
        <w:t>Par valstij dividendēs izmaksājamās daļas palielināšanu</w:t>
      </w:r>
    </w:p>
    <w:p w14:paraId="26A65191" w14:textId="77777777" w:rsidR="00DB3A1A" w:rsidRPr="001D0F04" w:rsidRDefault="00DB3A1A" w:rsidP="001D0F04">
      <w:pPr>
        <w:spacing w:after="120" w:line="240" w:lineRule="auto"/>
        <w:ind w:firstLine="720"/>
        <w:jc w:val="both"/>
        <w:rPr>
          <w:rFonts w:ascii="Times New Roman" w:hAnsi="Times New Roman" w:cs="Times New Roman"/>
          <w:sz w:val="24"/>
          <w:szCs w:val="24"/>
        </w:rPr>
      </w:pPr>
      <w:r w:rsidRPr="001D0F04">
        <w:rPr>
          <w:rFonts w:ascii="Times New Roman" w:hAnsi="Times New Roman" w:cs="Times New Roman"/>
          <w:sz w:val="24"/>
          <w:szCs w:val="24"/>
        </w:rPr>
        <w:t xml:space="preserve">Saskaņā ar Ministru kabineta 2025.gada 2.septembra sēdē izskatīto Informatīvo ziņojumu "Par valsts kapitālsabiedrību iespējamiem ienākumu palielinājumiem" Finanšu ministrijai dots uzdevums (protokols Nr.34, 31. §) likumprojekta "Par valsts budžetu 2026. gadam un vidēja termiņa budžeta ietvaru 2026., 2027. un 2028. gadam" sagatavošanas procesā ņemt vērā, ka </w:t>
      </w:r>
      <w:r w:rsidRPr="001D0F04">
        <w:rPr>
          <w:rFonts w:ascii="Times New Roman" w:hAnsi="Times New Roman" w:cs="Times New Roman"/>
          <w:b/>
          <w:bCs/>
          <w:sz w:val="24"/>
          <w:szCs w:val="24"/>
        </w:rPr>
        <w:t>minimālā prognozējamā peļņas daļa, kas izmaksājama dividendēs</w:t>
      </w:r>
      <w:r w:rsidRPr="001D0F04">
        <w:rPr>
          <w:rFonts w:ascii="Times New Roman" w:hAnsi="Times New Roman" w:cs="Times New Roman"/>
          <w:sz w:val="24"/>
          <w:szCs w:val="24"/>
        </w:rPr>
        <w:t xml:space="preserve">, un dividendēs izmaksājamā peļņas daļa valsts kapitālsabiedrībām, publiski privātajām kapitālsabiedrībām un publiskas personas kontrolētām kapitālsabiedrībām, kurās valsts ir dalībnieks (akcionārs), 2026. gadā (par 2025. pārskata gadu), 2027. gadā (par 2026. pārskata gadu) un 2028. gadā (par 2027. pārskata gadu) ir šāda – </w:t>
      </w:r>
      <w:r w:rsidRPr="001D0F04">
        <w:rPr>
          <w:rFonts w:ascii="Times New Roman" w:hAnsi="Times New Roman" w:cs="Times New Roman"/>
          <w:b/>
          <w:bCs/>
          <w:sz w:val="24"/>
          <w:szCs w:val="24"/>
        </w:rPr>
        <w:t>90 procenti no kapitālsabiedrības pārskata gada peļņas</w:t>
      </w:r>
      <w:r w:rsidRPr="001D0F04">
        <w:rPr>
          <w:rFonts w:ascii="Times New Roman" w:hAnsi="Times New Roman" w:cs="Times New Roman"/>
          <w:sz w:val="24"/>
          <w:szCs w:val="24"/>
        </w:rPr>
        <w:t>, uzņēmumu ienākuma nodokli aprēķinot un nomaksājot uzņēmumu ienākuma nodokli regulējošos normatīvajos aktos noteiktajā kārtībā. Ministru kabineta noteiktajā kārtībā, kā tiek prognozēti, noteikti un veikti maksājumi par valsts kapitāla izmantošanu, var tikt pieņemts lēmums par atšķirīgu dividendēs izmaksājamo peļņas daļu.</w:t>
      </w:r>
    </w:p>
    <w:p w14:paraId="5594002A" w14:textId="77777777" w:rsidR="00DB3A1A" w:rsidRPr="001D0F04" w:rsidRDefault="00DB3A1A" w:rsidP="001D0F04">
      <w:pPr>
        <w:spacing w:after="120" w:line="240" w:lineRule="auto"/>
        <w:ind w:firstLine="720"/>
        <w:jc w:val="both"/>
        <w:rPr>
          <w:rFonts w:ascii="Times New Roman" w:hAnsi="Times New Roman" w:cs="Times New Roman"/>
          <w:sz w:val="24"/>
          <w:szCs w:val="24"/>
        </w:rPr>
      </w:pPr>
      <w:r w:rsidRPr="001D0F04">
        <w:rPr>
          <w:rFonts w:ascii="Times New Roman" w:hAnsi="Times New Roman" w:cs="Times New Roman"/>
          <w:sz w:val="24"/>
          <w:szCs w:val="24"/>
        </w:rPr>
        <w:t>Izvērtējot atsevišķas lielākās valsts kapitālsabiedrības, sagatavoti šādi priekšlikumi:</w:t>
      </w:r>
    </w:p>
    <w:p w14:paraId="29D738F4" w14:textId="77777777" w:rsidR="00DB3A1A" w:rsidRPr="001D0F04" w:rsidRDefault="00DB3A1A" w:rsidP="001D0F04">
      <w:pPr>
        <w:numPr>
          <w:ilvl w:val="0"/>
          <w:numId w:val="10"/>
        </w:numPr>
        <w:spacing w:after="0" w:line="240" w:lineRule="auto"/>
        <w:jc w:val="both"/>
        <w:rPr>
          <w:rFonts w:ascii="Times New Roman" w:hAnsi="Times New Roman" w:cs="Times New Roman"/>
          <w:i/>
          <w:iCs/>
          <w:sz w:val="24"/>
          <w:szCs w:val="24"/>
        </w:rPr>
      </w:pPr>
      <w:r w:rsidRPr="001D0F04">
        <w:rPr>
          <w:rFonts w:ascii="Times New Roman" w:hAnsi="Times New Roman" w:cs="Times New Roman"/>
          <w:i/>
          <w:iCs/>
          <w:sz w:val="24"/>
          <w:szCs w:val="24"/>
        </w:rPr>
        <w:t xml:space="preserve">Noteikt, ka </w:t>
      </w:r>
      <w:bookmarkStart w:id="1" w:name="_Hlk209081685"/>
      <w:r w:rsidRPr="001D0F04">
        <w:rPr>
          <w:rFonts w:ascii="Times New Roman" w:hAnsi="Times New Roman" w:cs="Times New Roman"/>
          <w:i/>
          <w:iCs/>
          <w:sz w:val="24"/>
          <w:szCs w:val="24"/>
        </w:rPr>
        <w:t xml:space="preserve">akciju sabiedrība </w:t>
      </w:r>
      <w:r w:rsidRPr="001D0F04">
        <w:rPr>
          <w:rFonts w:ascii="Times New Roman" w:hAnsi="Times New Roman" w:cs="Times New Roman"/>
          <w:b/>
          <w:bCs/>
          <w:i/>
          <w:iCs/>
          <w:sz w:val="24"/>
          <w:szCs w:val="24"/>
        </w:rPr>
        <w:t>"Latvijas Loto"</w:t>
      </w:r>
      <w:r w:rsidRPr="001D0F04">
        <w:rPr>
          <w:rFonts w:ascii="Times New Roman" w:hAnsi="Times New Roman" w:cs="Times New Roman"/>
          <w:i/>
          <w:iCs/>
          <w:sz w:val="24"/>
          <w:szCs w:val="24"/>
        </w:rPr>
        <w:t xml:space="preserve"> ieskaita valsts pamatbudžeta ieņēmumos dividenžu maksājumu 2026. gadā (par 2025. pārskata gadu) </w:t>
      </w:r>
      <w:r w:rsidRPr="001D0F04">
        <w:rPr>
          <w:rFonts w:ascii="Times New Roman" w:hAnsi="Times New Roman" w:cs="Times New Roman"/>
          <w:b/>
          <w:bCs/>
          <w:i/>
          <w:iCs/>
          <w:sz w:val="24"/>
          <w:szCs w:val="24"/>
        </w:rPr>
        <w:t>100 procentu apmērā</w:t>
      </w:r>
      <w:r w:rsidRPr="001D0F04">
        <w:rPr>
          <w:rFonts w:ascii="Times New Roman" w:hAnsi="Times New Roman" w:cs="Times New Roman"/>
          <w:i/>
          <w:iCs/>
          <w:sz w:val="24"/>
          <w:szCs w:val="24"/>
        </w:rPr>
        <w:t xml:space="preserve"> no pārskata gada peļņas, bet ne mazāk kā  </w:t>
      </w:r>
      <w:r w:rsidRPr="001D0F04">
        <w:rPr>
          <w:rFonts w:ascii="Times New Roman" w:hAnsi="Times New Roman" w:cs="Times New Roman"/>
          <w:i/>
          <w:iCs/>
          <w:color w:val="000000"/>
          <w:sz w:val="24"/>
          <w:szCs w:val="24"/>
          <w:lang w:eastAsia="lv-LV"/>
        </w:rPr>
        <w:t>9 357 760</w:t>
      </w:r>
      <w:r w:rsidRPr="001D0F04">
        <w:rPr>
          <w:rFonts w:ascii="Times New Roman" w:hAnsi="Times New Roman" w:cs="Times New Roman"/>
          <w:i/>
          <w:iCs/>
          <w:sz w:val="24"/>
          <w:szCs w:val="24"/>
        </w:rPr>
        <w:t xml:space="preserve"> euro, 2027. gadā (par 2026. pārskata gadu) </w:t>
      </w:r>
      <w:r w:rsidRPr="001D0F04">
        <w:rPr>
          <w:rFonts w:ascii="Times New Roman" w:hAnsi="Times New Roman" w:cs="Times New Roman"/>
          <w:b/>
          <w:bCs/>
          <w:i/>
          <w:iCs/>
          <w:sz w:val="24"/>
          <w:szCs w:val="24"/>
        </w:rPr>
        <w:t>100 procentu</w:t>
      </w:r>
      <w:r w:rsidRPr="001D0F04">
        <w:rPr>
          <w:rFonts w:ascii="Times New Roman" w:hAnsi="Times New Roman" w:cs="Times New Roman"/>
          <w:i/>
          <w:iCs/>
          <w:sz w:val="24"/>
          <w:szCs w:val="24"/>
        </w:rPr>
        <w:t xml:space="preserve"> apmērā no pārskata gada peļņas, bet ne mazāk kā </w:t>
      </w:r>
      <w:r w:rsidRPr="001D0F04">
        <w:rPr>
          <w:rFonts w:ascii="Times New Roman" w:hAnsi="Times New Roman" w:cs="Times New Roman"/>
          <w:i/>
          <w:iCs/>
          <w:color w:val="000000"/>
          <w:sz w:val="24"/>
          <w:szCs w:val="24"/>
          <w:lang w:eastAsia="lv-LV"/>
        </w:rPr>
        <w:t xml:space="preserve">10 257 400 </w:t>
      </w:r>
      <w:r w:rsidRPr="001D0F04">
        <w:rPr>
          <w:rFonts w:ascii="Times New Roman" w:hAnsi="Times New Roman" w:cs="Times New Roman"/>
          <w:i/>
          <w:iCs/>
          <w:sz w:val="24"/>
          <w:szCs w:val="24"/>
        </w:rPr>
        <w:t xml:space="preserve">euro un 2028. gadā (par 2027. pārskata gadu) </w:t>
      </w:r>
      <w:r w:rsidRPr="001D0F04">
        <w:rPr>
          <w:rFonts w:ascii="Times New Roman" w:hAnsi="Times New Roman" w:cs="Times New Roman"/>
          <w:b/>
          <w:bCs/>
          <w:i/>
          <w:iCs/>
          <w:sz w:val="24"/>
          <w:szCs w:val="24"/>
        </w:rPr>
        <w:t>100 procentu</w:t>
      </w:r>
      <w:r w:rsidRPr="001D0F04">
        <w:rPr>
          <w:rFonts w:ascii="Times New Roman" w:hAnsi="Times New Roman" w:cs="Times New Roman"/>
          <w:i/>
          <w:iCs/>
          <w:sz w:val="24"/>
          <w:szCs w:val="24"/>
        </w:rPr>
        <w:t xml:space="preserve"> apmērā no pārskata gada peļņas, bet ne mazāk kā </w:t>
      </w:r>
      <w:r w:rsidRPr="001D0F04">
        <w:rPr>
          <w:rFonts w:ascii="Times New Roman" w:hAnsi="Times New Roman" w:cs="Times New Roman"/>
          <w:i/>
          <w:iCs/>
          <w:color w:val="000000"/>
          <w:sz w:val="24"/>
          <w:szCs w:val="24"/>
          <w:lang w:eastAsia="lv-LV"/>
        </w:rPr>
        <w:t xml:space="preserve">10 516 000 </w:t>
      </w:r>
      <w:r w:rsidRPr="001D0F04">
        <w:rPr>
          <w:rFonts w:ascii="Times New Roman" w:hAnsi="Times New Roman" w:cs="Times New Roman"/>
          <w:i/>
          <w:iCs/>
          <w:sz w:val="24"/>
          <w:szCs w:val="24"/>
        </w:rPr>
        <w:t>euro, uzņēmumu ienākuma nodokli aprēķinot un nomaksājot uzņēmumu ienākuma nodokli regulējošos normatīvajos aktos noteiktajā kārtībā</w:t>
      </w:r>
      <w:bookmarkEnd w:id="1"/>
      <w:r w:rsidRPr="001D0F04">
        <w:rPr>
          <w:rFonts w:ascii="Times New Roman" w:hAnsi="Times New Roman" w:cs="Times New Roman"/>
          <w:i/>
          <w:iCs/>
          <w:sz w:val="24"/>
          <w:szCs w:val="24"/>
        </w:rPr>
        <w:t>.</w:t>
      </w:r>
    </w:p>
    <w:p w14:paraId="40B0BF7C" w14:textId="77777777" w:rsidR="00DB3A1A" w:rsidRPr="001D0F04" w:rsidRDefault="00DB3A1A" w:rsidP="001D0F04">
      <w:pPr>
        <w:numPr>
          <w:ilvl w:val="0"/>
          <w:numId w:val="10"/>
        </w:numPr>
        <w:spacing w:after="0" w:line="240" w:lineRule="auto"/>
        <w:jc w:val="both"/>
        <w:rPr>
          <w:rFonts w:ascii="Times New Roman" w:hAnsi="Times New Roman" w:cs="Times New Roman"/>
          <w:i/>
          <w:iCs/>
          <w:sz w:val="24"/>
          <w:szCs w:val="24"/>
        </w:rPr>
      </w:pPr>
      <w:r w:rsidRPr="001D0F04">
        <w:rPr>
          <w:rFonts w:ascii="Times New Roman" w:hAnsi="Times New Roman" w:cs="Times New Roman"/>
          <w:i/>
          <w:iCs/>
          <w:sz w:val="24"/>
          <w:szCs w:val="24"/>
        </w:rPr>
        <w:t xml:space="preserve">Noteikt, ka </w:t>
      </w:r>
      <w:bookmarkStart w:id="2" w:name="_Hlk209081726"/>
      <w:r w:rsidRPr="001D0F04">
        <w:rPr>
          <w:rFonts w:ascii="Times New Roman" w:hAnsi="Times New Roman" w:cs="Times New Roman"/>
          <w:i/>
          <w:iCs/>
          <w:sz w:val="24"/>
          <w:szCs w:val="24"/>
        </w:rPr>
        <w:t xml:space="preserve">akciju sabiedrība </w:t>
      </w:r>
      <w:r w:rsidRPr="001D0F04">
        <w:rPr>
          <w:rFonts w:ascii="Times New Roman" w:hAnsi="Times New Roman" w:cs="Times New Roman"/>
          <w:b/>
          <w:bCs/>
          <w:i/>
          <w:iCs/>
          <w:sz w:val="24"/>
          <w:szCs w:val="24"/>
        </w:rPr>
        <w:t xml:space="preserve">"Latvijas valsts meži" </w:t>
      </w:r>
      <w:r w:rsidRPr="001D0F04">
        <w:rPr>
          <w:rFonts w:ascii="Times New Roman" w:hAnsi="Times New Roman" w:cs="Times New Roman"/>
          <w:i/>
          <w:iCs/>
          <w:sz w:val="24"/>
          <w:szCs w:val="24"/>
        </w:rPr>
        <w:t>ieskaita valsts pamatbudžeta ieņēmumos dividenžu maksājumu 2026. gadā (par 2025. pārskata gadu) ne mazāk kā  </w:t>
      </w:r>
      <w:r w:rsidRPr="001D0F04">
        <w:rPr>
          <w:rFonts w:ascii="Times New Roman" w:hAnsi="Times New Roman" w:cs="Times New Roman"/>
          <w:i/>
          <w:iCs/>
          <w:color w:val="000000"/>
          <w:sz w:val="24"/>
          <w:szCs w:val="24"/>
          <w:lang w:eastAsia="lv-LV"/>
        </w:rPr>
        <w:t xml:space="preserve">143 895 556 </w:t>
      </w:r>
      <w:r w:rsidRPr="001D0F04">
        <w:rPr>
          <w:rFonts w:ascii="Times New Roman" w:hAnsi="Times New Roman" w:cs="Times New Roman"/>
          <w:i/>
          <w:iCs/>
          <w:sz w:val="24"/>
          <w:szCs w:val="24"/>
        </w:rPr>
        <w:t xml:space="preserve">euro, 2027. gadā (par 2026. pārskata gadu) ne mazāk kā </w:t>
      </w:r>
      <w:r w:rsidRPr="001D0F04">
        <w:rPr>
          <w:rFonts w:ascii="Times New Roman" w:hAnsi="Times New Roman" w:cs="Times New Roman"/>
          <w:i/>
          <w:iCs/>
          <w:color w:val="000000"/>
          <w:sz w:val="24"/>
          <w:szCs w:val="24"/>
          <w:lang w:eastAsia="lv-LV"/>
        </w:rPr>
        <w:t xml:space="preserve">123 335 754 </w:t>
      </w:r>
      <w:r w:rsidRPr="001D0F04">
        <w:rPr>
          <w:rFonts w:ascii="Times New Roman" w:hAnsi="Times New Roman" w:cs="Times New Roman"/>
          <w:i/>
          <w:iCs/>
          <w:sz w:val="24"/>
          <w:szCs w:val="24"/>
        </w:rPr>
        <w:t xml:space="preserve">euro un 2028. gadā (par 2027. pārskata gadu) ne mazāk kā </w:t>
      </w:r>
      <w:r w:rsidRPr="001D0F04">
        <w:rPr>
          <w:rFonts w:ascii="Times New Roman" w:hAnsi="Times New Roman" w:cs="Times New Roman"/>
          <w:i/>
          <w:iCs/>
          <w:color w:val="000000"/>
          <w:sz w:val="24"/>
          <w:szCs w:val="24"/>
          <w:lang w:eastAsia="lv-LV"/>
        </w:rPr>
        <w:t xml:space="preserve">123 335 754 </w:t>
      </w:r>
      <w:r w:rsidRPr="001D0F04">
        <w:rPr>
          <w:rFonts w:ascii="Times New Roman" w:hAnsi="Times New Roman" w:cs="Times New Roman"/>
          <w:i/>
          <w:iCs/>
          <w:sz w:val="24"/>
          <w:szCs w:val="24"/>
        </w:rPr>
        <w:t xml:space="preserve">euro, uzņēmumu </w:t>
      </w:r>
      <w:r w:rsidRPr="001D0F04">
        <w:rPr>
          <w:rFonts w:ascii="Times New Roman" w:hAnsi="Times New Roman" w:cs="Times New Roman"/>
          <w:i/>
          <w:iCs/>
          <w:sz w:val="24"/>
          <w:szCs w:val="24"/>
        </w:rPr>
        <w:lastRenderedPageBreak/>
        <w:t>ienākuma nodokli aprēķinot un nomaksājot uzņēmumu ienākuma nodokli regulējošos normatīvajos aktos noteiktajā kārtībā</w:t>
      </w:r>
      <w:bookmarkEnd w:id="2"/>
      <w:r w:rsidRPr="001D0F04">
        <w:rPr>
          <w:rFonts w:ascii="Times New Roman" w:hAnsi="Times New Roman" w:cs="Times New Roman"/>
          <w:i/>
          <w:iCs/>
          <w:sz w:val="24"/>
          <w:szCs w:val="24"/>
        </w:rPr>
        <w:t>.</w:t>
      </w:r>
    </w:p>
    <w:p w14:paraId="57AEBF87" w14:textId="77777777" w:rsidR="00DB3A1A" w:rsidRPr="001D0F04" w:rsidRDefault="00DB3A1A" w:rsidP="001D0F04">
      <w:pPr>
        <w:numPr>
          <w:ilvl w:val="0"/>
          <w:numId w:val="10"/>
        </w:numPr>
        <w:spacing w:after="0" w:line="240" w:lineRule="auto"/>
        <w:jc w:val="both"/>
        <w:rPr>
          <w:rFonts w:ascii="Times New Roman" w:hAnsi="Times New Roman" w:cs="Times New Roman"/>
          <w:i/>
          <w:iCs/>
          <w:sz w:val="24"/>
          <w:szCs w:val="24"/>
        </w:rPr>
      </w:pPr>
      <w:r w:rsidRPr="001D0F04">
        <w:rPr>
          <w:rFonts w:ascii="Times New Roman" w:hAnsi="Times New Roman" w:cs="Times New Roman"/>
          <w:i/>
          <w:iCs/>
          <w:sz w:val="24"/>
          <w:szCs w:val="24"/>
        </w:rPr>
        <w:t xml:space="preserve">Noteikt, ka </w:t>
      </w:r>
      <w:bookmarkStart w:id="3" w:name="_Hlk209081760"/>
      <w:r w:rsidRPr="001D0F04">
        <w:rPr>
          <w:rFonts w:ascii="Times New Roman" w:hAnsi="Times New Roman" w:cs="Times New Roman"/>
          <w:i/>
          <w:iCs/>
          <w:sz w:val="24"/>
          <w:szCs w:val="24"/>
        </w:rPr>
        <w:t xml:space="preserve">akciju sabiedrība </w:t>
      </w:r>
      <w:r w:rsidRPr="001D0F04">
        <w:rPr>
          <w:rFonts w:ascii="Times New Roman" w:hAnsi="Times New Roman" w:cs="Times New Roman"/>
          <w:b/>
          <w:bCs/>
          <w:i/>
          <w:iCs/>
          <w:sz w:val="24"/>
          <w:szCs w:val="24"/>
        </w:rPr>
        <w:t xml:space="preserve">"Latvenergo" </w:t>
      </w:r>
      <w:r w:rsidRPr="001D0F04">
        <w:rPr>
          <w:rFonts w:ascii="Times New Roman" w:hAnsi="Times New Roman" w:cs="Times New Roman"/>
          <w:i/>
          <w:iCs/>
          <w:sz w:val="24"/>
          <w:szCs w:val="24"/>
        </w:rPr>
        <w:t>ieskaita valsts pamatbudžeta ieņēmumos dividenžu maksājumu 2026. gadā (par 2025. pārskata gadu) ne mazāk kā </w:t>
      </w:r>
      <w:r w:rsidRPr="001D0F04">
        <w:rPr>
          <w:rFonts w:ascii="Times New Roman" w:hAnsi="Times New Roman" w:cs="Times New Roman"/>
          <w:i/>
          <w:iCs/>
          <w:color w:val="000000"/>
          <w:sz w:val="24"/>
          <w:szCs w:val="24"/>
          <w:lang w:eastAsia="lv-LV"/>
        </w:rPr>
        <w:t xml:space="preserve">141 000 000 </w:t>
      </w:r>
      <w:r w:rsidRPr="001D0F04">
        <w:rPr>
          <w:rFonts w:ascii="Times New Roman" w:hAnsi="Times New Roman" w:cs="Times New Roman"/>
          <w:i/>
          <w:iCs/>
          <w:sz w:val="24"/>
          <w:szCs w:val="24"/>
        </w:rPr>
        <w:t xml:space="preserve">euro, 2027. gadā (par 2026. pārskata gadu) ne mazāk kā </w:t>
      </w:r>
      <w:r w:rsidRPr="001D0F04">
        <w:rPr>
          <w:rFonts w:ascii="Times New Roman" w:hAnsi="Times New Roman" w:cs="Times New Roman"/>
          <w:i/>
          <w:iCs/>
          <w:color w:val="000000"/>
          <w:sz w:val="24"/>
          <w:szCs w:val="24"/>
          <w:lang w:eastAsia="lv-LV"/>
        </w:rPr>
        <w:t xml:space="preserve">144 000 000 </w:t>
      </w:r>
      <w:r w:rsidRPr="001D0F04">
        <w:rPr>
          <w:rFonts w:ascii="Times New Roman" w:hAnsi="Times New Roman" w:cs="Times New Roman"/>
          <w:i/>
          <w:iCs/>
          <w:sz w:val="24"/>
          <w:szCs w:val="24"/>
        </w:rPr>
        <w:t xml:space="preserve">euro un 2028. gadā (par 2027. pārskata gadu) ne mazāk kā </w:t>
      </w:r>
      <w:r w:rsidRPr="001D0F04">
        <w:rPr>
          <w:rFonts w:ascii="Times New Roman" w:hAnsi="Times New Roman" w:cs="Times New Roman"/>
          <w:i/>
          <w:iCs/>
          <w:color w:val="000000"/>
          <w:sz w:val="24"/>
          <w:szCs w:val="24"/>
          <w:lang w:eastAsia="lv-LV"/>
        </w:rPr>
        <w:t xml:space="preserve">122 000 000 </w:t>
      </w:r>
      <w:r w:rsidRPr="001D0F04">
        <w:rPr>
          <w:rFonts w:ascii="Times New Roman" w:hAnsi="Times New Roman" w:cs="Times New Roman"/>
          <w:i/>
          <w:iCs/>
          <w:sz w:val="24"/>
          <w:szCs w:val="24"/>
        </w:rPr>
        <w:t>euro, uzņēmumu ienākuma nodokli aprēķinot un nomaksājot uzņēmumu ienākuma nodokli regulējošos normatīvajos aktos noteiktajā kārtībā</w:t>
      </w:r>
      <w:bookmarkEnd w:id="3"/>
      <w:r w:rsidRPr="001D0F04">
        <w:rPr>
          <w:rFonts w:ascii="Times New Roman" w:hAnsi="Times New Roman" w:cs="Times New Roman"/>
          <w:i/>
          <w:iCs/>
          <w:sz w:val="24"/>
          <w:szCs w:val="24"/>
        </w:rPr>
        <w:t>.</w:t>
      </w:r>
    </w:p>
    <w:p w14:paraId="65F682D2" w14:textId="77777777" w:rsidR="00DB3A1A" w:rsidRPr="001D0F04" w:rsidRDefault="00DB3A1A" w:rsidP="001D0F04">
      <w:pPr>
        <w:numPr>
          <w:ilvl w:val="0"/>
          <w:numId w:val="10"/>
        </w:numPr>
        <w:spacing w:after="0" w:line="240" w:lineRule="auto"/>
        <w:jc w:val="both"/>
        <w:rPr>
          <w:rFonts w:ascii="Times New Roman" w:hAnsi="Times New Roman" w:cs="Times New Roman"/>
          <w:i/>
          <w:iCs/>
          <w:sz w:val="24"/>
          <w:szCs w:val="24"/>
        </w:rPr>
      </w:pPr>
      <w:r w:rsidRPr="001D0F04">
        <w:rPr>
          <w:rFonts w:ascii="Times New Roman" w:hAnsi="Times New Roman" w:cs="Times New Roman"/>
          <w:i/>
          <w:iCs/>
          <w:sz w:val="24"/>
          <w:szCs w:val="24"/>
        </w:rPr>
        <w:t xml:space="preserve">Noteikt, ka </w:t>
      </w:r>
      <w:bookmarkStart w:id="4" w:name="_Hlk209081789"/>
      <w:r w:rsidRPr="001D0F04">
        <w:rPr>
          <w:rFonts w:ascii="Times New Roman" w:hAnsi="Times New Roman" w:cs="Times New Roman"/>
          <w:i/>
          <w:iCs/>
          <w:sz w:val="24"/>
          <w:szCs w:val="24"/>
        </w:rPr>
        <w:t xml:space="preserve">akciju sabiedrība </w:t>
      </w:r>
      <w:r w:rsidRPr="001D0F04">
        <w:rPr>
          <w:rFonts w:ascii="Times New Roman" w:hAnsi="Times New Roman" w:cs="Times New Roman"/>
          <w:b/>
          <w:bCs/>
          <w:i/>
          <w:iCs/>
          <w:sz w:val="24"/>
          <w:szCs w:val="24"/>
        </w:rPr>
        <w:t xml:space="preserve">"Augstsprieguma tīkls" </w:t>
      </w:r>
      <w:r w:rsidRPr="001D0F04">
        <w:rPr>
          <w:rFonts w:ascii="Times New Roman" w:hAnsi="Times New Roman" w:cs="Times New Roman"/>
          <w:i/>
          <w:iCs/>
          <w:sz w:val="24"/>
          <w:szCs w:val="24"/>
        </w:rPr>
        <w:t xml:space="preserve">ieskaita valsts pamatbudžeta ieņēmumos dividenžu maksājumu 2026. gadā (par 2025. pārskata gadu) </w:t>
      </w:r>
      <w:r w:rsidRPr="001D0F04">
        <w:rPr>
          <w:rFonts w:ascii="Times New Roman" w:hAnsi="Times New Roman" w:cs="Times New Roman"/>
          <w:b/>
          <w:bCs/>
          <w:i/>
          <w:iCs/>
          <w:sz w:val="24"/>
          <w:szCs w:val="24"/>
        </w:rPr>
        <w:t xml:space="preserve">70 procentu </w:t>
      </w:r>
      <w:r w:rsidRPr="001D0F04">
        <w:rPr>
          <w:rFonts w:ascii="Times New Roman" w:hAnsi="Times New Roman" w:cs="Times New Roman"/>
          <w:i/>
          <w:iCs/>
          <w:sz w:val="24"/>
          <w:szCs w:val="24"/>
        </w:rPr>
        <w:t xml:space="preserve">apmērā no pārskata gada peļņas, bet ne mazāk kā </w:t>
      </w:r>
      <w:r w:rsidRPr="001D0F04">
        <w:rPr>
          <w:rFonts w:ascii="Times New Roman" w:hAnsi="Times New Roman" w:cs="Times New Roman"/>
          <w:i/>
          <w:iCs/>
          <w:color w:val="000000"/>
          <w:sz w:val="24"/>
          <w:szCs w:val="24"/>
          <w:lang w:eastAsia="lv-LV"/>
        </w:rPr>
        <w:t xml:space="preserve">5 716 200 </w:t>
      </w:r>
      <w:r w:rsidRPr="001D0F04">
        <w:rPr>
          <w:rFonts w:ascii="Times New Roman" w:hAnsi="Times New Roman" w:cs="Times New Roman"/>
          <w:i/>
          <w:iCs/>
          <w:sz w:val="24"/>
          <w:szCs w:val="24"/>
        </w:rPr>
        <w:t xml:space="preserve">euro , 2027. gadā (par 2026. pārskata gadu) </w:t>
      </w:r>
      <w:r w:rsidRPr="001D0F04">
        <w:rPr>
          <w:rFonts w:ascii="Times New Roman" w:hAnsi="Times New Roman" w:cs="Times New Roman"/>
          <w:b/>
          <w:bCs/>
          <w:i/>
          <w:iCs/>
          <w:sz w:val="24"/>
          <w:szCs w:val="24"/>
        </w:rPr>
        <w:t>90 procentu</w:t>
      </w:r>
      <w:r w:rsidRPr="001D0F04">
        <w:rPr>
          <w:rFonts w:ascii="Times New Roman" w:hAnsi="Times New Roman" w:cs="Times New Roman"/>
          <w:i/>
          <w:iCs/>
          <w:sz w:val="24"/>
          <w:szCs w:val="24"/>
        </w:rPr>
        <w:t xml:space="preserve"> apmērā no pārskata gada peļņas, bet ne mazāk kā </w:t>
      </w:r>
      <w:r w:rsidRPr="001D0F04">
        <w:rPr>
          <w:rFonts w:ascii="Times New Roman" w:hAnsi="Times New Roman" w:cs="Times New Roman"/>
          <w:i/>
          <w:iCs/>
          <w:color w:val="000000"/>
          <w:sz w:val="24"/>
          <w:szCs w:val="24"/>
          <w:lang w:eastAsia="lv-LV"/>
        </w:rPr>
        <w:t xml:space="preserve">21 937 760 </w:t>
      </w:r>
      <w:r w:rsidRPr="001D0F04">
        <w:rPr>
          <w:rFonts w:ascii="Times New Roman" w:hAnsi="Times New Roman" w:cs="Times New Roman"/>
          <w:i/>
          <w:iCs/>
          <w:sz w:val="24"/>
          <w:szCs w:val="24"/>
        </w:rPr>
        <w:t xml:space="preserve">euro un 2028. gadā (par 2027. pārskata gadu) </w:t>
      </w:r>
      <w:r w:rsidRPr="001D0F04">
        <w:rPr>
          <w:rFonts w:ascii="Times New Roman" w:hAnsi="Times New Roman" w:cs="Times New Roman"/>
          <w:b/>
          <w:bCs/>
          <w:i/>
          <w:iCs/>
          <w:sz w:val="24"/>
          <w:szCs w:val="24"/>
        </w:rPr>
        <w:t>90 procentu</w:t>
      </w:r>
      <w:r w:rsidRPr="001D0F04">
        <w:rPr>
          <w:rFonts w:ascii="Times New Roman" w:hAnsi="Times New Roman" w:cs="Times New Roman"/>
          <w:i/>
          <w:iCs/>
          <w:sz w:val="24"/>
          <w:szCs w:val="24"/>
        </w:rPr>
        <w:t xml:space="preserve"> apmērā no pārskata gada peļņas, bet ne mazāk kā </w:t>
      </w:r>
      <w:r w:rsidRPr="001D0F04">
        <w:rPr>
          <w:rFonts w:ascii="Times New Roman" w:hAnsi="Times New Roman" w:cs="Times New Roman"/>
          <w:i/>
          <w:iCs/>
          <w:color w:val="000000"/>
          <w:sz w:val="24"/>
          <w:szCs w:val="24"/>
          <w:lang w:eastAsia="lv-LV"/>
        </w:rPr>
        <w:t xml:space="preserve">23 903 904 </w:t>
      </w:r>
      <w:r w:rsidRPr="001D0F04">
        <w:rPr>
          <w:rFonts w:ascii="Times New Roman" w:hAnsi="Times New Roman" w:cs="Times New Roman"/>
          <w:i/>
          <w:iCs/>
          <w:sz w:val="24"/>
          <w:szCs w:val="24"/>
        </w:rPr>
        <w:t>euro, uzņēmumu ienākuma nodokli aprēķinot un nomaksājot uzņēmumu ienākuma nodokli regulējošos normatīvajos aktos noteiktajā kārtībā</w:t>
      </w:r>
      <w:bookmarkEnd w:id="4"/>
      <w:r w:rsidRPr="001D0F04">
        <w:rPr>
          <w:rFonts w:ascii="Times New Roman" w:hAnsi="Times New Roman" w:cs="Times New Roman"/>
          <w:i/>
          <w:iCs/>
          <w:sz w:val="24"/>
          <w:szCs w:val="24"/>
        </w:rPr>
        <w:t>.</w:t>
      </w:r>
    </w:p>
    <w:p w14:paraId="3D0597E4" w14:textId="77777777" w:rsidR="00DB3A1A" w:rsidRPr="001D0F04" w:rsidRDefault="00DB3A1A" w:rsidP="001D0F04">
      <w:pPr>
        <w:numPr>
          <w:ilvl w:val="0"/>
          <w:numId w:val="10"/>
        </w:numPr>
        <w:spacing w:after="0" w:line="240" w:lineRule="auto"/>
        <w:jc w:val="both"/>
        <w:rPr>
          <w:rFonts w:ascii="Times New Roman" w:hAnsi="Times New Roman" w:cs="Times New Roman"/>
          <w:i/>
          <w:iCs/>
          <w:sz w:val="24"/>
          <w:szCs w:val="24"/>
        </w:rPr>
      </w:pPr>
      <w:r w:rsidRPr="001D0F04">
        <w:rPr>
          <w:rFonts w:ascii="Times New Roman" w:hAnsi="Times New Roman" w:cs="Times New Roman"/>
          <w:i/>
          <w:iCs/>
          <w:sz w:val="24"/>
          <w:szCs w:val="24"/>
        </w:rPr>
        <w:t xml:space="preserve">Noteikt, ka </w:t>
      </w:r>
      <w:bookmarkStart w:id="5" w:name="_Hlk209081810"/>
      <w:r w:rsidRPr="001D0F04">
        <w:rPr>
          <w:rFonts w:ascii="Times New Roman" w:hAnsi="Times New Roman" w:cs="Times New Roman"/>
          <w:i/>
          <w:iCs/>
          <w:sz w:val="24"/>
          <w:szCs w:val="24"/>
        </w:rPr>
        <w:t xml:space="preserve">valsts akciju sabiedrība </w:t>
      </w:r>
      <w:r w:rsidRPr="001D0F04">
        <w:rPr>
          <w:rFonts w:ascii="Times New Roman" w:hAnsi="Times New Roman" w:cs="Times New Roman"/>
          <w:b/>
          <w:bCs/>
          <w:i/>
          <w:iCs/>
          <w:sz w:val="24"/>
          <w:szCs w:val="24"/>
        </w:rPr>
        <w:t xml:space="preserve">"Latvijas valsts radio un televīzijas centrs" </w:t>
      </w:r>
      <w:r w:rsidRPr="001D0F04">
        <w:rPr>
          <w:rFonts w:ascii="Times New Roman" w:hAnsi="Times New Roman" w:cs="Times New Roman"/>
          <w:i/>
          <w:iCs/>
          <w:sz w:val="24"/>
          <w:szCs w:val="24"/>
        </w:rPr>
        <w:t xml:space="preserve">ieskaita valsts pamatbudžeta ieņēmumos dividenžu maksājumu 2026. gadā (par 2025. pārskata gadu) </w:t>
      </w:r>
      <w:r w:rsidRPr="001D0F04">
        <w:rPr>
          <w:rFonts w:ascii="Times New Roman" w:hAnsi="Times New Roman" w:cs="Times New Roman"/>
          <w:b/>
          <w:bCs/>
          <w:i/>
          <w:iCs/>
          <w:sz w:val="24"/>
          <w:szCs w:val="24"/>
        </w:rPr>
        <w:t xml:space="preserve">90 procentu </w:t>
      </w:r>
      <w:r w:rsidRPr="001D0F04">
        <w:rPr>
          <w:rFonts w:ascii="Times New Roman" w:hAnsi="Times New Roman" w:cs="Times New Roman"/>
          <w:i/>
          <w:iCs/>
          <w:sz w:val="24"/>
          <w:szCs w:val="24"/>
        </w:rPr>
        <w:t>apmērā no pārskata gada peļņas, bet ne mazāk kā  </w:t>
      </w:r>
      <w:r w:rsidRPr="001D0F04">
        <w:rPr>
          <w:rFonts w:ascii="Times New Roman" w:hAnsi="Times New Roman" w:cs="Times New Roman"/>
          <w:i/>
          <w:iCs/>
          <w:color w:val="000000"/>
          <w:sz w:val="24"/>
          <w:szCs w:val="24"/>
          <w:lang w:eastAsia="lv-LV"/>
        </w:rPr>
        <w:t xml:space="preserve">6 261 098 </w:t>
      </w:r>
      <w:r w:rsidRPr="001D0F04">
        <w:rPr>
          <w:rFonts w:ascii="Times New Roman" w:hAnsi="Times New Roman" w:cs="Times New Roman"/>
          <w:i/>
          <w:iCs/>
          <w:sz w:val="24"/>
          <w:szCs w:val="24"/>
        </w:rPr>
        <w:t xml:space="preserve">euro, 2027. gadā (par 2026. pārskata gadu) </w:t>
      </w:r>
      <w:r w:rsidRPr="001D0F04">
        <w:rPr>
          <w:rFonts w:ascii="Times New Roman" w:hAnsi="Times New Roman" w:cs="Times New Roman"/>
          <w:b/>
          <w:bCs/>
          <w:i/>
          <w:iCs/>
          <w:sz w:val="24"/>
          <w:szCs w:val="24"/>
        </w:rPr>
        <w:t>90 procentu</w:t>
      </w:r>
      <w:r w:rsidRPr="001D0F04">
        <w:rPr>
          <w:rFonts w:ascii="Times New Roman" w:hAnsi="Times New Roman" w:cs="Times New Roman"/>
          <w:i/>
          <w:iCs/>
          <w:sz w:val="24"/>
          <w:szCs w:val="24"/>
        </w:rPr>
        <w:t xml:space="preserve"> apmērā no pārskata gada peļņas, bet ne mazāk kā </w:t>
      </w:r>
      <w:r w:rsidRPr="001D0F04">
        <w:rPr>
          <w:rFonts w:ascii="Times New Roman" w:hAnsi="Times New Roman" w:cs="Times New Roman"/>
          <w:i/>
          <w:iCs/>
          <w:color w:val="000000"/>
          <w:sz w:val="24"/>
          <w:szCs w:val="24"/>
          <w:lang w:eastAsia="lv-LV"/>
        </w:rPr>
        <w:t xml:space="preserve">6 315 476 </w:t>
      </w:r>
      <w:r w:rsidRPr="001D0F04">
        <w:rPr>
          <w:rFonts w:ascii="Times New Roman" w:hAnsi="Times New Roman" w:cs="Times New Roman"/>
          <w:i/>
          <w:iCs/>
          <w:sz w:val="24"/>
          <w:szCs w:val="24"/>
        </w:rPr>
        <w:t xml:space="preserve">euro un 2028. gadā (par 2027. pārskata gadu) </w:t>
      </w:r>
      <w:r w:rsidRPr="001D0F04">
        <w:rPr>
          <w:rFonts w:ascii="Times New Roman" w:hAnsi="Times New Roman" w:cs="Times New Roman"/>
          <w:b/>
          <w:bCs/>
          <w:i/>
          <w:iCs/>
          <w:sz w:val="24"/>
          <w:szCs w:val="24"/>
        </w:rPr>
        <w:t>90 procentu</w:t>
      </w:r>
      <w:r w:rsidRPr="001D0F04">
        <w:rPr>
          <w:rFonts w:ascii="Times New Roman" w:hAnsi="Times New Roman" w:cs="Times New Roman"/>
          <w:i/>
          <w:iCs/>
          <w:sz w:val="24"/>
          <w:szCs w:val="24"/>
        </w:rPr>
        <w:t xml:space="preserve"> apmērā no pārskata gada peļņas, bet ne mazāk kā </w:t>
      </w:r>
      <w:r w:rsidRPr="001D0F04">
        <w:rPr>
          <w:rFonts w:ascii="Times New Roman" w:hAnsi="Times New Roman" w:cs="Times New Roman"/>
          <w:i/>
          <w:iCs/>
          <w:color w:val="000000"/>
          <w:sz w:val="24"/>
          <w:szCs w:val="24"/>
          <w:lang w:eastAsia="lv-LV"/>
        </w:rPr>
        <w:t xml:space="preserve">6 370 357 </w:t>
      </w:r>
      <w:r w:rsidRPr="001D0F04">
        <w:rPr>
          <w:rFonts w:ascii="Times New Roman" w:hAnsi="Times New Roman" w:cs="Times New Roman"/>
          <w:i/>
          <w:iCs/>
          <w:sz w:val="24"/>
          <w:szCs w:val="24"/>
        </w:rPr>
        <w:t>euro, uzņēmumu ienākuma nodokli aprēķinot un nomaksājot uzņēmumu ienākuma nodokli regulējošos normatīvajos aktos noteiktajā kārtībā</w:t>
      </w:r>
      <w:bookmarkEnd w:id="5"/>
      <w:r w:rsidRPr="001D0F04">
        <w:rPr>
          <w:rFonts w:ascii="Times New Roman" w:hAnsi="Times New Roman" w:cs="Times New Roman"/>
          <w:i/>
          <w:iCs/>
          <w:sz w:val="24"/>
          <w:szCs w:val="24"/>
        </w:rPr>
        <w:t>.</w:t>
      </w:r>
    </w:p>
    <w:p w14:paraId="1AA0EB5C" w14:textId="77777777" w:rsidR="00DB3A1A" w:rsidRPr="00DB3A1A" w:rsidRDefault="00DB3A1A" w:rsidP="00DB3A1A">
      <w:pPr>
        <w:contextualSpacing/>
        <w:rPr>
          <w:rFonts w:ascii="Times New Roman" w:hAnsi="Times New Roman" w:cs="Times New Roman"/>
          <w:i/>
          <w:iCs/>
        </w:rPr>
      </w:pPr>
    </w:p>
    <w:p w14:paraId="2A71E09F" w14:textId="56C24B3F" w:rsidR="00DB3A1A" w:rsidRPr="00A03AB5" w:rsidRDefault="00D47AD0" w:rsidP="00A03AB5">
      <w:pPr>
        <w:spacing w:after="12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w:t>
      </w:r>
      <w:r w:rsidR="00DB3A1A" w:rsidRPr="00A03AB5">
        <w:rPr>
          <w:rFonts w:ascii="Times New Roman" w:eastAsia="Calibri" w:hAnsi="Times New Roman" w:cs="Times New Roman"/>
          <w:sz w:val="20"/>
          <w:szCs w:val="20"/>
        </w:rPr>
        <w:t>. tab</w:t>
      </w:r>
      <w:r>
        <w:rPr>
          <w:rFonts w:ascii="Times New Roman" w:eastAsia="Calibri" w:hAnsi="Times New Roman" w:cs="Times New Roman"/>
          <w:sz w:val="20"/>
          <w:szCs w:val="20"/>
        </w:rPr>
        <w:t>ula</w:t>
      </w:r>
      <w:r w:rsidR="00DB3A1A" w:rsidRPr="00A03AB5">
        <w:rPr>
          <w:rFonts w:ascii="Times New Roman" w:eastAsia="Calibri" w:hAnsi="Times New Roman" w:cs="Times New Roman"/>
          <w:bCs/>
          <w:sz w:val="20"/>
          <w:szCs w:val="20"/>
        </w:rPr>
        <w:t>.</w:t>
      </w:r>
      <w:r w:rsidR="00DB3A1A" w:rsidRPr="00A03AB5">
        <w:rPr>
          <w:rFonts w:ascii="Times New Roman" w:eastAsia="Calibri" w:hAnsi="Times New Roman" w:cs="Times New Roman"/>
          <w:b/>
          <w:sz w:val="20"/>
          <w:szCs w:val="20"/>
        </w:rPr>
        <w:t xml:space="preserve"> Priekšlikuma indikatīva fiskālā ietekme</w:t>
      </w:r>
      <w:r w:rsidR="00DB3A1A" w:rsidRPr="00A03AB5">
        <w:rPr>
          <w:rFonts w:ascii="Times New Roman" w:eastAsia="Calibri" w:hAnsi="Times New Roman" w:cs="Times New Roman"/>
          <w:bCs/>
          <w:sz w:val="20"/>
          <w:szCs w:val="20"/>
        </w:rPr>
        <w:t>,</w:t>
      </w:r>
      <w:r w:rsidR="00DB3A1A" w:rsidRPr="00A03AB5">
        <w:rPr>
          <w:rFonts w:ascii="Times New Roman" w:eastAsia="Calibri" w:hAnsi="Times New Roman" w:cs="Times New Roman"/>
          <w:bCs/>
          <w:i/>
          <w:iCs/>
          <w:sz w:val="20"/>
          <w:szCs w:val="20"/>
        </w:rPr>
        <w:t> euro</w:t>
      </w:r>
    </w:p>
    <w:tbl>
      <w:tblPr>
        <w:tblStyle w:val="TableGrid1"/>
        <w:tblW w:w="9346" w:type="dxa"/>
        <w:tblInd w:w="5" w:type="dxa"/>
        <w:tblLook w:val="04A0" w:firstRow="1" w:lastRow="0" w:firstColumn="1" w:lastColumn="0" w:noHBand="0" w:noVBand="1"/>
      </w:tblPr>
      <w:tblGrid>
        <w:gridCol w:w="3676"/>
        <w:gridCol w:w="1843"/>
        <w:gridCol w:w="1842"/>
        <w:gridCol w:w="1985"/>
      </w:tblGrid>
      <w:tr w:rsidR="00A03AB5" w:rsidRPr="00A03AB5" w14:paraId="243B6B2E" w14:textId="77777777" w:rsidTr="00A03AB5">
        <w:tc>
          <w:tcPr>
            <w:tcW w:w="3676" w:type="dxa"/>
            <w:shd w:val="clear" w:color="auto" w:fill="FFFFFF"/>
          </w:tcPr>
          <w:p w14:paraId="6DC2F014" w14:textId="77777777" w:rsidR="00A03AB5" w:rsidRPr="00A03AB5" w:rsidRDefault="00A03AB5" w:rsidP="00A03AB5">
            <w:pPr>
              <w:pStyle w:val="ListParagraph"/>
              <w:spacing w:after="120"/>
              <w:ind w:left="0"/>
              <w:contextualSpacing w:val="0"/>
              <w:jc w:val="center"/>
              <w:rPr>
                <w:rFonts w:ascii="Times New Roman" w:hAnsi="Times New Roman"/>
                <w:b/>
                <w:bCs/>
                <w:sz w:val="20"/>
                <w:szCs w:val="20"/>
              </w:rPr>
            </w:pPr>
          </w:p>
        </w:tc>
        <w:tc>
          <w:tcPr>
            <w:tcW w:w="1843" w:type="dxa"/>
            <w:shd w:val="clear" w:color="auto" w:fill="FFFFFF"/>
            <w:vAlign w:val="bottom"/>
          </w:tcPr>
          <w:p w14:paraId="6A811192" w14:textId="77777777" w:rsidR="00A03AB5" w:rsidRPr="00A03AB5" w:rsidRDefault="00A03AB5" w:rsidP="00A03AB5">
            <w:pPr>
              <w:pStyle w:val="ListParagraph"/>
              <w:spacing w:after="120"/>
              <w:ind w:left="0"/>
              <w:contextualSpacing w:val="0"/>
              <w:jc w:val="center"/>
              <w:rPr>
                <w:rFonts w:ascii="Times New Roman" w:hAnsi="Times New Roman"/>
                <w:b/>
                <w:bCs/>
                <w:sz w:val="20"/>
                <w:szCs w:val="20"/>
              </w:rPr>
            </w:pPr>
            <w:r w:rsidRPr="00A03AB5">
              <w:rPr>
                <w:rFonts w:ascii="Times New Roman" w:hAnsi="Times New Roman"/>
                <w:b/>
                <w:bCs/>
                <w:sz w:val="20"/>
                <w:szCs w:val="20"/>
              </w:rPr>
              <w:t>2026</w:t>
            </w:r>
          </w:p>
        </w:tc>
        <w:tc>
          <w:tcPr>
            <w:tcW w:w="1842" w:type="dxa"/>
            <w:shd w:val="clear" w:color="auto" w:fill="FFFFFF"/>
            <w:vAlign w:val="bottom"/>
          </w:tcPr>
          <w:p w14:paraId="748BF3DD" w14:textId="77777777" w:rsidR="00A03AB5" w:rsidRPr="00A03AB5" w:rsidRDefault="00A03AB5" w:rsidP="00A03AB5">
            <w:pPr>
              <w:pStyle w:val="ListParagraph"/>
              <w:spacing w:after="120"/>
              <w:ind w:left="0"/>
              <w:contextualSpacing w:val="0"/>
              <w:jc w:val="center"/>
              <w:rPr>
                <w:rFonts w:ascii="Times New Roman" w:hAnsi="Times New Roman"/>
                <w:b/>
                <w:bCs/>
                <w:sz w:val="20"/>
                <w:szCs w:val="20"/>
              </w:rPr>
            </w:pPr>
            <w:r w:rsidRPr="00A03AB5">
              <w:rPr>
                <w:rFonts w:ascii="Times New Roman" w:hAnsi="Times New Roman"/>
                <w:b/>
                <w:bCs/>
                <w:sz w:val="20"/>
                <w:szCs w:val="20"/>
              </w:rPr>
              <w:t>2027</w:t>
            </w:r>
          </w:p>
        </w:tc>
        <w:tc>
          <w:tcPr>
            <w:tcW w:w="1985" w:type="dxa"/>
            <w:shd w:val="clear" w:color="auto" w:fill="FFFFFF"/>
            <w:vAlign w:val="bottom"/>
          </w:tcPr>
          <w:p w14:paraId="38175FB8" w14:textId="77777777" w:rsidR="00A03AB5" w:rsidRPr="00A03AB5" w:rsidRDefault="00A03AB5" w:rsidP="00A03AB5">
            <w:pPr>
              <w:pStyle w:val="ListParagraph"/>
              <w:spacing w:after="120"/>
              <w:ind w:left="0"/>
              <w:contextualSpacing w:val="0"/>
              <w:jc w:val="center"/>
              <w:rPr>
                <w:rFonts w:ascii="Times New Roman" w:hAnsi="Times New Roman"/>
                <w:b/>
                <w:bCs/>
                <w:sz w:val="20"/>
                <w:szCs w:val="20"/>
              </w:rPr>
            </w:pPr>
            <w:r w:rsidRPr="00A03AB5">
              <w:rPr>
                <w:rFonts w:ascii="Times New Roman" w:hAnsi="Times New Roman"/>
                <w:b/>
                <w:bCs/>
                <w:sz w:val="20"/>
                <w:szCs w:val="20"/>
              </w:rPr>
              <w:t>2028</w:t>
            </w:r>
          </w:p>
        </w:tc>
      </w:tr>
      <w:tr w:rsidR="00A03AB5" w:rsidRPr="00A03AB5" w14:paraId="30D2D144" w14:textId="77777777" w:rsidTr="00A03AB5">
        <w:tc>
          <w:tcPr>
            <w:tcW w:w="3676" w:type="dxa"/>
            <w:vAlign w:val="center"/>
          </w:tcPr>
          <w:p w14:paraId="168B935D" w14:textId="77777777" w:rsidR="00A03AB5" w:rsidRPr="00A03AB5" w:rsidRDefault="00A03AB5" w:rsidP="00A03AB5">
            <w:pPr>
              <w:pStyle w:val="ListParagraph"/>
              <w:spacing w:after="120"/>
              <w:ind w:left="0"/>
              <w:contextualSpacing w:val="0"/>
              <w:rPr>
                <w:rFonts w:ascii="Times New Roman" w:hAnsi="Times New Roman"/>
                <w:sz w:val="20"/>
                <w:szCs w:val="20"/>
              </w:rPr>
            </w:pPr>
            <w:r w:rsidRPr="00A03AB5">
              <w:rPr>
                <w:rFonts w:ascii="Times New Roman" w:hAnsi="Times New Roman"/>
                <w:sz w:val="20"/>
                <w:szCs w:val="20"/>
              </w:rPr>
              <w:t>Maksājumi par valsts kapitāla izmantošanu</w:t>
            </w:r>
          </w:p>
        </w:tc>
        <w:tc>
          <w:tcPr>
            <w:tcW w:w="1843" w:type="dxa"/>
          </w:tcPr>
          <w:p w14:paraId="03A10D7D" w14:textId="77777777" w:rsidR="00A03AB5" w:rsidRPr="00880622" w:rsidRDefault="00A03AB5" w:rsidP="00A03AB5">
            <w:pPr>
              <w:pStyle w:val="ListParagraph"/>
              <w:spacing w:after="120"/>
              <w:ind w:left="0"/>
              <w:contextualSpacing w:val="0"/>
              <w:jc w:val="right"/>
              <w:rPr>
                <w:rFonts w:ascii="Times New Roman" w:hAnsi="Times New Roman"/>
                <w:sz w:val="20"/>
                <w:szCs w:val="20"/>
              </w:rPr>
            </w:pPr>
            <w:r w:rsidRPr="00880622">
              <w:rPr>
                <w:rFonts w:ascii="Times New Roman" w:hAnsi="Times New Roman"/>
                <w:sz w:val="20"/>
                <w:szCs w:val="20"/>
              </w:rPr>
              <w:t>+49 618 000</w:t>
            </w:r>
          </w:p>
        </w:tc>
        <w:tc>
          <w:tcPr>
            <w:tcW w:w="1842" w:type="dxa"/>
          </w:tcPr>
          <w:p w14:paraId="548F1873" w14:textId="77777777" w:rsidR="00A03AB5" w:rsidRPr="00880622" w:rsidRDefault="00A03AB5" w:rsidP="00A03AB5">
            <w:pPr>
              <w:pStyle w:val="ListParagraph"/>
              <w:spacing w:after="120"/>
              <w:ind w:left="0"/>
              <w:contextualSpacing w:val="0"/>
              <w:jc w:val="right"/>
              <w:rPr>
                <w:rFonts w:ascii="Times New Roman" w:hAnsi="Times New Roman"/>
                <w:sz w:val="20"/>
                <w:szCs w:val="20"/>
              </w:rPr>
            </w:pPr>
            <w:r w:rsidRPr="00880622">
              <w:rPr>
                <w:rFonts w:ascii="Times New Roman" w:hAnsi="Times New Roman"/>
                <w:sz w:val="20"/>
                <w:szCs w:val="20"/>
              </w:rPr>
              <w:t>+68 367 000</w:t>
            </w:r>
          </w:p>
        </w:tc>
        <w:tc>
          <w:tcPr>
            <w:tcW w:w="1985" w:type="dxa"/>
          </w:tcPr>
          <w:p w14:paraId="10A9DBC8" w14:textId="77777777" w:rsidR="00A03AB5" w:rsidRPr="00880622" w:rsidRDefault="00A03AB5" w:rsidP="00A03AB5">
            <w:pPr>
              <w:pStyle w:val="ListParagraph"/>
              <w:spacing w:after="120"/>
              <w:ind w:left="0"/>
              <w:contextualSpacing w:val="0"/>
              <w:jc w:val="right"/>
              <w:rPr>
                <w:rFonts w:ascii="Times New Roman" w:hAnsi="Times New Roman"/>
                <w:sz w:val="20"/>
                <w:szCs w:val="20"/>
              </w:rPr>
            </w:pPr>
            <w:r w:rsidRPr="00880622">
              <w:rPr>
                <w:rFonts w:ascii="Times New Roman" w:hAnsi="Times New Roman"/>
                <w:sz w:val="20"/>
                <w:szCs w:val="20"/>
              </w:rPr>
              <w:t>+65 098 000</w:t>
            </w:r>
          </w:p>
        </w:tc>
      </w:tr>
      <w:tr w:rsidR="00A03AB5" w:rsidRPr="00A03AB5" w14:paraId="48D60C95" w14:textId="77777777" w:rsidTr="00A03AB5">
        <w:tc>
          <w:tcPr>
            <w:tcW w:w="3676" w:type="dxa"/>
            <w:vAlign w:val="center"/>
          </w:tcPr>
          <w:p w14:paraId="22B2E603" w14:textId="77777777" w:rsidR="00A03AB5" w:rsidRPr="00A03AB5" w:rsidRDefault="00A03AB5" w:rsidP="00A03AB5">
            <w:pPr>
              <w:pStyle w:val="ListParagraph"/>
              <w:spacing w:after="120"/>
              <w:ind w:left="0"/>
              <w:contextualSpacing w:val="0"/>
              <w:rPr>
                <w:rFonts w:ascii="Times New Roman" w:hAnsi="Times New Roman"/>
                <w:sz w:val="20"/>
                <w:szCs w:val="20"/>
              </w:rPr>
            </w:pPr>
            <w:r w:rsidRPr="00A03AB5">
              <w:rPr>
                <w:rFonts w:ascii="Times New Roman" w:hAnsi="Times New Roman"/>
                <w:sz w:val="20"/>
                <w:szCs w:val="20"/>
              </w:rPr>
              <w:t>UIN ieņēmumi</w:t>
            </w:r>
          </w:p>
        </w:tc>
        <w:tc>
          <w:tcPr>
            <w:tcW w:w="1843" w:type="dxa"/>
          </w:tcPr>
          <w:p w14:paraId="442EBF6E" w14:textId="77777777" w:rsidR="00A03AB5" w:rsidRPr="00880622" w:rsidRDefault="00A03AB5" w:rsidP="00A03AB5">
            <w:pPr>
              <w:pStyle w:val="ListParagraph"/>
              <w:spacing w:after="120"/>
              <w:ind w:left="0"/>
              <w:contextualSpacing w:val="0"/>
              <w:jc w:val="right"/>
              <w:rPr>
                <w:rFonts w:ascii="Times New Roman" w:hAnsi="Times New Roman"/>
                <w:sz w:val="20"/>
                <w:szCs w:val="20"/>
              </w:rPr>
            </w:pPr>
            <w:r w:rsidRPr="00880622">
              <w:rPr>
                <w:rFonts w:ascii="Times New Roman" w:hAnsi="Times New Roman"/>
                <w:sz w:val="20"/>
                <w:szCs w:val="20"/>
              </w:rPr>
              <w:t>+12 404 500</w:t>
            </w:r>
          </w:p>
        </w:tc>
        <w:tc>
          <w:tcPr>
            <w:tcW w:w="1842" w:type="dxa"/>
          </w:tcPr>
          <w:p w14:paraId="5072BD98" w14:textId="77777777" w:rsidR="00A03AB5" w:rsidRPr="00880622" w:rsidRDefault="00A03AB5" w:rsidP="00A03AB5">
            <w:pPr>
              <w:pStyle w:val="ListParagraph"/>
              <w:spacing w:after="120"/>
              <w:ind w:left="0"/>
              <w:contextualSpacing w:val="0"/>
              <w:jc w:val="right"/>
              <w:rPr>
                <w:rFonts w:ascii="Times New Roman" w:hAnsi="Times New Roman"/>
                <w:sz w:val="20"/>
                <w:szCs w:val="20"/>
              </w:rPr>
            </w:pPr>
            <w:r w:rsidRPr="00880622">
              <w:rPr>
                <w:rFonts w:ascii="Times New Roman" w:hAnsi="Times New Roman"/>
                <w:sz w:val="20"/>
                <w:szCs w:val="20"/>
              </w:rPr>
              <w:t>+17 091 750</w:t>
            </w:r>
          </w:p>
        </w:tc>
        <w:tc>
          <w:tcPr>
            <w:tcW w:w="1985" w:type="dxa"/>
          </w:tcPr>
          <w:p w14:paraId="5CE059DE" w14:textId="77777777" w:rsidR="00A03AB5" w:rsidRPr="00880622" w:rsidRDefault="00A03AB5" w:rsidP="00A03AB5">
            <w:pPr>
              <w:pStyle w:val="ListParagraph"/>
              <w:spacing w:after="120"/>
              <w:ind w:left="0"/>
              <w:contextualSpacing w:val="0"/>
              <w:jc w:val="right"/>
              <w:rPr>
                <w:rFonts w:ascii="Times New Roman" w:hAnsi="Times New Roman"/>
                <w:sz w:val="20"/>
                <w:szCs w:val="20"/>
              </w:rPr>
            </w:pPr>
            <w:r w:rsidRPr="00880622">
              <w:rPr>
                <w:rFonts w:ascii="Times New Roman" w:hAnsi="Times New Roman"/>
                <w:sz w:val="20"/>
                <w:szCs w:val="20"/>
              </w:rPr>
              <w:t>+16 274 500</w:t>
            </w:r>
          </w:p>
        </w:tc>
      </w:tr>
      <w:tr w:rsidR="00A03AB5" w:rsidRPr="00A03AB5" w14:paraId="3A5E6733" w14:textId="77777777" w:rsidTr="00A03AB5">
        <w:tc>
          <w:tcPr>
            <w:tcW w:w="3676" w:type="dxa"/>
            <w:shd w:val="clear" w:color="auto" w:fill="E7E6E6"/>
            <w:vAlign w:val="center"/>
          </w:tcPr>
          <w:p w14:paraId="56AD80AD" w14:textId="77777777" w:rsidR="00A03AB5" w:rsidRPr="00A03AB5" w:rsidRDefault="00A03AB5" w:rsidP="00A03AB5">
            <w:pPr>
              <w:pStyle w:val="ListParagraph"/>
              <w:spacing w:after="120"/>
              <w:ind w:left="0"/>
              <w:contextualSpacing w:val="0"/>
              <w:rPr>
                <w:rFonts w:ascii="Times New Roman" w:hAnsi="Times New Roman"/>
                <w:b/>
                <w:bCs/>
                <w:sz w:val="20"/>
                <w:szCs w:val="20"/>
              </w:rPr>
            </w:pPr>
            <w:r w:rsidRPr="00A03AB5">
              <w:rPr>
                <w:rFonts w:ascii="Times New Roman" w:hAnsi="Times New Roman"/>
                <w:b/>
                <w:bCs/>
                <w:sz w:val="20"/>
                <w:szCs w:val="20"/>
              </w:rPr>
              <w:t xml:space="preserve">KOPĀ, </w:t>
            </w:r>
            <w:r w:rsidRPr="00A03AB5">
              <w:rPr>
                <w:rFonts w:ascii="Times New Roman" w:hAnsi="Times New Roman"/>
                <w:sz w:val="20"/>
                <w:szCs w:val="20"/>
              </w:rPr>
              <w:t>no tiem:</w:t>
            </w:r>
          </w:p>
        </w:tc>
        <w:tc>
          <w:tcPr>
            <w:tcW w:w="1843" w:type="dxa"/>
            <w:shd w:val="clear" w:color="auto" w:fill="E7E6E6"/>
          </w:tcPr>
          <w:p w14:paraId="592E50CD" w14:textId="77777777" w:rsidR="00A03AB5" w:rsidRPr="00880622" w:rsidRDefault="00A03AB5" w:rsidP="00A03AB5">
            <w:pPr>
              <w:pStyle w:val="ListParagraph"/>
              <w:spacing w:after="120"/>
              <w:ind w:left="0"/>
              <w:contextualSpacing w:val="0"/>
              <w:jc w:val="right"/>
              <w:rPr>
                <w:rFonts w:ascii="Times New Roman" w:hAnsi="Times New Roman"/>
                <w:b/>
                <w:bCs/>
                <w:sz w:val="20"/>
                <w:szCs w:val="20"/>
              </w:rPr>
            </w:pPr>
            <w:r w:rsidRPr="00880622">
              <w:rPr>
                <w:rFonts w:ascii="Times New Roman" w:hAnsi="Times New Roman"/>
                <w:b/>
                <w:bCs/>
                <w:sz w:val="20"/>
                <w:szCs w:val="20"/>
              </w:rPr>
              <w:t>+62 022 500</w:t>
            </w:r>
          </w:p>
        </w:tc>
        <w:tc>
          <w:tcPr>
            <w:tcW w:w="1842" w:type="dxa"/>
            <w:shd w:val="clear" w:color="auto" w:fill="E7E6E6"/>
          </w:tcPr>
          <w:p w14:paraId="60DEAE26" w14:textId="77777777" w:rsidR="00A03AB5" w:rsidRPr="00880622" w:rsidRDefault="00A03AB5" w:rsidP="00A03AB5">
            <w:pPr>
              <w:pStyle w:val="ListParagraph"/>
              <w:spacing w:after="120"/>
              <w:ind w:left="0"/>
              <w:contextualSpacing w:val="0"/>
              <w:jc w:val="right"/>
              <w:rPr>
                <w:rFonts w:ascii="Times New Roman" w:hAnsi="Times New Roman"/>
                <w:b/>
                <w:bCs/>
                <w:sz w:val="20"/>
                <w:szCs w:val="20"/>
              </w:rPr>
            </w:pPr>
            <w:r w:rsidRPr="00880622">
              <w:rPr>
                <w:rFonts w:ascii="Times New Roman" w:hAnsi="Times New Roman"/>
                <w:b/>
                <w:bCs/>
                <w:sz w:val="20"/>
                <w:szCs w:val="20"/>
              </w:rPr>
              <w:t>+85 458 750</w:t>
            </w:r>
          </w:p>
        </w:tc>
        <w:tc>
          <w:tcPr>
            <w:tcW w:w="1985" w:type="dxa"/>
            <w:shd w:val="clear" w:color="auto" w:fill="E7E6E6"/>
          </w:tcPr>
          <w:p w14:paraId="59CBD44D" w14:textId="77777777" w:rsidR="00A03AB5" w:rsidRPr="00880622" w:rsidRDefault="00A03AB5" w:rsidP="00A03AB5">
            <w:pPr>
              <w:pStyle w:val="ListParagraph"/>
              <w:spacing w:after="120"/>
              <w:ind w:left="0"/>
              <w:contextualSpacing w:val="0"/>
              <w:jc w:val="right"/>
              <w:rPr>
                <w:rFonts w:ascii="Times New Roman" w:hAnsi="Times New Roman"/>
                <w:b/>
                <w:bCs/>
                <w:sz w:val="20"/>
                <w:szCs w:val="20"/>
              </w:rPr>
            </w:pPr>
            <w:r w:rsidRPr="00880622">
              <w:rPr>
                <w:rFonts w:ascii="Times New Roman" w:hAnsi="Times New Roman"/>
                <w:b/>
                <w:bCs/>
                <w:sz w:val="20"/>
                <w:szCs w:val="20"/>
              </w:rPr>
              <w:t>+81 372 500</w:t>
            </w:r>
          </w:p>
        </w:tc>
      </w:tr>
      <w:tr w:rsidR="00A03AB5" w:rsidRPr="00A03AB5" w14:paraId="6317CEAA" w14:textId="77777777" w:rsidTr="00A03AB5">
        <w:tc>
          <w:tcPr>
            <w:tcW w:w="3676" w:type="dxa"/>
            <w:shd w:val="clear" w:color="auto" w:fill="FFFFFF"/>
            <w:vAlign w:val="center"/>
          </w:tcPr>
          <w:p w14:paraId="52A9EE76" w14:textId="77777777" w:rsidR="00A03AB5" w:rsidRPr="00A03AB5" w:rsidRDefault="00A03AB5" w:rsidP="00A03AB5">
            <w:pPr>
              <w:numPr>
                <w:ilvl w:val="0"/>
                <w:numId w:val="7"/>
              </w:numPr>
              <w:tabs>
                <w:tab w:val="num" w:pos="306"/>
              </w:tabs>
              <w:spacing w:after="120"/>
              <w:ind w:left="0" w:firstLine="0"/>
              <w:rPr>
                <w:rFonts w:ascii="Times New Roman" w:hAnsi="Times New Roman"/>
                <w:b/>
                <w:bCs/>
                <w:sz w:val="20"/>
                <w:szCs w:val="20"/>
              </w:rPr>
            </w:pPr>
            <w:r w:rsidRPr="00A03AB5">
              <w:rPr>
                <w:rFonts w:ascii="Times New Roman" w:hAnsi="Times New Roman"/>
                <w:i/>
                <w:iCs/>
                <w:sz w:val="20"/>
                <w:szCs w:val="20"/>
              </w:rPr>
              <w:t>valsts pamatbudžetā</w:t>
            </w:r>
          </w:p>
        </w:tc>
        <w:tc>
          <w:tcPr>
            <w:tcW w:w="1843" w:type="dxa"/>
            <w:shd w:val="clear" w:color="auto" w:fill="FFFFFF"/>
          </w:tcPr>
          <w:p w14:paraId="5C2E0406" w14:textId="77777777" w:rsidR="00A03AB5" w:rsidRPr="00880622" w:rsidRDefault="00A03AB5" w:rsidP="00A03AB5">
            <w:pPr>
              <w:pStyle w:val="ListParagraph"/>
              <w:spacing w:after="120"/>
              <w:ind w:left="0"/>
              <w:contextualSpacing w:val="0"/>
              <w:jc w:val="right"/>
              <w:rPr>
                <w:rFonts w:ascii="Times New Roman" w:hAnsi="Times New Roman"/>
                <w:b/>
                <w:bCs/>
                <w:sz w:val="20"/>
                <w:szCs w:val="20"/>
              </w:rPr>
            </w:pPr>
            <w:r w:rsidRPr="00880622">
              <w:rPr>
                <w:rFonts w:ascii="Times New Roman" w:hAnsi="Times New Roman"/>
                <w:sz w:val="20"/>
                <w:szCs w:val="20"/>
              </w:rPr>
              <w:t>+62 022 500</w:t>
            </w:r>
          </w:p>
        </w:tc>
        <w:tc>
          <w:tcPr>
            <w:tcW w:w="1842" w:type="dxa"/>
            <w:shd w:val="clear" w:color="auto" w:fill="FFFFFF"/>
          </w:tcPr>
          <w:p w14:paraId="6C5D4E3E" w14:textId="77777777" w:rsidR="00A03AB5" w:rsidRPr="00880622" w:rsidRDefault="00A03AB5" w:rsidP="00A03AB5">
            <w:pPr>
              <w:pStyle w:val="ListParagraph"/>
              <w:spacing w:after="120"/>
              <w:ind w:left="0"/>
              <w:contextualSpacing w:val="0"/>
              <w:jc w:val="right"/>
              <w:rPr>
                <w:rFonts w:ascii="Times New Roman" w:hAnsi="Times New Roman"/>
                <w:b/>
                <w:bCs/>
                <w:sz w:val="20"/>
                <w:szCs w:val="20"/>
              </w:rPr>
            </w:pPr>
            <w:r w:rsidRPr="00880622">
              <w:rPr>
                <w:rFonts w:ascii="Times New Roman" w:hAnsi="Times New Roman"/>
                <w:sz w:val="20"/>
                <w:szCs w:val="20"/>
              </w:rPr>
              <w:t>+85 458 750</w:t>
            </w:r>
          </w:p>
        </w:tc>
        <w:tc>
          <w:tcPr>
            <w:tcW w:w="1985" w:type="dxa"/>
            <w:shd w:val="clear" w:color="auto" w:fill="FFFFFF"/>
          </w:tcPr>
          <w:p w14:paraId="528F8839" w14:textId="77777777" w:rsidR="00A03AB5" w:rsidRPr="00880622" w:rsidRDefault="00A03AB5" w:rsidP="00A03AB5">
            <w:pPr>
              <w:pStyle w:val="ListParagraph"/>
              <w:spacing w:after="120"/>
              <w:ind w:left="0"/>
              <w:contextualSpacing w:val="0"/>
              <w:jc w:val="right"/>
              <w:rPr>
                <w:rFonts w:ascii="Times New Roman" w:hAnsi="Times New Roman"/>
                <w:b/>
                <w:bCs/>
                <w:sz w:val="20"/>
                <w:szCs w:val="20"/>
              </w:rPr>
            </w:pPr>
            <w:r w:rsidRPr="00880622">
              <w:rPr>
                <w:rFonts w:ascii="Times New Roman" w:hAnsi="Times New Roman"/>
                <w:sz w:val="20"/>
                <w:szCs w:val="20"/>
              </w:rPr>
              <w:t>+81 372 500</w:t>
            </w:r>
          </w:p>
        </w:tc>
      </w:tr>
    </w:tbl>
    <w:p w14:paraId="23603CEE" w14:textId="77777777" w:rsidR="00DB3A1A" w:rsidRDefault="00DB3A1A" w:rsidP="00A03AB5">
      <w:pPr>
        <w:tabs>
          <w:tab w:val="left" w:pos="426"/>
        </w:tabs>
        <w:spacing w:after="120" w:line="240" w:lineRule="auto"/>
        <w:rPr>
          <w:rFonts w:ascii="Times New Roman" w:eastAsia="Calibri" w:hAnsi="Times New Roman" w:cs="Times New Roman"/>
          <w:i/>
          <w:sz w:val="20"/>
          <w:szCs w:val="20"/>
        </w:rPr>
      </w:pPr>
      <w:r w:rsidRPr="00A03AB5">
        <w:rPr>
          <w:rFonts w:ascii="Times New Roman" w:eastAsia="Calibri" w:hAnsi="Times New Roman" w:cs="Times New Roman"/>
          <w:b/>
          <w:bCs/>
          <w:i/>
          <w:sz w:val="20"/>
          <w:szCs w:val="20"/>
        </w:rPr>
        <w:t>Avots</w:t>
      </w:r>
      <w:r w:rsidRPr="00A03AB5">
        <w:rPr>
          <w:rFonts w:ascii="Times New Roman" w:eastAsia="Calibri" w:hAnsi="Times New Roman" w:cs="Times New Roman"/>
          <w:i/>
          <w:sz w:val="20"/>
          <w:szCs w:val="20"/>
        </w:rPr>
        <w:t>: FM aprēķini.</w:t>
      </w:r>
    </w:p>
    <w:p w14:paraId="3E0E42E3" w14:textId="77777777" w:rsidR="00DB3A1A" w:rsidRDefault="00DB3A1A" w:rsidP="00DB3A1A">
      <w:pPr>
        <w:tabs>
          <w:tab w:val="left" w:pos="426"/>
        </w:tabs>
        <w:spacing w:before="120" w:after="0"/>
        <w:rPr>
          <w:rFonts w:ascii="Times New Roman" w:eastAsia="Calibri" w:hAnsi="Times New Roman" w:cs="Times New Roman"/>
          <w:i/>
          <w:sz w:val="18"/>
        </w:rPr>
      </w:pPr>
    </w:p>
    <w:p w14:paraId="5C534ED4" w14:textId="77777777" w:rsidR="00801B8B" w:rsidRPr="00DB3A1A" w:rsidRDefault="00801B8B" w:rsidP="00DB3A1A">
      <w:pPr>
        <w:tabs>
          <w:tab w:val="left" w:pos="426"/>
        </w:tabs>
        <w:spacing w:before="120" w:after="0"/>
        <w:rPr>
          <w:rFonts w:ascii="Times New Roman" w:eastAsia="Calibri" w:hAnsi="Times New Roman" w:cs="Times New Roman"/>
          <w:i/>
          <w:sz w:val="18"/>
        </w:rPr>
      </w:pPr>
    </w:p>
    <w:p w14:paraId="061F0659" w14:textId="73D3216D" w:rsidR="00801B8B" w:rsidRPr="00801B8B" w:rsidRDefault="00801B8B" w:rsidP="00801B8B">
      <w:pPr>
        <w:pStyle w:val="ListParagraph"/>
        <w:numPr>
          <w:ilvl w:val="2"/>
          <w:numId w:val="15"/>
        </w:numPr>
        <w:shd w:val="clear" w:color="auto" w:fill="FFF2CC" w:themeFill="accent4" w:themeFillTint="33"/>
        <w:spacing w:after="120" w:line="240" w:lineRule="auto"/>
        <w:jc w:val="both"/>
        <w:rPr>
          <w:rFonts w:ascii="Times New Roman" w:hAnsi="Times New Roman" w:cs="Times New Roman"/>
          <w:b/>
          <w:sz w:val="28"/>
          <w:szCs w:val="28"/>
        </w:rPr>
      </w:pPr>
      <w:r w:rsidRPr="00801B8B">
        <w:rPr>
          <w:rFonts w:ascii="Times New Roman" w:hAnsi="Times New Roman" w:cs="Times New Roman"/>
          <w:b/>
          <w:bCs/>
          <w:sz w:val="28"/>
          <w:szCs w:val="28"/>
        </w:rPr>
        <w:t>Dabas resursu nodokļa plāna neizpildes kompensēšana (</w:t>
      </w:r>
      <w:r w:rsidR="000939C8">
        <w:rPr>
          <w:rFonts w:ascii="Times New Roman" w:hAnsi="Times New Roman" w:cs="Times New Roman"/>
          <w:b/>
          <w:bCs/>
          <w:sz w:val="28"/>
          <w:szCs w:val="28"/>
        </w:rPr>
        <w:t xml:space="preserve">pozitīva </w:t>
      </w:r>
      <w:r w:rsidRPr="00801B8B">
        <w:rPr>
          <w:rFonts w:ascii="Times New Roman" w:hAnsi="Times New Roman" w:cs="Times New Roman"/>
          <w:b/>
          <w:bCs/>
          <w:sz w:val="28"/>
          <w:szCs w:val="28"/>
        </w:rPr>
        <w:t>ietekme arī uz pašvaldīb</w:t>
      </w:r>
      <w:r w:rsidR="000939C8">
        <w:rPr>
          <w:rFonts w:ascii="Times New Roman" w:hAnsi="Times New Roman" w:cs="Times New Roman"/>
          <w:b/>
          <w:bCs/>
          <w:sz w:val="28"/>
          <w:szCs w:val="28"/>
        </w:rPr>
        <w:t>u budžetiem</w:t>
      </w:r>
      <w:r w:rsidRPr="00801B8B">
        <w:rPr>
          <w:rFonts w:ascii="Times New Roman" w:hAnsi="Times New Roman" w:cs="Times New Roman"/>
          <w:b/>
          <w:bCs/>
          <w:sz w:val="28"/>
          <w:szCs w:val="28"/>
        </w:rPr>
        <w:t>)</w:t>
      </w:r>
    </w:p>
    <w:p w14:paraId="7AD81234" w14:textId="48D4589A" w:rsidR="00C76F2A" w:rsidRPr="00B72F42" w:rsidRDefault="00801B8B" w:rsidP="00C76F2A">
      <w:pPr>
        <w:spacing w:before="120" w:after="120" w:line="240" w:lineRule="auto"/>
        <w:ind w:firstLine="709"/>
        <w:jc w:val="both"/>
        <w:rPr>
          <w:rFonts w:ascii="Times New Roman" w:hAnsi="Times New Roman" w:cs="Times New Roman"/>
          <w:sz w:val="24"/>
          <w:szCs w:val="24"/>
        </w:rPr>
      </w:pPr>
      <w:r w:rsidRPr="00DB3A1A">
        <w:rPr>
          <w:rFonts w:ascii="Times New Roman" w:hAnsi="Times New Roman" w:cs="Times New Roman"/>
          <w:sz w:val="24"/>
          <w:szCs w:val="24"/>
        </w:rPr>
        <w:t xml:space="preserve">Pasākuma īstenošanas nodrošināšanai Ministru kabineta sēdes protokollēmumā uzdot Klimata un enerģētikas ministrijai sagatavot un klimata un enerģētikas ministram iesniegt izskatīšanai Ministru kabinetā </w:t>
      </w:r>
      <w:r w:rsidR="00C76F2A" w:rsidRPr="00DB3A1A">
        <w:rPr>
          <w:rFonts w:ascii="Times New Roman" w:hAnsi="Times New Roman" w:cs="Times New Roman"/>
          <w:sz w:val="24"/>
          <w:szCs w:val="24"/>
        </w:rPr>
        <w:t>grozījumu Dabas resursu nodokļa likumā</w:t>
      </w:r>
      <w:r w:rsidR="00C76F2A">
        <w:rPr>
          <w:rFonts w:ascii="Times New Roman" w:hAnsi="Times New Roman" w:cs="Times New Roman"/>
          <w:sz w:val="24"/>
          <w:szCs w:val="24"/>
        </w:rPr>
        <w:t xml:space="preserve">, </w:t>
      </w:r>
      <w:r w:rsidR="00C76F2A" w:rsidRPr="00DB3A1A">
        <w:rPr>
          <w:rFonts w:ascii="Times New Roman" w:hAnsi="Times New Roman" w:cs="Times New Roman"/>
          <w:sz w:val="24"/>
          <w:szCs w:val="24"/>
        </w:rPr>
        <w:t xml:space="preserve"> </w:t>
      </w:r>
      <w:r w:rsidR="00C76F2A" w:rsidRPr="00B72F42">
        <w:rPr>
          <w:rFonts w:ascii="Times New Roman" w:hAnsi="Times New Roman" w:cs="Times New Roman"/>
          <w:sz w:val="24"/>
          <w:szCs w:val="24"/>
        </w:rPr>
        <w:t xml:space="preserve">lai kompensētu dabas resursu nodokļa plāna neizpildi, </w:t>
      </w:r>
      <w:r w:rsidR="00C76F2A">
        <w:rPr>
          <w:rFonts w:ascii="Times New Roman" w:hAnsi="Times New Roman" w:cs="Times New Roman"/>
          <w:sz w:val="24"/>
          <w:szCs w:val="24"/>
        </w:rPr>
        <w:t xml:space="preserve">iekļaušanai </w:t>
      </w:r>
      <w:r w:rsidRPr="00DB3A1A">
        <w:rPr>
          <w:rFonts w:ascii="Times New Roman" w:hAnsi="Times New Roman" w:cs="Times New Roman"/>
          <w:sz w:val="24"/>
          <w:szCs w:val="24"/>
        </w:rPr>
        <w:t xml:space="preserve">likumprojekta “Par valsts budžetu 2026. gadam un budžeta ietvaru 2026., 2027. un 2028. gadam” pavadošo likumprojektu paketē, </w:t>
      </w:r>
      <w:r w:rsidR="00C76F2A" w:rsidRPr="00B72F42">
        <w:rPr>
          <w:rFonts w:ascii="Times New Roman" w:hAnsi="Times New Roman" w:cs="Times New Roman"/>
          <w:sz w:val="24"/>
          <w:szCs w:val="24"/>
        </w:rPr>
        <w:t xml:space="preserve">nodrošinot papildu ieņēmumus valsts budžetā 214 000 </w:t>
      </w:r>
      <w:r w:rsidR="00C76F2A" w:rsidRPr="00C76F2A">
        <w:rPr>
          <w:rFonts w:ascii="Times New Roman" w:hAnsi="Times New Roman" w:cs="Times New Roman"/>
          <w:i/>
          <w:iCs/>
          <w:sz w:val="24"/>
          <w:szCs w:val="24"/>
        </w:rPr>
        <w:t xml:space="preserve">euro </w:t>
      </w:r>
      <w:r w:rsidR="00C76F2A" w:rsidRPr="00B72F42">
        <w:rPr>
          <w:rFonts w:ascii="Times New Roman" w:hAnsi="Times New Roman" w:cs="Times New Roman"/>
          <w:sz w:val="24"/>
          <w:szCs w:val="24"/>
        </w:rPr>
        <w:t>2026.</w:t>
      </w:r>
      <w:r w:rsidR="00C76F2A">
        <w:rPr>
          <w:rFonts w:ascii="Times New Roman" w:hAnsi="Times New Roman" w:cs="Times New Roman"/>
          <w:sz w:val="24"/>
          <w:szCs w:val="24"/>
        </w:rPr>
        <w:t xml:space="preserve"> </w:t>
      </w:r>
      <w:r w:rsidR="00C76F2A" w:rsidRPr="00B72F42">
        <w:rPr>
          <w:rFonts w:ascii="Times New Roman" w:hAnsi="Times New Roman" w:cs="Times New Roman"/>
          <w:sz w:val="24"/>
          <w:szCs w:val="24"/>
        </w:rPr>
        <w:t xml:space="preserve">gadā un  turpmāk ik gadu 15 652 780 </w:t>
      </w:r>
      <w:r w:rsidR="00C76F2A" w:rsidRPr="00B72F42">
        <w:rPr>
          <w:rFonts w:ascii="Times New Roman" w:hAnsi="Times New Roman" w:cs="Times New Roman"/>
          <w:i/>
          <w:iCs/>
          <w:sz w:val="24"/>
          <w:szCs w:val="24"/>
        </w:rPr>
        <w:t>euro</w:t>
      </w:r>
      <w:r w:rsidR="00C76F2A" w:rsidRPr="00B72F42">
        <w:rPr>
          <w:rFonts w:ascii="Times New Roman" w:hAnsi="Times New Roman" w:cs="Times New Roman"/>
          <w:sz w:val="24"/>
          <w:szCs w:val="24"/>
        </w:rPr>
        <w:t xml:space="preserve"> apmērā no 2027. gada. Klimata un enerģētikas ministrijai nodrošināt papildu plānoto ieņēmumu iekasēšanu un neiekasēšanas gadījumā 2027.–2029. gada budžeta sagatavošanas ietvaros iesniegt priekšlikumus prognozēto ieņēmumu palielinājuma nodrošināšanai.</w:t>
      </w:r>
    </w:p>
    <w:p w14:paraId="1032008F" w14:textId="77777777" w:rsidR="00801B8B" w:rsidRPr="00DB3A1A" w:rsidRDefault="00801B8B" w:rsidP="00801B8B">
      <w:pPr>
        <w:spacing w:after="120" w:line="240" w:lineRule="auto"/>
        <w:jc w:val="both"/>
        <w:rPr>
          <w:rFonts w:ascii="Times New Roman" w:hAnsi="Times New Roman" w:cs="Times New Roman"/>
          <w:sz w:val="24"/>
          <w:szCs w:val="24"/>
          <w:shd w:val="clear" w:color="auto" w:fill="FFFFFF"/>
        </w:rPr>
      </w:pPr>
    </w:p>
    <w:p w14:paraId="694C1609" w14:textId="47FFA8F1" w:rsidR="00801B8B" w:rsidRPr="00801B8B" w:rsidRDefault="00801B8B" w:rsidP="00C76F2A">
      <w:pPr>
        <w:pStyle w:val="ListParagraph"/>
        <w:numPr>
          <w:ilvl w:val="2"/>
          <w:numId w:val="15"/>
        </w:numPr>
        <w:shd w:val="clear" w:color="auto" w:fill="FFF2CC" w:themeFill="accent4" w:themeFillTint="33"/>
        <w:spacing w:after="120" w:line="240" w:lineRule="auto"/>
        <w:contextualSpacing w:val="0"/>
        <w:jc w:val="both"/>
        <w:rPr>
          <w:rFonts w:ascii="Times New Roman" w:hAnsi="Times New Roman" w:cs="Times New Roman"/>
          <w:b/>
          <w:sz w:val="28"/>
          <w:szCs w:val="28"/>
        </w:rPr>
      </w:pPr>
      <w:r w:rsidRPr="00801B8B">
        <w:rPr>
          <w:rFonts w:ascii="Times New Roman" w:hAnsi="Times New Roman" w:cs="Times New Roman"/>
          <w:b/>
          <w:bCs/>
          <w:sz w:val="28"/>
          <w:szCs w:val="28"/>
        </w:rPr>
        <w:t xml:space="preserve">PVN palielināšana presei un grāmatām, kas nav izdotas valsts valodā, Eiropas Savienības un Ekonomiskās sadarbības un </w:t>
      </w:r>
      <w:r w:rsidRPr="00801B8B">
        <w:rPr>
          <w:rFonts w:ascii="Times New Roman" w:hAnsi="Times New Roman" w:cs="Times New Roman"/>
          <w:b/>
          <w:bCs/>
          <w:sz w:val="28"/>
          <w:szCs w:val="28"/>
        </w:rPr>
        <w:lastRenderedPageBreak/>
        <w:t>attīstības organizācijas dalībvalstu vai kandidātvalstu oficiālajās valodās no 5% uz 21%</w:t>
      </w:r>
    </w:p>
    <w:p w14:paraId="26F637EE" w14:textId="77777777" w:rsidR="00801B8B" w:rsidRPr="00DB3A1A" w:rsidRDefault="00801B8B" w:rsidP="00801B8B">
      <w:pPr>
        <w:spacing w:after="120" w:line="240" w:lineRule="auto"/>
        <w:ind w:firstLine="720"/>
        <w:jc w:val="both"/>
        <w:rPr>
          <w:rFonts w:ascii="Times New Roman" w:hAnsi="Times New Roman" w:cs="Times New Roman"/>
          <w:sz w:val="24"/>
          <w:szCs w:val="24"/>
        </w:rPr>
      </w:pPr>
      <w:r w:rsidRPr="00DB3A1A">
        <w:rPr>
          <w:rFonts w:ascii="Times New Roman" w:hAnsi="Times New Roman" w:cs="Times New Roman"/>
          <w:sz w:val="24"/>
          <w:szCs w:val="24"/>
        </w:rPr>
        <w:t>Pasākuma īstenošanas nodrošināšanai Ministru kabineta sēdes protokollēmumā uzdot Kultūras ministrijai sagatavot un kultūras ministram iesniegt izskatīšanai Ministru kabinetā likumprojekta “Par valsts budžetu 2026. gadam un budžeta ietvaru 2026., 2027. un 2028. gadam” pavadošo likumprojektu paketē grozījumus Pievienotās vērtības nodokļa likumā, kas paredz no 2026. gada 1. janvāra noteikt pievienotās vērtības nodokļa standarta likmi 21 procentu apmērā:</w:t>
      </w:r>
    </w:p>
    <w:p w14:paraId="15E98870" w14:textId="77777777" w:rsidR="00530252" w:rsidRPr="00B72F42" w:rsidRDefault="00530252" w:rsidP="00530252">
      <w:pPr>
        <w:pStyle w:val="ListParagraph"/>
        <w:numPr>
          <w:ilvl w:val="0"/>
          <w:numId w:val="20"/>
        </w:numPr>
        <w:spacing w:after="120" w:line="240" w:lineRule="auto"/>
        <w:ind w:left="714" w:hanging="357"/>
        <w:contextualSpacing w:val="0"/>
        <w:jc w:val="both"/>
        <w:rPr>
          <w:rFonts w:ascii="Times New Roman" w:hAnsi="Times New Roman" w:cs="Times New Roman"/>
          <w:sz w:val="24"/>
          <w:szCs w:val="24"/>
        </w:rPr>
      </w:pPr>
      <w:r w:rsidRPr="00B72F42">
        <w:rPr>
          <w:rFonts w:ascii="Times New Roman" w:hAnsi="Times New Roman" w:cs="Times New Roman"/>
          <w:sz w:val="24"/>
          <w:szCs w:val="24"/>
          <w:shd w:val="clear" w:color="auto" w:fill="FFFFFF"/>
        </w:rPr>
        <w:t xml:space="preserve">grāmatu, tostarp mācību literatūras, brošūru, bukletu un tamlīdzīgu iespieddarbu, bilžu, zīmējamo un krāsojamo grāmatu bērniem, iespiestu nošu un nošu rakstu, karšu un hidrogrāfisko vai tamlīdzīgu shēmu, piegādei iespieddarba vai elektroniska izdevuma formā, tostarp grāmatu piegādei tiešsaistes režīmā vai lejupielādējot, </w:t>
      </w:r>
      <w:r w:rsidRPr="00B72F42">
        <w:rPr>
          <w:rFonts w:ascii="Times New Roman" w:hAnsi="Times New Roman" w:cs="Times New Roman"/>
          <w:sz w:val="24"/>
          <w:szCs w:val="24"/>
        </w:rPr>
        <w:t>kas  nav valsts valodā, Eiropas Savienības dalībvalstu vai kandidātvalstu, Ekonomiskās sadarbības un attīstības organizācijas valstu oficiālajās valodās</w:t>
      </w:r>
      <w:r w:rsidRPr="00B72F42">
        <w:rPr>
          <w:rFonts w:ascii="Times New Roman" w:hAnsi="Times New Roman" w:cs="Times New Roman"/>
          <w:sz w:val="24"/>
          <w:szCs w:val="24"/>
          <w:shd w:val="clear" w:color="auto" w:fill="FFFFFF"/>
        </w:rPr>
        <w:t>;</w:t>
      </w:r>
    </w:p>
    <w:p w14:paraId="3B23E404" w14:textId="77777777" w:rsidR="00530252" w:rsidRPr="00B72F42" w:rsidRDefault="00530252" w:rsidP="00C76F2A">
      <w:pPr>
        <w:pStyle w:val="ListParagraph"/>
        <w:numPr>
          <w:ilvl w:val="0"/>
          <w:numId w:val="20"/>
        </w:numPr>
        <w:spacing w:after="120" w:line="240" w:lineRule="auto"/>
        <w:ind w:left="714" w:hanging="357"/>
        <w:contextualSpacing w:val="0"/>
        <w:jc w:val="both"/>
        <w:rPr>
          <w:rFonts w:ascii="Times New Roman" w:hAnsi="Times New Roman" w:cs="Times New Roman"/>
          <w:sz w:val="24"/>
          <w:szCs w:val="24"/>
        </w:rPr>
      </w:pPr>
      <w:r w:rsidRPr="00B72F42">
        <w:rPr>
          <w:rFonts w:ascii="Times New Roman" w:hAnsi="Times New Roman" w:cs="Times New Roman"/>
          <w:sz w:val="24"/>
          <w:szCs w:val="24"/>
          <w:shd w:val="clear" w:color="auto" w:fill="FFFFFF"/>
        </w:rPr>
        <w:t xml:space="preserve">iespieddarba vai elektroniska izdevuma formā, tostarp tiešsaistes režīmā vai lejupielādējot, izdotas preses un citu masu informācijas līdzekļu izdevumu vai publikāciju, tostarp avīžu, žurnālu, biļetenu un citu periodisko izdevumu, informācijas aģentūru paziņojumu, kas paredzēti publiskai izplatīšanai, kā arī publikāciju interneta vietnē, piegādei, kā arī to abonentmaksai, </w:t>
      </w:r>
      <w:r w:rsidRPr="00B72F42">
        <w:rPr>
          <w:rFonts w:ascii="Times New Roman" w:hAnsi="Times New Roman" w:cs="Times New Roman"/>
          <w:sz w:val="24"/>
          <w:szCs w:val="24"/>
        </w:rPr>
        <w:t>kas nav valsts valodā, Eiropas Savienības dalībvalstu vai kandidātvalstu, Ekonomiskās sadarbības un attīstības organizācijas valstu oficiālajās valodās</w:t>
      </w:r>
      <w:r w:rsidRPr="00B72F42">
        <w:rPr>
          <w:rFonts w:ascii="Times New Roman" w:hAnsi="Times New Roman" w:cs="Times New Roman"/>
          <w:sz w:val="24"/>
          <w:szCs w:val="24"/>
          <w:shd w:val="clear" w:color="auto" w:fill="FFFFFF"/>
        </w:rPr>
        <w:t>.</w:t>
      </w:r>
    </w:p>
    <w:p w14:paraId="658E9399" w14:textId="77777777" w:rsidR="00801B8B" w:rsidRPr="00DB3A1A" w:rsidRDefault="00801B8B" w:rsidP="00801B8B">
      <w:pPr>
        <w:spacing w:after="120" w:line="240" w:lineRule="auto"/>
        <w:ind w:firstLine="720"/>
        <w:jc w:val="both"/>
        <w:rPr>
          <w:rFonts w:ascii="Times New Roman" w:hAnsi="Times New Roman" w:cs="Times New Roman"/>
          <w:sz w:val="24"/>
          <w:szCs w:val="24"/>
        </w:rPr>
      </w:pPr>
    </w:p>
    <w:p w14:paraId="29C13923" w14:textId="2BCB7283" w:rsidR="00801B8B" w:rsidRPr="00801B8B" w:rsidRDefault="00801B8B" w:rsidP="00C76F2A">
      <w:pPr>
        <w:pStyle w:val="ListParagraph"/>
        <w:numPr>
          <w:ilvl w:val="2"/>
          <w:numId w:val="15"/>
        </w:numPr>
        <w:shd w:val="clear" w:color="auto" w:fill="FFF2CC" w:themeFill="accent4" w:themeFillTint="33"/>
        <w:spacing w:after="120" w:line="240" w:lineRule="auto"/>
        <w:contextualSpacing w:val="0"/>
        <w:jc w:val="both"/>
        <w:rPr>
          <w:rFonts w:ascii="Times New Roman" w:hAnsi="Times New Roman" w:cs="Times New Roman"/>
          <w:b/>
          <w:sz w:val="28"/>
          <w:szCs w:val="28"/>
        </w:rPr>
      </w:pPr>
      <w:r w:rsidRPr="00801B8B">
        <w:rPr>
          <w:rFonts w:ascii="Times New Roman" w:hAnsi="Times New Roman" w:cs="Times New Roman"/>
          <w:b/>
          <w:bCs/>
          <w:sz w:val="28"/>
          <w:szCs w:val="28"/>
        </w:rPr>
        <w:t>Papildu ieņēmumi valsts budžetā no LVM atsavinātajiem kokiem, kas gūti aizsardzības infrastruktūras projektu īstenošanas rezultātā</w:t>
      </w:r>
    </w:p>
    <w:p w14:paraId="74B9C469" w14:textId="51451B87" w:rsidR="00801B8B" w:rsidRPr="00DB3A1A" w:rsidRDefault="00801B8B" w:rsidP="00801B8B">
      <w:pPr>
        <w:spacing w:after="120" w:line="240" w:lineRule="auto"/>
        <w:ind w:firstLine="720"/>
        <w:jc w:val="both"/>
        <w:rPr>
          <w:rFonts w:ascii="Times New Roman" w:hAnsi="Times New Roman" w:cs="Times New Roman"/>
          <w:bCs/>
          <w:sz w:val="24"/>
          <w:szCs w:val="24"/>
        </w:rPr>
      </w:pPr>
      <w:r w:rsidRPr="00DB3A1A">
        <w:rPr>
          <w:rFonts w:ascii="Times New Roman" w:hAnsi="Times New Roman" w:cs="Times New Roman"/>
          <w:bCs/>
          <w:sz w:val="24"/>
          <w:szCs w:val="24"/>
        </w:rPr>
        <w:t xml:space="preserve"> Aizsardzības ministrijai piederošajos mežos (militārajos poligonos) pieejamie koksnes apjomi ir 1,2 miljoni m3. Vidējā augošas koksnes vērtība ir 57,89 </w:t>
      </w:r>
      <w:r w:rsidRPr="00DB3A1A">
        <w:rPr>
          <w:rFonts w:ascii="Times New Roman" w:hAnsi="Times New Roman" w:cs="Times New Roman"/>
          <w:bCs/>
          <w:i/>
          <w:iCs/>
          <w:sz w:val="24"/>
          <w:szCs w:val="24"/>
        </w:rPr>
        <w:t>euro</w:t>
      </w:r>
      <w:r w:rsidRPr="00DB3A1A">
        <w:rPr>
          <w:rFonts w:ascii="Times New Roman" w:hAnsi="Times New Roman" w:cs="Times New Roman"/>
          <w:bCs/>
          <w:sz w:val="24"/>
          <w:szCs w:val="24"/>
        </w:rPr>
        <w:t xml:space="preserve">/m3. Veicot militāro poligonu apsaimniekošanu un paplašināšanu, gadā iespējams iegūt ap 62 tūkst. m3 koksnes. Kopējā šī apjoma augošu koku vērtība ir aptuveni 3,5 milj. </w:t>
      </w:r>
      <w:r w:rsidRPr="00DB3A1A">
        <w:rPr>
          <w:rFonts w:ascii="Times New Roman" w:hAnsi="Times New Roman" w:cs="Times New Roman"/>
          <w:bCs/>
          <w:i/>
          <w:iCs/>
          <w:sz w:val="24"/>
          <w:szCs w:val="24"/>
        </w:rPr>
        <w:t>euro</w:t>
      </w:r>
      <w:r w:rsidRPr="00DB3A1A">
        <w:rPr>
          <w:rFonts w:ascii="Times New Roman" w:hAnsi="Times New Roman" w:cs="Times New Roman"/>
          <w:bCs/>
          <w:sz w:val="24"/>
          <w:szCs w:val="24"/>
        </w:rPr>
        <w:t>. Ieņēmumi valsts budžetā no militāro poligonu attīstības būtu 2</w:t>
      </w:r>
      <w:r w:rsidR="005767F1">
        <w:rPr>
          <w:rFonts w:ascii="Times New Roman" w:hAnsi="Times New Roman" w:cs="Times New Roman"/>
          <w:bCs/>
          <w:sz w:val="24"/>
          <w:szCs w:val="24"/>
        </w:rPr>
        <w:t> 700 000</w:t>
      </w:r>
      <w:r w:rsidRPr="00DB3A1A">
        <w:rPr>
          <w:rFonts w:ascii="Times New Roman" w:hAnsi="Times New Roman" w:cs="Times New Roman"/>
          <w:bCs/>
          <w:sz w:val="24"/>
          <w:szCs w:val="24"/>
        </w:rPr>
        <w:t xml:space="preserve"> </w:t>
      </w:r>
      <w:r w:rsidRPr="00DB3A1A">
        <w:rPr>
          <w:rFonts w:ascii="Times New Roman" w:hAnsi="Times New Roman" w:cs="Times New Roman"/>
          <w:bCs/>
          <w:i/>
          <w:iCs/>
          <w:sz w:val="24"/>
          <w:szCs w:val="24"/>
        </w:rPr>
        <w:t>euro</w:t>
      </w:r>
      <w:r w:rsidRPr="00DB3A1A">
        <w:rPr>
          <w:rFonts w:ascii="Times New Roman" w:hAnsi="Times New Roman" w:cs="Times New Roman"/>
          <w:bCs/>
          <w:sz w:val="24"/>
          <w:szCs w:val="24"/>
        </w:rPr>
        <w:t xml:space="preserve"> gadā.</w:t>
      </w:r>
    </w:p>
    <w:p w14:paraId="49A7D870" w14:textId="77777777" w:rsidR="00801B8B" w:rsidRDefault="00801B8B" w:rsidP="00801B8B">
      <w:pPr>
        <w:pStyle w:val="Heading1"/>
      </w:pPr>
    </w:p>
    <w:p w14:paraId="4428E2CB" w14:textId="4F788333" w:rsidR="00DB3A1A" w:rsidRPr="003E3F62" w:rsidRDefault="00DB3A1A" w:rsidP="003E3F62">
      <w:pPr>
        <w:pStyle w:val="ListParagraph"/>
        <w:numPr>
          <w:ilvl w:val="0"/>
          <w:numId w:val="5"/>
        </w:numPr>
        <w:shd w:val="clear" w:color="auto" w:fill="FFF2CC" w:themeFill="accent4" w:themeFillTint="33"/>
        <w:spacing w:before="120" w:after="120" w:line="240" w:lineRule="auto"/>
        <w:contextualSpacing w:val="0"/>
        <w:jc w:val="both"/>
        <w:rPr>
          <w:rFonts w:ascii="Times New Roman" w:hAnsi="Times New Roman" w:cs="Times New Roman"/>
          <w:b/>
          <w:bCs/>
          <w:sz w:val="28"/>
          <w:szCs w:val="28"/>
        </w:rPr>
      </w:pPr>
      <w:r w:rsidRPr="003E3F62">
        <w:rPr>
          <w:rFonts w:ascii="Times New Roman" w:hAnsi="Times New Roman" w:cs="Times New Roman"/>
          <w:b/>
          <w:bCs/>
          <w:sz w:val="28"/>
          <w:szCs w:val="28"/>
        </w:rPr>
        <w:t>Ēnu ekonomikas ierobežošanas plāna un nodokļu administrēšanas uzlabošanas pasākumu īstenošana</w:t>
      </w:r>
    </w:p>
    <w:p w14:paraId="6F9167E6" w14:textId="67671670" w:rsidR="00DB3A1A" w:rsidRPr="003E3F62" w:rsidRDefault="00DB3A1A" w:rsidP="003E3F62">
      <w:pPr>
        <w:spacing w:after="120" w:line="240" w:lineRule="auto"/>
        <w:ind w:firstLine="720"/>
        <w:jc w:val="both"/>
        <w:rPr>
          <w:rFonts w:ascii="Times New Roman" w:hAnsi="Times New Roman" w:cs="Times New Roman"/>
          <w:sz w:val="24"/>
          <w:szCs w:val="24"/>
        </w:rPr>
      </w:pPr>
      <w:r w:rsidRPr="003E3F62">
        <w:rPr>
          <w:rFonts w:ascii="Times New Roman" w:hAnsi="Times New Roman" w:cs="Times New Roman"/>
          <w:sz w:val="24"/>
          <w:szCs w:val="24"/>
        </w:rPr>
        <w:t>Finanšu ministrija atbilstoši 2024.</w:t>
      </w:r>
      <w:r w:rsidR="003E3F62">
        <w:rPr>
          <w:rFonts w:ascii="Times New Roman" w:hAnsi="Times New Roman" w:cs="Times New Roman"/>
          <w:sz w:val="24"/>
          <w:szCs w:val="24"/>
        </w:rPr>
        <w:t xml:space="preserve"> </w:t>
      </w:r>
      <w:r w:rsidRPr="003E3F62">
        <w:rPr>
          <w:rFonts w:ascii="Times New Roman" w:hAnsi="Times New Roman" w:cs="Times New Roman"/>
          <w:sz w:val="24"/>
          <w:szCs w:val="24"/>
        </w:rPr>
        <w:t xml:space="preserve">gada 20. augusta </w:t>
      </w:r>
      <w:r w:rsidR="003E3F62">
        <w:rPr>
          <w:rFonts w:ascii="Times New Roman" w:hAnsi="Times New Roman" w:cs="Times New Roman"/>
          <w:sz w:val="24"/>
          <w:szCs w:val="24"/>
        </w:rPr>
        <w:t>Ministru kabineta</w:t>
      </w:r>
      <w:r w:rsidRPr="003E3F62">
        <w:rPr>
          <w:rFonts w:ascii="Times New Roman" w:hAnsi="Times New Roman" w:cs="Times New Roman"/>
          <w:sz w:val="24"/>
          <w:szCs w:val="24"/>
        </w:rPr>
        <w:t xml:space="preserve"> sēdes protokola 61.</w:t>
      </w:r>
      <w:r w:rsidR="003E3F62">
        <w:rPr>
          <w:rFonts w:ascii="Times New Roman" w:hAnsi="Times New Roman" w:cs="Times New Roman"/>
          <w:sz w:val="24"/>
          <w:szCs w:val="24"/>
        </w:rPr>
        <w:t> </w:t>
      </w:r>
      <w:r w:rsidRPr="003E3F62">
        <w:rPr>
          <w:rFonts w:ascii="Times New Roman" w:hAnsi="Times New Roman" w:cs="Times New Roman"/>
          <w:sz w:val="24"/>
          <w:szCs w:val="24"/>
        </w:rPr>
        <w:t>§  31.</w:t>
      </w:r>
      <w:r w:rsidR="003E3F62">
        <w:rPr>
          <w:rFonts w:ascii="Times New Roman" w:hAnsi="Times New Roman" w:cs="Times New Roman"/>
          <w:sz w:val="24"/>
          <w:szCs w:val="24"/>
        </w:rPr>
        <w:t> </w:t>
      </w:r>
      <w:r w:rsidRPr="003E3F62">
        <w:rPr>
          <w:rFonts w:ascii="Times New Roman" w:hAnsi="Times New Roman" w:cs="Times New Roman"/>
          <w:sz w:val="24"/>
          <w:szCs w:val="24"/>
        </w:rPr>
        <w:t>punktam seko līdzi ieņēmumu no Valsts ieņēmumu dienesta</w:t>
      </w:r>
      <w:r w:rsidR="006F6409">
        <w:rPr>
          <w:rFonts w:ascii="Times New Roman" w:hAnsi="Times New Roman" w:cs="Times New Roman"/>
          <w:sz w:val="24"/>
          <w:szCs w:val="24"/>
        </w:rPr>
        <w:t xml:space="preserve"> (turpmāk – VID)</w:t>
      </w:r>
      <w:r w:rsidRPr="003E3F62">
        <w:rPr>
          <w:rFonts w:ascii="Times New Roman" w:hAnsi="Times New Roman" w:cs="Times New Roman"/>
          <w:sz w:val="24"/>
          <w:szCs w:val="24"/>
        </w:rPr>
        <w:t xml:space="preserve"> darbības (ēnu ekonomikas ierobežošanas plāna un nodokļu administrēšanas uzlabošanas pasākumu īstenošanas) izpildei. Ir identificēti vairāki pasākumi, kuru izpildē ir mainīti to ieviešanas termiņi vai nosacījumi. (1) Attiecībā uz attaisnojuma dokumentu (e-rēķinu) elektroniskās aprites sistēmas ieviešanu, Saeimā ir pieņemti grozījumi “Grāmatvedības likumā”, kas sistēmas ieviešanu pilnībā visiem darījumiem atliek līdz 2028.gadam. Vienlaikus jau no 2025.</w:t>
      </w:r>
      <w:r w:rsidR="006F6409">
        <w:rPr>
          <w:rFonts w:ascii="Times New Roman" w:hAnsi="Times New Roman" w:cs="Times New Roman"/>
          <w:sz w:val="24"/>
          <w:szCs w:val="24"/>
        </w:rPr>
        <w:t xml:space="preserve"> </w:t>
      </w:r>
      <w:r w:rsidRPr="003E3F62">
        <w:rPr>
          <w:rFonts w:ascii="Times New Roman" w:hAnsi="Times New Roman" w:cs="Times New Roman"/>
          <w:sz w:val="24"/>
          <w:szCs w:val="24"/>
        </w:rPr>
        <w:t>gada spēkā e-rēķinu obligātums darījumiem ar valsts institūcijām, un no 2026.</w:t>
      </w:r>
      <w:r w:rsidR="009570B6">
        <w:rPr>
          <w:rFonts w:ascii="Times New Roman" w:hAnsi="Times New Roman" w:cs="Times New Roman"/>
          <w:sz w:val="24"/>
          <w:szCs w:val="24"/>
        </w:rPr>
        <w:t xml:space="preserve"> </w:t>
      </w:r>
      <w:r w:rsidRPr="003E3F62">
        <w:rPr>
          <w:rFonts w:ascii="Times New Roman" w:hAnsi="Times New Roman" w:cs="Times New Roman"/>
          <w:sz w:val="24"/>
          <w:szCs w:val="24"/>
        </w:rPr>
        <w:t>gada VID saņems informāciju par šiem rēķiniem.  Tādejādi pasākums 2026. un 2027.gadā būs ieviest tikai daļēji. (2) pēc veiktā izvērtējuma par pasākuma administratīvo slogu un izmaksām netiek virzīts portfeļu investīciju un tamlīdzīgu finanšu instrumentu pārvaldītājam pienākums ieturēt IIN izmaksas vietā un ziņot VID ar nodokļiem apliekamā ienākuma apjomu. Šo abu pasākumu kopīgās plānotās fiskālās ietekmes 2026.</w:t>
      </w:r>
      <w:r w:rsidR="002F4A8F">
        <w:rPr>
          <w:rFonts w:ascii="Times New Roman" w:hAnsi="Times New Roman" w:cs="Times New Roman"/>
          <w:sz w:val="24"/>
          <w:szCs w:val="24"/>
        </w:rPr>
        <w:t xml:space="preserve"> </w:t>
      </w:r>
      <w:r w:rsidRPr="003E3F62">
        <w:rPr>
          <w:rFonts w:ascii="Times New Roman" w:hAnsi="Times New Roman" w:cs="Times New Roman"/>
          <w:sz w:val="24"/>
          <w:szCs w:val="24"/>
        </w:rPr>
        <w:t xml:space="preserve">gadā bija plānotas 8,7 milj. </w:t>
      </w:r>
      <w:r w:rsidR="002F4A8F" w:rsidRPr="002F4A8F">
        <w:rPr>
          <w:rFonts w:ascii="Times New Roman" w:hAnsi="Times New Roman" w:cs="Times New Roman"/>
          <w:i/>
          <w:iCs/>
          <w:sz w:val="24"/>
          <w:szCs w:val="24"/>
        </w:rPr>
        <w:t>euro</w:t>
      </w:r>
      <w:r w:rsidRPr="003E3F62">
        <w:rPr>
          <w:rFonts w:ascii="Times New Roman" w:hAnsi="Times New Roman" w:cs="Times New Roman"/>
          <w:sz w:val="24"/>
          <w:szCs w:val="24"/>
        </w:rPr>
        <w:t xml:space="preserve"> un 2027.</w:t>
      </w:r>
      <w:r w:rsidR="002F4A8F">
        <w:rPr>
          <w:rFonts w:ascii="Times New Roman" w:hAnsi="Times New Roman" w:cs="Times New Roman"/>
          <w:sz w:val="24"/>
          <w:szCs w:val="24"/>
        </w:rPr>
        <w:t xml:space="preserve"> </w:t>
      </w:r>
      <w:r w:rsidRPr="003E3F62">
        <w:rPr>
          <w:rFonts w:ascii="Times New Roman" w:hAnsi="Times New Roman" w:cs="Times New Roman"/>
          <w:sz w:val="24"/>
          <w:szCs w:val="24"/>
        </w:rPr>
        <w:t xml:space="preserve">gadā 10,5 milj. </w:t>
      </w:r>
      <w:r w:rsidRPr="002F4A8F">
        <w:rPr>
          <w:rFonts w:ascii="Times New Roman" w:hAnsi="Times New Roman" w:cs="Times New Roman"/>
          <w:i/>
          <w:iCs/>
          <w:sz w:val="24"/>
          <w:szCs w:val="24"/>
        </w:rPr>
        <w:t>eiro</w:t>
      </w:r>
      <w:r w:rsidRPr="003E3F62">
        <w:rPr>
          <w:rFonts w:ascii="Times New Roman" w:hAnsi="Times New Roman" w:cs="Times New Roman"/>
          <w:sz w:val="24"/>
          <w:szCs w:val="24"/>
        </w:rPr>
        <w:t xml:space="preserve"> apmērā. </w:t>
      </w:r>
    </w:p>
    <w:p w14:paraId="384BE0CF" w14:textId="198C9579" w:rsidR="00DB3A1A" w:rsidRPr="003E3F62" w:rsidRDefault="00DB3A1A" w:rsidP="003E3F62">
      <w:pPr>
        <w:spacing w:after="120" w:line="240" w:lineRule="auto"/>
        <w:ind w:firstLine="720"/>
        <w:jc w:val="both"/>
        <w:rPr>
          <w:rFonts w:ascii="Times New Roman" w:hAnsi="Times New Roman" w:cs="Times New Roman"/>
          <w:sz w:val="24"/>
          <w:szCs w:val="24"/>
        </w:rPr>
      </w:pPr>
      <w:r w:rsidRPr="003E3F62">
        <w:rPr>
          <w:rFonts w:ascii="Times New Roman" w:hAnsi="Times New Roman" w:cs="Times New Roman"/>
          <w:sz w:val="24"/>
          <w:szCs w:val="24"/>
        </w:rPr>
        <w:t xml:space="preserve">Lai nodrošinātu ieņēmumu izpildi un sasniegtu Ministru kabineta uzdevumā noteikto mērķi, </w:t>
      </w:r>
      <w:r w:rsidR="002F4A8F">
        <w:rPr>
          <w:rFonts w:ascii="Times New Roman" w:hAnsi="Times New Roman" w:cs="Times New Roman"/>
          <w:sz w:val="24"/>
          <w:szCs w:val="24"/>
        </w:rPr>
        <w:t>VID</w:t>
      </w:r>
      <w:r w:rsidRPr="003E3F62">
        <w:rPr>
          <w:rFonts w:ascii="Times New Roman" w:hAnsi="Times New Roman" w:cs="Times New Roman"/>
          <w:sz w:val="24"/>
          <w:szCs w:val="24"/>
        </w:rPr>
        <w:t xml:space="preserve"> īsteno vairākus citus pasākumus. Jau no 2025. gada obligāti ieviestie e-rēķini </w:t>
      </w:r>
      <w:r w:rsidRPr="003E3F62">
        <w:rPr>
          <w:rFonts w:ascii="Times New Roman" w:hAnsi="Times New Roman" w:cs="Times New Roman"/>
          <w:sz w:val="24"/>
          <w:szCs w:val="24"/>
        </w:rPr>
        <w:lastRenderedPageBreak/>
        <w:t xml:space="preserve">darījumos ar valsts institūcijām nodrošina, ka no 2026. gada VID saņems šos datus risku analīzes un kontroles nolūkos. Tāpat ar 2026. gadu stāsies spēkā </w:t>
      </w:r>
      <w:r w:rsidR="002F4A8F">
        <w:rPr>
          <w:rFonts w:ascii="Times New Roman" w:hAnsi="Times New Roman" w:cs="Times New Roman"/>
          <w:sz w:val="24"/>
          <w:szCs w:val="24"/>
        </w:rPr>
        <w:t>ES</w:t>
      </w:r>
      <w:r w:rsidRPr="003E3F62">
        <w:rPr>
          <w:rFonts w:ascii="Times New Roman" w:hAnsi="Times New Roman" w:cs="Times New Roman"/>
          <w:sz w:val="24"/>
          <w:szCs w:val="24"/>
        </w:rPr>
        <w:t xml:space="preserve"> direktīva DAC8 par kriptovalūtu darījumu informācijas apmaiņu, kas būtiski palielinās uzraudzības iespējas šo aktīvu darījumos.  Pirmais ziņojums par 2026. gadā veiktajiem darījumiem būs jāiesniedz VID līdz 2027. gada 30. jūnijam. Attiecībā uz fizisko personu nodokļu nomaksas uzraudzību VID vērtē neatbilstību starp bankas kontu apgrozījumu un deklarētajiem ienākumiem un uzrunā nodokļu maksātājus par šīm neatbilstībām. 2025.</w:t>
      </w:r>
      <w:r w:rsidR="002F4A8F">
        <w:rPr>
          <w:rFonts w:ascii="Times New Roman" w:hAnsi="Times New Roman" w:cs="Times New Roman"/>
          <w:sz w:val="24"/>
          <w:szCs w:val="24"/>
        </w:rPr>
        <w:t xml:space="preserve"> </w:t>
      </w:r>
      <w:r w:rsidRPr="003E3F62">
        <w:rPr>
          <w:rFonts w:ascii="Times New Roman" w:hAnsi="Times New Roman" w:cs="Times New Roman"/>
          <w:sz w:val="24"/>
          <w:szCs w:val="24"/>
        </w:rPr>
        <w:t xml:space="preserve">gadā pasākums nodrošināja papildu deklarēto nodokļu apjomu 10,25 mij. </w:t>
      </w:r>
      <w:r w:rsidR="002F4A8F" w:rsidRPr="002F4A8F">
        <w:rPr>
          <w:rFonts w:ascii="Times New Roman" w:hAnsi="Times New Roman" w:cs="Times New Roman"/>
          <w:i/>
          <w:iCs/>
          <w:sz w:val="24"/>
          <w:szCs w:val="24"/>
        </w:rPr>
        <w:t>euro</w:t>
      </w:r>
      <w:r w:rsidRPr="003E3F62">
        <w:rPr>
          <w:rFonts w:ascii="Times New Roman" w:hAnsi="Times New Roman" w:cs="Times New Roman"/>
          <w:sz w:val="24"/>
          <w:szCs w:val="24"/>
        </w:rPr>
        <w:t xml:space="preserve"> apmērā.  Tāpat tiek veikti citi nodokļu administrēšanas pasākumu pilnveidojumi. </w:t>
      </w:r>
    </w:p>
    <w:p w14:paraId="51FC4196" w14:textId="7450B060" w:rsidR="00DB3A1A" w:rsidRPr="003E3F62" w:rsidRDefault="00DB3A1A" w:rsidP="003E3F62">
      <w:pPr>
        <w:spacing w:after="120" w:line="240" w:lineRule="auto"/>
        <w:ind w:firstLine="720"/>
        <w:jc w:val="both"/>
        <w:rPr>
          <w:rFonts w:ascii="Times New Roman" w:hAnsi="Times New Roman" w:cs="Times New Roman"/>
          <w:sz w:val="24"/>
          <w:szCs w:val="24"/>
        </w:rPr>
      </w:pPr>
      <w:r w:rsidRPr="003E3F62">
        <w:rPr>
          <w:rFonts w:ascii="Times New Roman" w:hAnsi="Times New Roman" w:cs="Times New Roman"/>
          <w:sz w:val="24"/>
          <w:szCs w:val="24"/>
        </w:rPr>
        <w:t xml:space="preserve">Ministru kabineta 2024. gada 20. augusta uzdevums ir izpildīts, jo ieņēmumu pieaugumu 2026.–2027. gadā paredzēts nodrošināt ar minēto alternatīvo instrumentu kopumu, kas balstās gan uz regulējuma izmaiņām, gan uz praktiskās </w:t>
      </w:r>
      <w:r w:rsidR="002F4A8F">
        <w:rPr>
          <w:rFonts w:ascii="Times New Roman" w:hAnsi="Times New Roman" w:cs="Times New Roman"/>
          <w:sz w:val="24"/>
          <w:szCs w:val="24"/>
        </w:rPr>
        <w:t>VID</w:t>
      </w:r>
      <w:r w:rsidRPr="003E3F62">
        <w:rPr>
          <w:rFonts w:ascii="Times New Roman" w:hAnsi="Times New Roman" w:cs="Times New Roman"/>
          <w:sz w:val="24"/>
          <w:szCs w:val="24"/>
        </w:rPr>
        <w:t xml:space="preserve"> darbības rezultātiem.</w:t>
      </w:r>
    </w:p>
    <w:p w14:paraId="31002FB7" w14:textId="77777777" w:rsidR="003E3F62" w:rsidRPr="00DB3A1A" w:rsidRDefault="003E3F62" w:rsidP="00DB3A1A">
      <w:pPr>
        <w:spacing w:after="240"/>
        <w:rPr>
          <w:rFonts w:ascii="Times New Roman" w:hAnsi="Times New Roman" w:cs="Times New Roman"/>
        </w:rPr>
      </w:pPr>
    </w:p>
    <w:p w14:paraId="556CEFE8" w14:textId="71121509" w:rsidR="00DB3A1A" w:rsidRPr="00A64031" w:rsidRDefault="00DB3A1A" w:rsidP="00A64031">
      <w:pPr>
        <w:pStyle w:val="ListParagraph"/>
        <w:numPr>
          <w:ilvl w:val="0"/>
          <w:numId w:val="5"/>
        </w:numPr>
        <w:shd w:val="clear" w:color="auto" w:fill="FFF2CC" w:themeFill="accent4" w:themeFillTint="33"/>
        <w:spacing w:before="120" w:after="120" w:line="240" w:lineRule="auto"/>
        <w:contextualSpacing w:val="0"/>
        <w:jc w:val="both"/>
        <w:rPr>
          <w:rFonts w:ascii="Times New Roman" w:hAnsi="Times New Roman" w:cs="Times New Roman"/>
          <w:b/>
          <w:bCs/>
          <w:sz w:val="28"/>
          <w:szCs w:val="28"/>
        </w:rPr>
      </w:pPr>
      <w:r w:rsidRPr="00A64031">
        <w:rPr>
          <w:rFonts w:ascii="Times New Roman" w:hAnsi="Times New Roman" w:cs="Times New Roman"/>
          <w:b/>
          <w:bCs/>
          <w:sz w:val="28"/>
          <w:szCs w:val="28"/>
        </w:rPr>
        <w:t>Izložu un azartspēļu uzraudzības inspekcijas pievienošana Valsts ieņēmumu dienestam</w:t>
      </w:r>
    </w:p>
    <w:p w14:paraId="4F3C7E02" w14:textId="444B5DC2" w:rsidR="00DB3A1A" w:rsidRPr="00A64031" w:rsidRDefault="00DB3A1A" w:rsidP="00A64031">
      <w:pPr>
        <w:spacing w:after="120" w:line="240" w:lineRule="auto"/>
        <w:ind w:firstLine="720"/>
        <w:jc w:val="both"/>
        <w:rPr>
          <w:rFonts w:ascii="Times New Roman" w:hAnsi="Times New Roman" w:cs="Times New Roman"/>
          <w:b/>
          <w:bCs/>
          <w:sz w:val="24"/>
          <w:szCs w:val="24"/>
        </w:rPr>
      </w:pPr>
      <w:r w:rsidRPr="00A64031">
        <w:rPr>
          <w:rFonts w:ascii="Times New Roman" w:hAnsi="Times New Roman" w:cs="Times New Roman"/>
          <w:sz w:val="24"/>
          <w:szCs w:val="24"/>
        </w:rPr>
        <w:t xml:space="preserve">Ministru kabinets 2025. gada 26. augusta sēdē uzdeva </w:t>
      </w:r>
      <w:r w:rsidR="00A64031">
        <w:rPr>
          <w:rFonts w:ascii="Times New Roman" w:hAnsi="Times New Roman" w:cs="Times New Roman"/>
          <w:sz w:val="24"/>
          <w:szCs w:val="24"/>
        </w:rPr>
        <w:t>Finanšu ministrijai</w:t>
      </w:r>
      <w:r w:rsidRPr="00A64031">
        <w:rPr>
          <w:rFonts w:ascii="Times New Roman" w:hAnsi="Times New Roman" w:cs="Times New Roman"/>
          <w:sz w:val="24"/>
          <w:szCs w:val="24"/>
        </w:rPr>
        <w:t xml:space="preserve"> izvērtēt  nepieciešamās izmaiņas normatīvajos aktos, lai ar 2026. gada 1. jūliju Izložu un azartspēļu uzraudzības inspekciju pievienotu VID, optimizētu atbalsta funkcijas un mazinātu administratīvos izdevumus (protokols Nr. 33 53. § 28. punkts). Ņemot vērā aktuālo situāciju izdevumu pārskatīšanā un stratēģiskos mērķus, ir izvērtēta iespēja veikt iestādes pievienošanu agrāk (ar 2026. gada 1. aprīli) nekā iepriekš plānots. Agrāka pievienošana ļaus optimizēt administratīvos un cilvēkresursus, nodrošinot vienotu pārvaldību jau agrākā posmā, turklāt tas ļaus ātrāk uzsākt kopīgu darbu pie prioritāriem virzieniem, veicinot inovāciju, zināšanu apmaiņu un efektīvāku pakalpojumu sniegšanu sabiedrībai.</w:t>
      </w:r>
    </w:p>
    <w:p w14:paraId="5EBAEDB0" w14:textId="77777777" w:rsidR="00DB3A1A" w:rsidRDefault="00DB3A1A" w:rsidP="00DB3A1A">
      <w:pPr>
        <w:rPr>
          <w:rFonts w:ascii="Times New Roman" w:hAnsi="Times New Roman" w:cs="Times New Roman"/>
        </w:rPr>
      </w:pPr>
    </w:p>
    <w:p w14:paraId="443D6668" w14:textId="0A20F8F5" w:rsidR="00DB3A1A" w:rsidRPr="00A64031" w:rsidRDefault="00DB3A1A" w:rsidP="00A64031">
      <w:pPr>
        <w:pStyle w:val="ListParagraph"/>
        <w:numPr>
          <w:ilvl w:val="0"/>
          <w:numId w:val="5"/>
        </w:numPr>
        <w:shd w:val="clear" w:color="auto" w:fill="FFF2CC" w:themeFill="accent4" w:themeFillTint="33"/>
        <w:spacing w:before="120" w:after="120" w:line="240" w:lineRule="auto"/>
        <w:contextualSpacing w:val="0"/>
        <w:jc w:val="both"/>
        <w:rPr>
          <w:rFonts w:ascii="Times New Roman" w:hAnsi="Times New Roman" w:cs="Times New Roman"/>
          <w:b/>
          <w:bCs/>
          <w:sz w:val="28"/>
          <w:szCs w:val="28"/>
        </w:rPr>
      </w:pPr>
      <w:r w:rsidRPr="00A64031">
        <w:rPr>
          <w:rFonts w:ascii="Times New Roman" w:hAnsi="Times New Roman" w:cs="Times New Roman"/>
          <w:b/>
          <w:bCs/>
          <w:sz w:val="28"/>
          <w:szCs w:val="28"/>
        </w:rPr>
        <w:t>Nodokļu un muitas policijas pievienošana iekšlietu sistēmai</w:t>
      </w:r>
    </w:p>
    <w:p w14:paraId="028E8C16" w14:textId="77777777" w:rsidR="00DB3A1A" w:rsidRPr="00DF419B" w:rsidRDefault="00DB3A1A" w:rsidP="00DF419B">
      <w:pPr>
        <w:spacing w:after="120" w:line="240" w:lineRule="auto"/>
        <w:ind w:firstLine="720"/>
        <w:jc w:val="both"/>
        <w:rPr>
          <w:rFonts w:ascii="Times New Roman" w:hAnsi="Times New Roman" w:cs="Times New Roman"/>
          <w:sz w:val="24"/>
          <w:szCs w:val="24"/>
        </w:rPr>
      </w:pPr>
      <w:r w:rsidRPr="00DF419B">
        <w:rPr>
          <w:rFonts w:ascii="Times New Roman" w:hAnsi="Times New Roman" w:cs="Times New Roman"/>
          <w:sz w:val="24"/>
          <w:szCs w:val="24"/>
        </w:rPr>
        <w:t>Nodokļu un muitas policijas likuma pārejas noteikumu 3.punkts nosaka, ka Ministru kabinets izvērtē iespējamos risinājumus Nodokļu un muitas policijas iekļaušanai Iekšlietu ministrijas iestāžu sistēmā un iesniedz Saeimai nepieciešamos likumprojektus reorganizācijas īstenošanai</w:t>
      </w:r>
    </w:p>
    <w:p w14:paraId="31A0D57A" w14:textId="77777777" w:rsidR="00DB3A1A" w:rsidRPr="00DF419B" w:rsidRDefault="00DB3A1A" w:rsidP="00DF419B">
      <w:pPr>
        <w:spacing w:after="120" w:line="240" w:lineRule="auto"/>
        <w:ind w:firstLine="720"/>
        <w:jc w:val="both"/>
        <w:rPr>
          <w:rFonts w:ascii="Times New Roman" w:hAnsi="Times New Roman" w:cs="Times New Roman"/>
          <w:sz w:val="24"/>
          <w:szCs w:val="24"/>
        </w:rPr>
      </w:pPr>
      <w:r w:rsidRPr="00DF419B">
        <w:rPr>
          <w:rFonts w:ascii="Times New Roman" w:hAnsi="Times New Roman" w:cs="Times New Roman"/>
          <w:sz w:val="24"/>
          <w:szCs w:val="24"/>
        </w:rPr>
        <w:t>Vienotas iekšējās drošības politikas veidošana, kur finanšu (nodokļu) un muitas noziegumi tiek uzskatīti par daļu no valsts drošības apdraudējumiem, kā arī labāka koordinācija ar Valsts policiju, robežsardzi un citām Iekšlietu ministrijas struktūrām, īpaši pārrobežu noziegumu apkarošanā, tai skaitā operatīvās informācijas centralizācija, kas ļauj ātrāk reaģēt uz draudiem un veikt kompleksas izmeklēšanas, ir efektīvāk iespējama gadījumā, kad Nodokļu un muitas policija tiek integrēta iekšlietu sistēmā. Ņemot vērā iepriekš minēto un aktuālo situāciju izdevumu pārskatīšanā un stratēģiskos mērķus sasniegšanā, ir izvērtēta iespēja Nodokļu un muitas policijas pārraudzību nodot iekšlietu ministram.</w:t>
      </w:r>
    </w:p>
    <w:p w14:paraId="220E1E72" w14:textId="7E2AEA89" w:rsidR="00883588" w:rsidRDefault="001822E1" w:rsidP="00801B8B">
      <w:pPr>
        <w:spacing w:after="120" w:line="240" w:lineRule="auto"/>
        <w:jc w:val="both"/>
        <w:rPr>
          <w:rFonts w:ascii="Times New Roman" w:hAnsi="Times New Roman" w:cs="Times New Roman"/>
          <w:b/>
          <w:sz w:val="24"/>
          <w:szCs w:val="24"/>
        </w:rPr>
      </w:pPr>
      <w:r w:rsidRPr="00DB3A1A">
        <w:rPr>
          <w:rFonts w:ascii="Times New Roman" w:hAnsi="Times New Roman" w:cs="Times New Roman"/>
          <w:b/>
          <w:sz w:val="24"/>
          <w:szCs w:val="24"/>
        </w:rPr>
        <w:t> </w:t>
      </w:r>
    </w:p>
    <w:p w14:paraId="1968C73A" w14:textId="77777777" w:rsidR="007446D9" w:rsidRPr="00DB3A1A" w:rsidRDefault="007446D9" w:rsidP="00A64031">
      <w:pPr>
        <w:pStyle w:val="ListParagraph"/>
        <w:numPr>
          <w:ilvl w:val="0"/>
          <w:numId w:val="5"/>
        </w:numPr>
        <w:shd w:val="clear" w:color="auto" w:fill="FFF2CC" w:themeFill="accent4" w:themeFillTint="33"/>
        <w:spacing w:before="120" w:after="120" w:line="240" w:lineRule="auto"/>
        <w:contextualSpacing w:val="0"/>
        <w:jc w:val="both"/>
        <w:rPr>
          <w:rFonts w:ascii="Times New Roman" w:hAnsi="Times New Roman" w:cs="Times New Roman"/>
          <w:b/>
          <w:sz w:val="28"/>
          <w:szCs w:val="28"/>
        </w:rPr>
      </w:pPr>
      <w:r w:rsidRPr="00DB3A1A">
        <w:rPr>
          <w:rFonts w:ascii="Times New Roman" w:hAnsi="Times New Roman" w:cs="Times New Roman"/>
          <w:b/>
          <w:sz w:val="28"/>
          <w:szCs w:val="28"/>
        </w:rPr>
        <w:t>Papildu pasākumi bez ietekmes uz bilanci</w:t>
      </w:r>
    </w:p>
    <w:p w14:paraId="4AC9489C" w14:textId="64FFBC1A" w:rsidR="00351044" w:rsidRPr="00DB3A1A" w:rsidRDefault="003F4229" w:rsidP="00351044">
      <w:pPr>
        <w:spacing w:after="120" w:line="240" w:lineRule="auto"/>
        <w:ind w:firstLine="720"/>
        <w:jc w:val="both"/>
        <w:rPr>
          <w:rFonts w:ascii="Times New Roman" w:hAnsi="Times New Roman" w:cs="Times New Roman"/>
          <w:bCs/>
          <w:sz w:val="24"/>
          <w:szCs w:val="24"/>
          <w:shd w:val="clear" w:color="auto" w:fill="FFFFFF"/>
        </w:rPr>
      </w:pPr>
      <w:r w:rsidRPr="00DB3A1A">
        <w:rPr>
          <w:rFonts w:ascii="Times New Roman" w:hAnsi="Times New Roman" w:cs="Times New Roman"/>
          <w:bCs/>
          <w:sz w:val="24"/>
          <w:szCs w:val="24"/>
          <w:shd w:val="clear" w:color="auto" w:fill="FFFFFF"/>
        </w:rPr>
        <w:t>Saskaņā ar S</w:t>
      </w:r>
      <w:r w:rsidR="00DF419B">
        <w:rPr>
          <w:rFonts w:ascii="Times New Roman" w:hAnsi="Times New Roman" w:cs="Times New Roman"/>
          <w:bCs/>
          <w:sz w:val="24"/>
          <w:szCs w:val="24"/>
          <w:shd w:val="clear" w:color="auto" w:fill="FFFFFF"/>
        </w:rPr>
        <w:t>atiksmes ministrijas</w:t>
      </w:r>
      <w:r w:rsidRPr="00DB3A1A">
        <w:rPr>
          <w:rFonts w:ascii="Times New Roman" w:hAnsi="Times New Roman" w:cs="Times New Roman"/>
          <w:bCs/>
          <w:sz w:val="24"/>
          <w:szCs w:val="24"/>
          <w:shd w:val="clear" w:color="auto" w:fill="FFFFFF"/>
        </w:rPr>
        <w:t xml:space="preserve"> sniegto informāciju ziņojumā “Par valsts akciju sabiedrības “Latvijas dzelzceļš” fiskālo ietekmi uz vispārējās valdības budžeta bilanci  2026. – 2028. gadā”, TA lieta Nr. 25-TA-1750, saglabājoties krītošiem dzelzceļa pārvadājumu darbības rādītājiem (kravu pārvadājumos) arī turpmākajos gados, dzelzceļa infrastruktūras darbības nodrošināšanai 2026. – 2028. gadam tiek plānots ikgadējs līdzekļu deficīts, kas radīs ikgadējus VAS “Latvijas dzelzceļš” zaudējumus uzņēmuma darbībā, tādēļ esošās infrastruktūras funkcionalitātes saglabāšana tiešā veidā būs atkarīga no VAS “Latvijas dzelzceļš” fiskālās </w:t>
      </w:r>
      <w:r w:rsidRPr="00DB3A1A">
        <w:rPr>
          <w:rFonts w:ascii="Times New Roman" w:hAnsi="Times New Roman" w:cs="Times New Roman"/>
          <w:bCs/>
          <w:sz w:val="24"/>
          <w:szCs w:val="24"/>
          <w:shd w:val="clear" w:color="auto" w:fill="FFFFFF"/>
        </w:rPr>
        <w:lastRenderedPageBreak/>
        <w:t>ietekmes kompensēšanas iespējām no valsts līdzekļiem, jo infrastruktūras pārvaldītāja neto apgrozījuma samazinājuma apstākļos pie nosacīti nemainīgām (fiksētām) darbības izmaksām, ikgadēji VAS “Latvijas dzelzceļš” cietīs zaudējumus.</w:t>
      </w:r>
    </w:p>
    <w:p w14:paraId="49EEF894" w14:textId="437A6D8B" w:rsidR="003F4229" w:rsidRPr="00DB3A1A" w:rsidRDefault="003F4229" w:rsidP="00351044">
      <w:pPr>
        <w:spacing w:after="120" w:line="240" w:lineRule="auto"/>
        <w:ind w:firstLine="720"/>
        <w:jc w:val="both"/>
        <w:rPr>
          <w:rFonts w:ascii="Times New Roman" w:hAnsi="Times New Roman" w:cs="Times New Roman"/>
          <w:bCs/>
          <w:sz w:val="24"/>
          <w:szCs w:val="24"/>
          <w:shd w:val="clear" w:color="auto" w:fill="FFFFFF"/>
        </w:rPr>
      </w:pPr>
      <w:r w:rsidRPr="00DB3A1A">
        <w:rPr>
          <w:rFonts w:ascii="Times New Roman" w:hAnsi="Times New Roman" w:cs="Times New Roman"/>
          <w:bCs/>
          <w:sz w:val="24"/>
          <w:szCs w:val="24"/>
          <w:shd w:val="clear" w:color="auto" w:fill="FFFFFF"/>
        </w:rPr>
        <w:t xml:space="preserve">Ievērojot, ka šobrīd VAS “Latvijas dzelzceļš” anketā “Kapitālsabiedrības ietekme uz vispārējās valdības sektora budžeta bilanci un parādu”, kas precizētā versijā iesniegta Finanšu ministrijā š.g. septembrī, prognozētie zaudējumi 2025. gadā veido 24 497 677 </w:t>
      </w:r>
      <w:r w:rsidRPr="00DB3A1A">
        <w:rPr>
          <w:rFonts w:ascii="Times New Roman" w:hAnsi="Times New Roman" w:cs="Times New Roman"/>
          <w:bCs/>
          <w:i/>
          <w:iCs/>
          <w:sz w:val="24"/>
          <w:szCs w:val="24"/>
          <w:shd w:val="clear" w:color="auto" w:fill="FFFFFF"/>
        </w:rPr>
        <w:t>euro</w:t>
      </w:r>
      <w:r w:rsidRPr="00DB3A1A">
        <w:rPr>
          <w:rFonts w:ascii="Times New Roman" w:hAnsi="Times New Roman" w:cs="Times New Roman"/>
          <w:bCs/>
          <w:sz w:val="24"/>
          <w:szCs w:val="24"/>
          <w:shd w:val="clear" w:color="auto" w:fill="FFFFFF"/>
        </w:rPr>
        <w:t>, ir nepieciešams rezervēt finansējumu 2026. gadam VAS “Latvijas dzelzceļš” finanšu līdzsvaram par 2025. gadu, neradot negatīvu ietekmi uz vispārējās valdības budžeta bilanci 2026. gadā.</w:t>
      </w:r>
    </w:p>
    <w:p w14:paraId="6FC31C88" w14:textId="6F754F79" w:rsidR="003F4229" w:rsidRPr="00DB3A1A" w:rsidRDefault="001822E1" w:rsidP="0089636B">
      <w:pPr>
        <w:spacing w:after="120" w:line="240" w:lineRule="auto"/>
        <w:jc w:val="center"/>
        <w:rPr>
          <w:rFonts w:ascii="Times New Roman" w:hAnsi="Times New Roman" w:cs="Times New Roman"/>
          <w:bCs/>
          <w:i/>
          <w:iCs/>
          <w:sz w:val="20"/>
          <w:szCs w:val="20"/>
          <w:shd w:val="clear" w:color="auto" w:fill="FFFFFF"/>
        </w:rPr>
      </w:pPr>
      <w:r w:rsidRPr="00DB3A1A">
        <w:rPr>
          <w:rFonts w:ascii="Times New Roman" w:eastAsia="Calibri" w:hAnsi="Times New Roman" w:cs="Times New Roman"/>
          <w:sz w:val="20"/>
          <w:szCs w:val="20"/>
        </w:rPr>
        <w:t>12</w:t>
      </w:r>
      <w:r w:rsidR="0089636B" w:rsidRPr="00DB3A1A">
        <w:rPr>
          <w:rFonts w:ascii="Times New Roman" w:eastAsia="Calibri" w:hAnsi="Times New Roman" w:cs="Times New Roman"/>
          <w:sz w:val="20"/>
          <w:szCs w:val="20"/>
        </w:rPr>
        <w:t>. tabula</w:t>
      </w:r>
      <w:r w:rsidR="0089636B" w:rsidRPr="00DB3A1A">
        <w:rPr>
          <w:rFonts w:ascii="Times New Roman" w:eastAsia="Calibri" w:hAnsi="Times New Roman" w:cs="Times New Roman"/>
          <w:bCs/>
          <w:sz w:val="20"/>
          <w:szCs w:val="20"/>
        </w:rPr>
        <w:t>.</w:t>
      </w:r>
      <w:r w:rsidR="0089636B" w:rsidRPr="00DB3A1A">
        <w:rPr>
          <w:rFonts w:ascii="Times New Roman" w:eastAsia="Calibri" w:hAnsi="Times New Roman" w:cs="Times New Roman"/>
          <w:b/>
          <w:sz w:val="20"/>
          <w:szCs w:val="20"/>
        </w:rPr>
        <w:t xml:space="preserve"> Priekšlikuma indikatīva fiskālā ietekme</w:t>
      </w:r>
      <w:r w:rsidR="0089636B" w:rsidRPr="00DB3A1A">
        <w:rPr>
          <w:rFonts w:ascii="Times New Roman" w:eastAsia="Calibri" w:hAnsi="Times New Roman" w:cs="Times New Roman"/>
          <w:bCs/>
          <w:sz w:val="20"/>
          <w:szCs w:val="20"/>
        </w:rPr>
        <w:t>,</w:t>
      </w:r>
      <w:r w:rsidR="0089636B" w:rsidRPr="00DB3A1A">
        <w:rPr>
          <w:rFonts w:ascii="Times New Roman" w:eastAsia="Calibri" w:hAnsi="Times New Roman" w:cs="Times New Roman"/>
          <w:bCs/>
          <w:i/>
          <w:iCs/>
          <w:sz w:val="20"/>
          <w:szCs w:val="20"/>
        </w:rPr>
        <w:t> euro</w:t>
      </w:r>
    </w:p>
    <w:tbl>
      <w:tblPr>
        <w:tblW w:w="9351" w:type="dxa"/>
        <w:tblCellMar>
          <w:left w:w="0" w:type="dxa"/>
          <w:right w:w="0" w:type="dxa"/>
        </w:tblCellMar>
        <w:tblLook w:val="04A0" w:firstRow="1" w:lastRow="0" w:firstColumn="1" w:lastColumn="0" w:noHBand="0" w:noVBand="1"/>
      </w:tblPr>
      <w:tblGrid>
        <w:gridCol w:w="3633"/>
        <w:gridCol w:w="1100"/>
        <w:gridCol w:w="1216"/>
        <w:gridCol w:w="1134"/>
        <w:gridCol w:w="1134"/>
        <w:gridCol w:w="1134"/>
      </w:tblGrid>
      <w:tr w:rsidR="003F4229" w:rsidRPr="00DB3A1A" w14:paraId="0E7307D2" w14:textId="77777777" w:rsidTr="001822E1">
        <w:trPr>
          <w:trHeight w:val="60"/>
        </w:trPr>
        <w:tc>
          <w:tcPr>
            <w:tcW w:w="363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3BF6693" w14:textId="0423221A" w:rsidR="003F4229" w:rsidRPr="00DB3A1A" w:rsidRDefault="003F4229" w:rsidP="001822E1">
            <w:pPr>
              <w:spacing w:after="120" w:line="240" w:lineRule="auto"/>
              <w:jc w:val="center"/>
              <w:rPr>
                <w:rFonts w:ascii="Times New Roman" w:hAnsi="Times New Roman" w:cs="Times New Roman"/>
                <w:b/>
                <w:bCs/>
                <w:sz w:val="20"/>
                <w:szCs w:val="20"/>
                <w:shd w:val="clear" w:color="auto" w:fill="FFFFFF"/>
              </w:rPr>
            </w:pPr>
            <w:r w:rsidRPr="00DB3A1A">
              <w:rPr>
                <w:rFonts w:ascii="Times New Roman" w:eastAsia="Times New Roman" w:hAnsi="Times New Roman" w:cs="Times New Roman"/>
                <w:b/>
                <w:bCs/>
                <w:sz w:val="20"/>
                <w:szCs w:val="20"/>
                <w:lang w:eastAsia="lv-LV"/>
              </w:rPr>
              <w:t>Pasākum</w:t>
            </w:r>
            <w:r w:rsidR="004E4B6E" w:rsidRPr="00DB3A1A">
              <w:rPr>
                <w:rFonts w:ascii="Times New Roman" w:eastAsia="Times New Roman" w:hAnsi="Times New Roman" w:cs="Times New Roman"/>
                <w:b/>
                <w:bCs/>
                <w:sz w:val="20"/>
                <w:szCs w:val="20"/>
                <w:lang w:eastAsia="lv-LV"/>
              </w:rPr>
              <w:t>s</w:t>
            </w:r>
          </w:p>
        </w:tc>
        <w:tc>
          <w:tcPr>
            <w:tcW w:w="11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0CEE7D4" w14:textId="25ADE075" w:rsidR="003F4229" w:rsidRPr="00DB3A1A" w:rsidRDefault="003F4229" w:rsidP="001822E1">
            <w:pPr>
              <w:spacing w:after="120" w:line="240" w:lineRule="auto"/>
              <w:jc w:val="center"/>
              <w:rPr>
                <w:rFonts w:ascii="Times New Roman" w:hAnsi="Times New Roman" w:cs="Times New Roman"/>
                <w:b/>
                <w:bCs/>
                <w:sz w:val="20"/>
                <w:szCs w:val="20"/>
                <w:shd w:val="clear" w:color="auto" w:fill="FFFFFF"/>
              </w:rPr>
            </w:pP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A05C00" w14:textId="06A2020D" w:rsidR="003F4229" w:rsidRPr="00DB3A1A" w:rsidRDefault="003F4229" w:rsidP="001822E1">
            <w:pPr>
              <w:spacing w:after="120" w:line="240" w:lineRule="auto"/>
              <w:jc w:val="center"/>
              <w:rPr>
                <w:rFonts w:ascii="Times New Roman" w:hAnsi="Times New Roman" w:cs="Times New Roman"/>
                <w:b/>
                <w:bCs/>
                <w:sz w:val="20"/>
                <w:szCs w:val="20"/>
                <w:shd w:val="clear" w:color="auto" w:fill="FFFFFF"/>
              </w:rPr>
            </w:pPr>
            <w:r w:rsidRPr="00DB3A1A">
              <w:rPr>
                <w:rFonts w:ascii="Times New Roman" w:eastAsia="Times New Roman" w:hAnsi="Times New Roman" w:cs="Times New Roman"/>
                <w:b/>
                <w:bCs/>
                <w:sz w:val="20"/>
                <w:szCs w:val="20"/>
                <w:lang w:eastAsia="lv-LV"/>
              </w:rPr>
              <w:t>2026</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F63761" w14:textId="10355958" w:rsidR="003F4229" w:rsidRPr="00DB3A1A" w:rsidRDefault="003F4229" w:rsidP="001822E1">
            <w:pPr>
              <w:spacing w:after="120" w:line="240" w:lineRule="auto"/>
              <w:jc w:val="center"/>
              <w:rPr>
                <w:rFonts w:ascii="Times New Roman" w:hAnsi="Times New Roman" w:cs="Times New Roman"/>
                <w:b/>
                <w:bCs/>
                <w:sz w:val="20"/>
                <w:szCs w:val="20"/>
                <w:shd w:val="clear" w:color="auto" w:fill="FFFFFF"/>
              </w:rPr>
            </w:pPr>
            <w:r w:rsidRPr="00DB3A1A">
              <w:rPr>
                <w:rFonts w:ascii="Times New Roman" w:eastAsia="Times New Roman" w:hAnsi="Times New Roman" w:cs="Times New Roman"/>
                <w:b/>
                <w:bCs/>
                <w:sz w:val="20"/>
                <w:szCs w:val="20"/>
                <w:lang w:eastAsia="lv-LV"/>
              </w:rPr>
              <w:t>2027</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B75F3D" w14:textId="69B15208" w:rsidR="003F4229" w:rsidRPr="00DB3A1A" w:rsidRDefault="003F4229" w:rsidP="001822E1">
            <w:pPr>
              <w:spacing w:after="120" w:line="240" w:lineRule="auto"/>
              <w:jc w:val="center"/>
              <w:rPr>
                <w:rFonts w:ascii="Times New Roman" w:hAnsi="Times New Roman" w:cs="Times New Roman"/>
                <w:b/>
                <w:bCs/>
                <w:sz w:val="20"/>
                <w:szCs w:val="20"/>
                <w:shd w:val="clear" w:color="auto" w:fill="FFFFFF"/>
              </w:rPr>
            </w:pPr>
            <w:r w:rsidRPr="00DB3A1A">
              <w:rPr>
                <w:rFonts w:ascii="Times New Roman" w:eastAsia="Times New Roman" w:hAnsi="Times New Roman" w:cs="Times New Roman"/>
                <w:b/>
                <w:bCs/>
                <w:sz w:val="20"/>
                <w:szCs w:val="20"/>
                <w:lang w:eastAsia="lv-LV"/>
              </w:rPr>
              <w:t>2028</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D84F8" w14:textId="1AA24A02" w:rsidR="003F4229" w:rsidRPr="00DB3A1A" w:rsidRDefault="003F4229" w:rsidP="001822E1">
            <w:pPr>
              <w:spacing w:after="120" w:line="240" w:lineRule="auto"/>
              <w:jc w:val="center"/>
              <w:rPr>
                <w:rFonts w:ascii="Times New Roman" w:hAnsi="Times New Roman" w:cs="Times New Roman"/>
                <w:b/>
                <w:bCs/>
                <w:sz w:val="20"/>
                <w:szCs w:val="20"/>
                <w:shd w:val="clear" w:color="auto" w:fill="FFFFFF"/>
              </w:rPr>
            </w:pPr>
            <w:r w:rsidRPr="00DB3A1A">
              <w:rPr>
                <w:rFonts w:ascii="Times New Roman" w:eastAsia="Times New Roman" w:hAnsi="Times New Roman" w:cs="Times New Roman"/>
                <w:b/>
                <w:bCs/>
                <w:sz w:val="20"/>
                <w:szCs w:val="20"/>
                <w:lang w:eastAsia="lv-LV"/>
              </w:rPr>
              <w:t>2029</w:t>
            </w:r>
          </w:p>
        </w:tc>
      </w:tr>
      <w:tr w:rsidR="003F4229" w:rsidRPr="00DB3A1A" w14:paraId="24DF9E98" w14:textId="77777777">
        <w:trPr>
          <w:trHeight w:val="375"/>
        </w:trPr>
        <w:tc>
          <w:tcPr>
            <w:tcW w:w="36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835F59" w14:textId="77777777" w:rsidR="003F4229" w:rsidRPr="00DB3A1A" w:rsidRDefault="003F4229" w:rsidP="001822E1">
            <w:pPr>
              <w:spacing w:after="120" w:line="240" w:lineRule="auto"/>
              <w:jc w:val="both"/>
              <w:rPr>
                <w:rFonts w:ascii="Times New Roman" w:hAnsi="Times New Roman" w:cs="Times New Roman"/>
                <w:bCs/>
                <w:sz w:val="20"/>
                <w:szCs w:val="20"/>
                <w:shd w:val="clear" w:color="auto" w:fill="FFFFFF"/>
              </w:rPr>
            </w:pPr>
            <w:r w:rsidRPr="00DB3A1A">
              <w:rPr>
                <w:rFonts w:ascii="Times New Roman" w:hAnsi="Times New Roman" w:cs="Times New Roman"/>
                <w:bCs/>
                <w:sz w:val="20"/>
                <w:szCs w:val="20"/>
                <w:shd w:val="clear" w:color="auto" w:fill="FFFFFF"/>
              </w:rPr>
              <w:t xml:space="preserve">Izdevumi VAS “Latvijas dzelzceļš” finanšu līdzsvaram par 2025. gadu </w:t>
            </w:r>
          </w:p>
        </w:tc>
        <w:tc>
          <w:tcPr>
            <w:tcW w:w="1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EDB8CB" w14:textId="77777777" w:rsidR="003F4229" w:rsidRPr="00DB3A1A" w:rsidRDefault="003F4229" w:rsidP="001822E1">
            <w:pPr>
              <w:spacing w:after="120" w:line="240" w:lineRule="auto"/>
              <w:jc w:val="both"/>
              <w:rPr>
                <w:rFonts w:ascii="Times New Roman" w:hAnsi="Times New Roman" w:cs="Times New Roman"/>
                <w:bCs/>
                <w:i/>
                <w:iCs/>
                <w:sz w:val="20"/>
                <w:szCs w:val="20"/>
                <w:shd w:val="clear" w:color="auto" w:fill="FFFFFF"/>
              </w:rPr>
            </w:pPr>
            <w:r w:rsidRPr="00DB3A1A">
              <w:rPr>
                <w:rFonts w:ascii="Times New Roman" w:hAnsi="Times New Roman" w:cs="Times New Roman"/>
                <w:bCs/>
                <w:i/>
                <w:iCs/>
                <w:sz w:val="20"/>
                <w:szCs w:val="20"/>
                <w:shd w:val="clear" w:color="auto" w:fill="FFFFFF"/>
              </w:rPr>
              <w:t>izdevumi</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706F5" w14:textId="77777777" w:rsidR="003F4229" w:rsidRPr="00DB3A1A" w:rsidRDefault="003F4229" w:rsidP="001822E1">
            <w:pPr>
              <w:spacing w:after="120" w:line="240" w:lineRule="auto"/>
              <w:jc w:val="right"/>
              <w:rPr>
                <w:rFonts w:ascii="Times New Roman" w:hAnsi="Times New Roman" w:cs="Times New Roman"/>
                <w:bCs/>
                <w:sz w:val="20"/>
                <w:szCs w:val="20"/>
                <w:shd w:val="clear" w:color="auto" w:fill="FFFFFF"/>
              </w:rPr>
            </w:pPr>
            <w:r w:rsidRPr="00DB3A1A">
              <w:rPr>
                <w:rFonts w:ascii="Times New Roman" w:hAnsi="Times New Roman" w:cs="Times New Roman"/>
                <w:bCs/>
                <w:sz w:val="20"/>
                <w:szCs w:val="20"/>
                <w:shd w:val="clear" w:color="auto" w:fill="FFFFFF"/>
              </w:rPr>
              <w:t>24 497 677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2BC38" w14:textId="7903C769" w:rsidR="003F4229" w:rsidRPr="00DB3A1A" w:rsidRDefault="00EA0778" w:rsidP="001822E1">
            <w:pPr>
              <w:spacing w:after="120" w:line="240" w:lineRule="auto"/>
              <w:jc w:val="center"/>
              <w:rPr>
                <w:rFonts w:ascii="Times New Roman" w:hAnsi="Times New Roman" w:cs="Times New Roman"/>
                <w:bCs/>
                <w:sz w:val="20"/>
                <w:szCs w:val="20"/>
                <w:shd w:val="clear" w:color="auto" w:fill="FFFFFF"/>
              </w:rPr>
            </w:pPr>
            <w:r w:rsidRPr="00DB3A1A">
              <w:rPr>
                <w:rFonts w:ascii="Times New Roman" w:hAnsi="Times New Roman" w:cs="Times New Roman"/>
                <w:bCs/>
                <w:sz w:val="20"/>
                <w:szCs w:val="20"/>
                <w:shd w:val="clear" w:color="auto" w:fill="FFFFFF"/>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B9AAA" w14:textId="7D048DB7" w:rsidR="003F4229" w:rsidRPr="00DB3A1A" w:rsidRDefault="00EA0778" w:rsidP="001822E1">
            <w:pPr>
              <w:spacing w:after="120" w:line="240" w:lineRule="auto"/>
              <w:jc w:val="center"/>
              <w:rPr>
                <w:rFonts w:ascii="Times New Roman" w:hAnsi="Times New Roman" w:cs="Times New Roman"/>
                <w:bCs/>
                <w:sz w:val="20"/>
                <w:szCs w:val="20"/>
                <w:shd w:val="clear" w:color="auto" w:fill="FFFFFF"/>
              </w:rPr>
            </w:pPr>
            <w:r w:rsidRPr="00DB3A1A">
              <w:rPr>
                <w:rFonts w:ascii="Times New Roman" w:hAnsi="Times New Roman" w:cs="Times New Roman"/>
                <w:bCs/>
                <w:sz w:val="20"/>
                <w:szCs w:val="20"/>
                <w:shd w:val="clear" w:color="auto" w:fill="FFFFFF"/>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19625E" w14:textId="3241C876" w:rsidR="003F4229" w:rsidRPr="00DB3A1A" w:rsidRDefault="00EA0778" w:rsidP="001822E1">
            <w:pPr>
              <w:spacing w:after="120" w:line="240" w:lineRule="auto"/>
              <w:jc w:val="center"/>
              <w:rPr>
                <w:rFonts w:ascii="Times New Roman" w:hAnsi="Times New Roman" w:cs="Times New Roman"/>
                <w:bCs/>
                <w:sz w:val="20"/>
                <w:szCs w:val="20"/>
                <w:shd w:val="clear" w:color="auto" w:fill="FFFFFF"/>
              </w:rPr>
            </w:pPr>
            <w:r w:rsidRPr="00DB3A1A">
              <w:rPr>
                <w:rFonts w:ascii="Times New Roman" w:hAnsi="Times New Roman" w:cs="Times New Roman"/>
                <w:bCs/>
                <w:sz w:val="20"/>
                <w:szCs w:val="20"/>
                <w:shd w:val="clear" w:color="auto" w:fill="FFFFFF"/>
              </w:rPr>
              <w:t>-</w:t>
            </w:r>
          </w:p>
        </w:tc>
      </w:tr>
      <w:tr w:rsidR="003F4229" w:rsidRPr="00DB3A1A" w14:paraId="775BD452" w14:textId="77777777">
        <w:trPr>
          <w:trHeight w:val="375"/>
        </w:trPr>
        <w:tc>
          <w:tcPr>
            <w:tcW w:w="36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D3FD2B" w14:textId="77777777" w:rsidR="003F4229" w:rsidRPr="00DB3A1A" w:rsidRDefault="003F4229" w:rsidP="001822E1">
            <w:pPr>
              <w:spacing w:after="120" w:line="240" w:lineRule="auto"/>
              <w:jc w:val="both"/>
              <w:rPr>
                <w:rFonts w:ascii="Times New Roman" w:hAnsi="Times New Roman" w:cs="Times New Roman"/>
                <w:bCs/>
                <w:sz w:val="20"/>
                <w:szCs w:val="20"/>
                <w:shd w:val="clear" w:color="auto" w:fill="FFFFFF"/>
              </w:rPr>
            </w:pPr>
            <w:r w:rsidRPr="00DB3A1A">
              <w:rPr>
                <w:rFonts w:ascii="Times New Roman" w:hAnsi="Times New Roman" w:cs="Times New Roman"/>
                <w:bCs/>
                <w:sz w:val="20"/>
                <w:szCs w:val="20"/>
                <w:shd w:val="clear" w:color="auto" w:fill="FFFFFF"/>
              </w:rPr>
              <w:t>VAS “Latvijas dzelzceļš” 2025. gada finanšu līdzsvara nodrošinājuma EKS korekcija</w:t>
            </w:r>
          </w:p>
        </w:tc>
        <w:tc>
          <w:tcPr>
            <w:tcW w:w="11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A42D32" w14:textId="77777777" w:rsidR="003F4229" w:rsidRPr="00DB3A1A" w:rsidRDefault="003F4229" w:rsidP="001822E1">
            <w:pPr>
              <w:spacing w:after="120" w:line="240" w:lineRule="auto"/>
              <w:jc w:val="both"/>
              <w:rPr>
                <w:rFonts w:ascii="Times New Roman" w:hAnsi="Times New Roman" w:cs="Times New Roman"/>
                <w:bCs/>
                <w:i/>
                <w:iCs/>
                <w:sz w:val="20"/>
                <w:szCs w:val="20"/>
                <w:shd w:val="clear" w:color="auto" w:fill="FFFFFF"/>
              </w:rPr>
            </w:pPr>
            <w:r w:rsidRPr="00DB3A1A">
              <w:rPr>
                <w:rFonts w:ascii="Times New Roman" w:hAnsi="Times New Roman" w:cs="Times New Roman"/>
                <w:bCs/>
                <w:i/>
                <w:iCs/>
                <w:sz w:val="20"/>
                <w:szCs w:val="20"/>
                <w:shd w:val="clear" w:color="auto" w:fill="FFFFFF"/>
              </w:rPr>
              <w:t>resursi</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69116" w14:textId="77777777" w:rsidR="003F4229" w:rsidRPr="00DB3A1A" w:rsidRDefault="003F4229" w:rsidP="001822E1">
            <w:pPr>
              <w:spacing w:after="120" w:line="240" w:lineRule="auto"/>
              <w:jc w:val="right"/>
              <w:rPr>
                <w:rFonts w:ascii="Times New Roman" w:hAnsi="Times New Roman" w:cs="Times New Roman"/>
                <w:bCs/>
                <w:sz w:val="20"/>
                <w:szCs w:val="20"/>
                <w:shd w:val="clear" w:color="auto" w:fill="FFFFFF"/>
              </w:rPr>
            </w:pPr>
            <w:r w:rsidRPr="00DB3A1A">
              <w:rPr>
                <w:rFonts w:ascii="Times New Roman" w:hAnsi="Times New Roman" w:cs="Times New Roman"/>
                <w:bCs/>
                <w:sz w:val="20"/>
                <w:szCs w:val="20"/>
                <w:shd w:val="clear" w:color="auto" w:fill="FFFFFF"/>
              </w:rPr>
              <w:t>24 497 677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8BC21" w14:textId="392B1F0B" w:rsidR="003F4229" w:rsidRPr="00DB3A1A" w:rsidRDefault="00EA0778" w:rsidP="001822E1">
            <w:pPr>
              <w:spacing w:after="120" w:line="240" w:lineRule="auto"/>
              <w:jc w:val="center"/>
              <w:rPr>
                <w:rFonts w:ascii="Times New Roman" w:hAnsi="Times New Roman" w:cs="Times New Roman"/>
                <w:bCs/>
                <w:sz w:val="20"/>
                <w:szCs w:val="20"/>
                <w:shd w:val="clear" w:color="auto" w:fill="FFFFFF"/>
              </w:rPr>
            </w:pPr>
            <w:r w:rsidRPr="00DB3A1A">
              <w:rPr>
                <w:rFonts w:ascii="Times New Roman" w:hAnsi="Times New Roman" w:cs="Times New Roman"/>
                <w:bCs/>
                <w:sz w:val="20"/>
                <w:szCs w:val="20"/>
                <w:shd w:val="clear" w:color="auto" w:fill="FFFFFF"/>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B60E3E" w14:textId="6DAAD8B3" w:rsidR="003F4229" w:rsidRPr="00DB3A1A" w:rsidRDefault="00EA0778" w:rsidP="001822E1">
            <w:pPr>
              <w:spacing w:after="120" w:line="240" w:lineRule="auto"/>
              <w:jc w:val="center"/>
              <w:rPr>
                <w:rFonts w:ascii="Times New Roman" w:hAnsi="Times New Roman" w:cs="Times New Roman"/>
                <w:bCs/>
                <w:sz w:val="20"/>
                <w:szCs w:val="20"/>
                <w:shd w:val="clear" w:color="auto" w:fill="FFFFFF"/>
              </w:rPr>
            </w:pPr>
            <w:r w:rsidRPr="00DB3A1A">
              <w:rPr>
                <w:rFonts w:ascii="Times New Roman" w:hAnsi="Times New Roman" w:cs="Times New Roman"/>
                <w:bCs/>
                <w:sz w:val="20"/>
                <w:szCs w:val="20"/>
                <w:shd w:val="clear" w:color="auto" w:fill="FFFFFF"/>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4D023D" w14:textId="447E1F25" w:rsidR="003F4229" w:rsidRPr="00DB3A1A" w:rsidRDefault="00EA0778" w:rsidP="001822E1">
            <w:pPr>
              <w:spacing w:after="120" w:line="240" w:lineRule="auto"/>
              <w:jc w:val="center"/>
              <w:rPr>
                <w:rFonts w:ascii="Times New Roman" w:hAnsi="Times New Roman" w:cs="Times New Roman"/>
                <w:bCs/>
                <w:sz w:val="20"/>
                <w:szCs w:val="20"/>
                <w:shd w:val="clear" w:color="auto" w:fill="FFFFFF"/>
              </w:rPr>
            </w:pPr>
            <w:r w:rsidRPr="00DB3A1A">
              <w:rPr>
                <w:rFonts w:ascii="Times New Roman" w:hAnsi="Times New Roman" w:cs="Times New Roman"/>
                <w:bCs/>
                <w:sz w:val="20"/>
                <w:szCs w:val="20"/>
                <w:shd w:val="clear" w:color="auto" w:fill="FFFFFF"/>
              </w:rPr>
              <w:t>-</w:t>
            </w:r>
          </w:p>
        </w:tc>
      </w:tr>
    </w:tbl>
    <w:p w14:paraId="4559BED6" w14:textId="77777777" w:rsidR="00E85B1A" w:rsidRPr="00DB3A1A" w:rsidRDefault="00E85B1A" w:rsidP="00E85B1A">
      <w:pPr>
        <w:spacing w:after="120" w:line="240" w:lineRule="auto"/>
        <w:jc w:val="both"/>
        <w:rPr>
          <w:rFonts w:ascii="Times New Roman" w:hAnsi="Times New Roman" w:cs="Times New Roman"/>
          <w:bCs/>
          <w:sz w:val="20"/>
          <w:szCs w:val="20"/>
          <w:shd w:val="clear" w:color="auto" w:fill="FFFFFF"/>
        </w:rPr>
      </w:pPr>
      <w:r w:rsidRPr="00DB3A1A">
        <w:rPr>
          <w:rFonts w:ascii="Times New Roman" w:hAnsi="Times New Roman" w:cs="Times New Roman"/>
          <w:bCs/>
          <w:sz w:val="20"/>
          <w:szCs w:val="20"/>
          <w:shd w:val="clear" w:color="auto" w:fill="FFFFFF"/>
        </w:rPr>
        <w:t xml:space="preserve">EKS – </w:t>
      </w:r>
      <w:r w:rsidRPr="00DB3A1A">
        <w:rPr>
          <w:rFonts w:ascii="Times New Roman" w:hAnsi="Times New Roman" w:cs="Times New Roman"/>
          <w:b/>
          <w:bCs/>
          <w:sz w:val="20"/>
          <w:szCs w:val="20"/>
          <w:shd w:val="clear" w:color="auto" w:fill="FFFFFF"/>
        </w:rPr>
        <w:t>Eiropas nacionālo un reģionālo kontu sistēma Eiropas Savienībā</w:t>
      </w:r>
      <w:r w:rsidRPr="00DB3A1A">
        <w:rPr>
          <w:rFonts w:ascii="Times New Roman" w:hAnsi="Times New Roman" w:cs="Times New Roman"/>
          <w:bCs/>
          <w:sz w:val="20"/>
          <w:szCs w:val="20"/>
          <w:shd w:val="clear" w:color="auto" w:fill="FFFFFF"/>
        </w:rPr>
        <w:t>.</w:t>
      </w:r>
    </w:p>
    <w:p w14:paraId="1EFAF960" w14:textId="77777777" w:rsidR="00E85B1A" w:rsidRPr="00DB3A1A" w:rsidRDefault="00E85B1A" w:rsidP="00E85B1A">
      <w:pPr>
        <w:spacing w:after="120" w:line="240" w:lineRule="auto"/>
        <w:jc w:val="both"/>
        <w:rPr>
          <w:rFonts w:ascii="Times New Roman" w:hAnsi="Times New Roman" w:cs="Times New Roman"/>
          <w:bCs/>
          <w:sz w:val="24"/>
          <w:szCs w:val="24"/>
          <w:shd w:val="clear" w:color="auto" w:fill="FFFFFF"/>
        </w:rPr>
      </w:pPr>
    </w:p>
    <w:p w14:paraId="4B378952" w14:textId="4BD38A6A" w:rsidR="003F4229" w:rsidRPr="00DF419B" w:rsidRDefault="003F4229" w:rsidP="00DF419B">
      <w:pPr>
        <w:pStyle w:val="ListParagraph"/>
        <w:numPr>
          <w:ilvl w:val="0"/>
          <w:numId w:val="5"/>
        </w:numPr>
        <w:shd w:val="clear" w:color="auto" w:fill="FFF2CC" w:themeFill="accent4" w:themeFillTint="33"/>
        <w:spacing w:before="120" w:after="120" w:line="240" w:lineRule="auto"/>
        <w:jc w:val="both"/>
        <w:rPr>
          <w:rFonts w:ascii="Times New Roman" w:hAnsi="Times New Roman" w:cs="Times New Roman"/>
          <w:b/>
          <w:sz w:val="28"/>
          <w:szCs w:val="28"/>
        </w:rPr>
      </w:pPr>
      <w:r w:rsidRPr="00DF419B">
        <w:rPr>
          <w:rFonts w:ascii="Times New Roman" w:hAnsi="Times New Roman" w:cs="Times New Roman"/>
          <w:b/>
          <w:sz w:val="28"/>
          <w:szCs w:val="28"/>
        </w:rPr>
        <w:t>Fiskāli neitrāli ministriju priekšlikumi budžeta prioritāšu nodrošināšanai</w:t>
      </w:r>
    </w:p>
    <w:p w14:paraId="394DF3B6" w14:textId="77777777" w:rsidR="003F4229" w:rsidRPr="00DB3A1A" w:rsidRDefault="003F4229" w:rsidP="00DF419B">
      <w:pPr>
        <w:spacing w:after="120" w:line="240" w:lineRule="auto"/>
        <w:ind w:firstLine="720"/>
        <w:jc w:val="both"/>
        <w:rPr>
          <w:rFonts w:ascii="Times New Roman" w:hAnsi="Times New Roman" w:cs="Times New Roman"/>
          <w:sz w:val="24"/>
          <w:szCs w:val="24"/>
        </w:rPr>
      </w:pPr>
      <w:r w:rsidRPr="00DB3A1A">
        <w:rPr>
          <w:rFonts w:ascii="Times New Roman" w:hAnsi="Times New Roman" w:cs="Times New Roman"/>
          <w:sz w:val="24"/>
          <w:szCs w:val="24"/>
        </w:rPr>
        <w:t xml:space="preserve">Ministrijas </w:t>
      </w:r>
      <w:r w:rsidRPr="00DB3A1A">
        <w:rPr>
          <w:rFonts w:ascii="Times New Roman" w:hAnsi="Times New Roman" w:cs="Times New Roman"/>
          <w:sz w:val="24"/>
          <w:szCs w:val="24"/>
          <w:shd w:val="clear" w:color="auto" w:fill="FFFFFF"/>
        </w:rPr>
        <w:t xml:space="preserve">ir iesniegušas Finanšu ministrijā fiskāli neitrālus priekšlikumus, kuri </w:t>
      </w:r>
      <w:r w:rsidRPr="00DB3A1A">
        <w:rPr>
          <w:rFonts w:ascii="Times New Roman" w:eastAsia="Calibri" w:hAnsi="Times New Roman" w:cs="Times New Roman"/>
          <w:noProof/>
          <w:sz w:val="24"/>
          <w:szCs w:val="24"/>
        </w:rPr>
        <w:t>ietver resursu pārdali, izdevumu pārskatīšanu un efektivizēšanu, lai nodrošinātu racionālāku valsts budžeta līdzekļu izmantošanu, finansējumu novirzot nozares prioritāšu īstenošanai un aktuālu jautājumu risināšanai (skat.</w:t>
      </w:r>
      <w:r w:rsidRPr="00DB3A1A">
        <w:rPr>
          <w:rFonts w:ascii="Times New Roman" w:hAnsi="Times New Roman" w:cs="Times New Roman"/>
          <w:sz w:val="24"/>
          <w:szCs w:val="24"/>
        </w:rPr>
        <w:t xml:space="preserve"> informatīvā ziņojuma 3. pielikumu)</w:t>
      </w:r>
      <w:r w:rsidRPr="00DB3A1A">
        <w:rPr>
          <w:rFonts w:ascii="Times New Roman" w:eastAsia="Calibri" w:hAnsi="Times New Roman" w:cs="Times New Roman"/>
          <w:noProof/>
          <w:sz w:val="24"/>
          <w:szCs w:val="24"/>
        </w:rPr>
        <w:t xml:space="preserve">. </w:t>
      </w:r>
    </w:p>
    <w:p w14:paraId="7E8B5D23" w14:textId="35961A4C" w:rsidR="003F4229" w:rsidRDefault="003F4229" w:rsidP="00DF419B">
      <w:pPr>
        <w:pStyle w:val="boldparagraphheader"/>
        <w:spacing w:after="120"/>
        <w:ind w:firstLine="720"/>
        <w:contextualSpacing w:val="0"/>
        <w:jc w:val="both"/>
        <w:rPr>
          <w:b w:val="0"/>
          <w:bCs/>
          <w:sz w:val="24"/>
          <w:szCs w:val="24"/>
        </w:rPr>
      </w:pPr>
      <w:r w:rsidRPr="00DB3A1A">
        <w:rPr>
          <w:b w:val="0"/>
          <w:bCs/>
          <w:sz w:val="24"/>
          <w:szCs w:val="24"/>
          <w:shd w:val="clear" w:color="auto" w:fill="FFFFFF"/>
        </w:rPr>
        <w:t>2025. gada 26. augusta M</w:t>
      </w:r>
      <w:r w:rsidR="00132F33" w:rsidRPr="00DB3A1A">
        <w:rPr>
          <w:b w:val="0"/>
          <w:bCs/>
          <w:sz w:val="24"/>
          <w:szCs w:val="24"/>
          <w:shd w:val="clear" w:color="auto" w:fill="FFFFFF"/>
        </w:rPr>
        <w:t>inistru kabineta</w:t>
      </w:r>
      <w:r w:rsidRPr="00DB3A1A">
        <w:rPr>
          <w:b w:val="0"/>
          <w:bCs/>
          <w:sz w:val="24"/>
          <w:szCs w:val="24"/>
          <w:shd w:val="clear" w:color="auto" w:fill="FFFFFF"/>
        </w:rPr>
        <w:t xml:space="preserve"> sēdē, izskatot </w:t>
      </w:r>
      <w:r w:rsidRPr="00DB3A1A">
        <w:rPr>
          <w:b w:val="0"/>
          <w:bCs/>
          <w:sz w:val="24"/>
          <w:szCs w:val="24"/>
        </w:rPr>
        <w:t>informatīvo ziņojumu “Par valsts pamatbudžeta un valsts speciālā budžeta bāzi un izdevumu pārskatīšanas rezultātiem 2026., 2027., 2028. un 2029. gadam”, tika pieņemts zināšanai, ka informatīvajā ziņojumā iekļautie ministriju un neatkarīgo institūciju fiskāli neitrālie priekšlikumi tiek izskatīti atsevišķi budžeta sagatavošanas procesā  (prot</w:t>
      </w:r>
      <w:r w:rsidR="00C64738" w:rsidRPr="00DB3A1A">
        <w:rPr>
          <w:b w:val="0"/>
          <w:bCs/>
          <w:sz w:val="24"/>
          <w:szCs w:val="24"/>
        </w:rPr>
        <w:t>okols</w:t>
      </w:r>
      <w:r w:rsidRPr="00DB3A1A">
        <w:rPr>
          <w:b w:val="0"/>
          <w:bCs/>
          <w:sz w:val="24"/>
          <w:szCs w:val="24"/>
        </w:rPr>
        <w:t xml:space="preserve"> Nr. 33 53. § 10. punkts).</w:t>
      </w:r>
    </w:p>
    <w:p w14:paraId="1B6C5C1F" w14:textId="58A53119" w:rsidR="006D46C9" w:rsidRPr="006D46C9" w:rsidRDefault="006D46C9" w:rsidP="00504705">
      <w:pPr>
        <w:spacing w:after="120" w:line="240" w:lineRule="auto"/>
        <w:jc w:val="both"/>
        <w:rPr>
          <w:rFonts w:ascii="Times New Roman" w:hAnsi="Times New Roman" w:cs="Times New Roman"/>
          <w:sz w:val="24"/>
          <w:szCs w:val="24"/>
          <w:lang w:eastAsia="lv-LV"/>
        </w:rPr>
      </w:pPr>
      <w:r>
        <w:rPr>
          <w:lang w:eastAsia="lv-LV"/>
        </w:rPr>
        <w:tab/>
      </w:r>
      <w:r w:rsidRPr="00504705">
        <w:rPr>
          <w:rFonts w:ascii="Times New Roman" w:hAnsi="Times New Roman" w:cs="Times New Roman"/>
          <w:sz w:val="24"/>
          <w:szCs w:val="24"/>
          <w:lang w:eastAsia="lv-LV"/>
        </w:rPr>
        <w:t>Vienlaikus, lai nodrošinātu  gatavību kultūras mantojuma aizsardzībai un glābšanai krīzes situācijās, ir panākta vienošanās veikt pārdali  no Aizsardzības ministrijas  uz Kultūras ministrijas budžeta programmu 21.00.00. “Kultūras mantojums” 3</w:t>
      </w:r>
      <w:r w:rsidR="00504705">
        <w:rPr>
          <w:rFonts w:ascii="Times New Roman" w:hAnsi="Times New Roman" w:cs="Times New Roman"/>
          <w:sz w:val="24"/>
          <w:szCs w:val="24"/>
          <w:lang w:eastAsia="lv-LV"/>
        </w:rPr>
        <w:t> 000 000</w:t>
      </w:r>
      <w:r w:rsidRPr="00504705">
        <w:rPr>
          <w:rFonts w:ascii="Times New Roman" w:hAnsi="Times New Roman" w:cs="Times New Roman"/>
          <w:sz w:val="24"/>
          <w:szCs w:val="24"/>
          <w:lang w:eastAsia="lv-LV"/>
        </w:rPr>
        <w:t xml:space="preserve"> </w:t>
      </w:r>
      <w:r w:rsidRPr="00504705">
        <w:rPr>
          <w:rFonts w:ascii="Times New Roman" w:hAnsi="Times New Roman" w:cs="Times New Roman"/>
          <w:i/>
          <w:iCs/>
          <w:sz w:val="24"/>
          <w:szCs w:val="24"/>
          <w:lang w:eastAsia="lv-LV"/>
        </w:rPr>
        <w:t>euro</w:t>
      </w:r>
      <w:r w:rsidRPr="00504705">
        <w:rPr>
          <w:rFonts w:ascii="Times New Roman" w:hAnsi="Times New Roman" w:cs="Times New Roman"/>
          <w:sz w:val="24"/>
          <w:szCs w:val="24"/>
          <w:lang w:eastAsia="lv-LV"/>
        </w:rPr>
        <w:t xml:space="preserve"> apmērā no 2026.</w:t>
      </w:r>
      <w:r w:rsidR="00504705">
        <w:rPr>
          <w:rFonts w:ascii="Times New Roman" w:hAnsi="Times New Roman" w:cs="Times New Roman"/>
          <w:sz w:val="24"/>
          <w:szCs w:val="24"/>
          <w:lang w:eastAsia="lv-LV"/>
        </w:rPr>
        <w:t xml:space="preserve"> </w:t>
      </w:r>
      <w:r w:rsidRPr="00504705">
        <w:rPr>
          <w:rFonts w:ascii="Times New Roman" w:hAnsi="Times New Roman" w:cs="Times New Roman"/>
          <w:sz w:val="24"/>
          <w:szCs w:val="24"/>
          <w:lang w:eastAsia="lv-LV"/>
        </w:rPr>
        <w:t>gada ik gadu. Gan kultūras mantojuma vērtību precīza uzskaite un digitalizācija, gan optimāla saglabātības stāvokļa nodrošināšana ir nozīmīgs priekšnoteikums kultūras mantojuma institūciju gatavībai krīzes situācijām. Jautājumu par rīcību krīzes situācijās katra kultūras mantojuma nozare (arhīvi, bibliotēkas, muzeji, kultūras pieminekļu joma) līdz šim brīdim lielākoties ir risinājusi individuāli, atbilstoši nozares specifikai un normatīvajam regulējumam. Izvērtējot situāciju, ir secināts, ka nepieciešams vienādot procedūras, lai atvieglotu lēmuma pieņemšanu krīzes situācijās visām kultūras mantojuma glābšanā iesaistītajām pusēm. Vienlaikus paaugstinoties risku līmenim ģeopolitiskās situācijas dēļ un izaicinājumiem, ko paredz klimata pārmaiņu prognozes, ir nepieciešams radīt priekšnoteikumus, lai  kultūras mantojuma nozare būtu augsta gatavības  dažādām krīzes situācijām. Lai to nodrošinātu, nepieciešams stiprināt kultūras mantojuma iestāžu darbinieku zināšanas, kompetenci un praktiskās iemaņas civilās aizsardzības, kiberdrošības un mantojuma nozīmības jautājumos, paredzot papildu kapacitātes nodrošinājumu ārpus esošā amata pienākumu ietvara.</w:t>
      </w:r>
    </w:p>
    <w:p w14:paraId="6EAE0D43" w14:textId="77777777" w:rsidR="00DF419B" w:rsidRDefault="00DF419B" w:rsidP="00E80F58">
      <w:pPr>
        <w:spacing w:after="120" w:line="240" w:lineRule="auto"/>
        <w:jc w:val="both"/>
        <w:rPr>
          <w:rFonts w:ascii="Times New Roman" w:hAnsi="Times New Roman" w:cs="Times New Roman"/>
          <w:sz w:val="24"/>
          <w:szCs w:val="24"/>
        </w:rPr>
      </w:pPr>
    </w:p>
    <w:p w14:paraId="1328BEE4" w14:textId="3447C9D2" w:rsidR="00563742" w:rsidRPr="00DB3A1A" w:rsidRDefault="00563742" w:rsidP="009A788E">
      <w:pPr>
        <w:spacing w:before="120" w:after="120"/>
        <w:jc w:val="both"/>
        <w:rPr>
          <w:rFonts w:ascii="Times New Roman" w:hAnsi="Times New Roman" w:cs="Times New Roman"/>
          <w:sz w:val="20"/>
          <w:szCs w:val="20"/>
        </w:rPr>
      </w:pPr>
      <w:r w:rsidRPr="00DB3A1A">
        <w:rPr>
          <w:rFonts w:ascii="Times New Roman" w:hAnsi="Times New Roman" w:cs="Times New Roman"/>
          <w:sz w:val="24"/>
          <w:szCs w:val="24"/>
        </w:rPr>
        <w:t>Finanšu ministrs</w:t>
      </w:r>
      <w:r w:rsidRPr="00DB3A1A">
        <w:rPr>
          <w:rFonts w:ascii="Times New Roman" w:hAnsi="Times New Roman" w:cs="Times New Roman"/>
          <w:sz w:val="24"/>
          <w:szCs w:val="24"/>
        </w:rPr>
        <w:tab/>
      </w:r>
      <w:r w:rsidRPr="00DB3A1A">
        <w:rPr>
          <w:rFonts w:ascii="Times New Roman" w:hAnsi="Times New Roman" w:cs="Times New Roman"/>
          <w:sz w:val="24"/>
          <w:szCs w:val="24"/>
        </w:rPr>
        <w:tab/>
      </w:r>
      <w:r w:rsidRPr="00DB3A1A">
        <w:rPr>
          <w:rFonts w:ascii="Times New Roman" w:hAnsi="Times New Roman" w:cs="Times New Roman"/>
          <w:sz w:val="24"/>
          <w:szCs w:val="24"/>
        </w:rPr>
        <w:tab/>
      </w:r>
      <w:r w:rsidRPr="00DB3A1A">
        <w:rPr>
          <w:rFonts w:ascii="Times New Roman" w:hAnsi="Times New Roman" w:cs="Times New Roman"/>
          <w:sz w:val="24"/>
          <w:szCs w:val="24"/>
        </w:rPr>
        <w:tab/>
      </w:r>
      <w:r w:rsidRPr="00DB3A1A">
        <w:rPr>
          <w:rFonts w:ascii="Times New Roman" w:hAnsi="Times New Roman" w:cs="Times New Roman"/>
          <w:sz w:val="24"/>
          <w:szCs w:val="24"/>
        </w:rPr>
        <w:tab/>
      </w:r>
      <w:r w:rsidRPr="00DB3A1A">
        <w:rPr>
          <w:rFonts w:ascii="Times New Roman" w:hAnsi="Times New Roman" w:cs="Times New Roman"/>
          <w:sz w:val="24"/>
          <w:szCs w:val="24"/>
        </w:rPr>
        <w:tab/>
      </w:r>
      <w:r w:rsidRPr="00DB3A1A">
        <w:rPr>
          <w:rFonts w:ascii="Times New Roman" w:hAnsi="Times New Roman" w:cs="Times New Roman"/>
          <w:sz w:val="24"/>
          <w:szCs w:val="24"/>
        </w:rPr>
        <w:tab/>
      </w:r>
      <w:r w:rsidRPr="00DB3A1A">
        <w:rPr>
          <w:rFonts w:ascii="Times New Roman" w:hAnsi="Times New Roman" w:cs="Times New Roman"/>
          <w:sz w:val="24"/>
          <w:szCs w:val="24"/>
        </w:rPr>
        <w:tab/>
      </w:r>
      <w:r w:rsidR="00153C6F" w:rsidRPr="00DB3A1A">
        <w:rPr>
          <w:rFonts w:ascii="Times New Roman" w:hAnsi="Times New Roman" w:cs="Times New Roman"/>
          <w:sz w:val="24"/>
          <w:szCs w:val="24"/>
        </w:rPr>
        <w:tab/>
      </w:r>
      <w:r w:rsidR="00153C6F" w:rsidRPr="00DB3A1A">
        <w:rPr>
          <w:rFonts w:ascii="Times New Roman" w:hAnsi="Times New Roman" w:cs="Times New Roman"/>
          <w:sz w:val="24"/>
          <w:szCs w:val="24"/>
        </w:rPr>
        <w:tab/>
      </w:r>
      <w:r w:rsidR="00153C6F" w:rsidRPr="00DB3A1A">
        <w:rPr>
          <w:rFonts w:ascii="Times New Roman" w:hAnsi="Times New Roman" w:cs="Times New Roman"/>
          <w:sz w:val="24"/>
          <w:szCs w:val="24"/>
        </w:rPr>
        <w:tab/>
      </w:r>
      <w:r w:rsidR="000D448F" w:rsidRPr="00DB3A1A">
        <w:rPr>
          <w:rFonts w:ascii="Times New Roman" w:hAnsi="Times New Roman" w:cs="Times New Roman"/>
          <w:sz w:val="24"/>
          <w:szCs w:val="24"/>
        </w:rPr>
        <w:t>A.</w:t>
      </w:r>
      <w:r w:rsidR="0048005D" w:rsidRPr="00DB3A1A">
        <w:rPr>
          <w:rFonts w:ascii="Times New Roman" w:hAnsi="Times New Roman" w:cs="Times New Roman"/>
          <w:sz w:val="24"/>
          <w:szCs w:val="24"/>
        </w:rPr>
        <w:t xml:space="preserve"> </w:t>
      </w:r>
      <w:r w:rsidR="000D448F" w:rsidRPr="00DB3A1A">
        <w:rPr>
          <w:rFonts w:ascii="Times New Roman" w:hAnsi="Times New Roman" w:cs="Times New Roman"/>
          <w:sz w:val="24"/>
          <w:szCs w:val="24"/>
        </w:rPr>
        <w:t>Ašeradens</w:t>
      </w:r>
    </w:p>
    <w:p w14:paraId="726CDF03" w14:textId="77777777" w:rsidR="00D91AD8" w:rsidRPr="00DB3A1A" w:rsidRDefault="00D91AD8" w:rsidP="0048005D">
      <w:pPr>
        <w:spacing w:after="0"/>
        <w:ind w:right="74"/>
        <w:rPr>
          <w:rFonts w:ascii="Times New Roman" w:hAnsi="Times New Roman" w:cs="Times New Roman"/>
          <w:sz w:val="20"/>
          <w:szCs w:val="20"/>
        </w:rPr>
      </w:pPr>
    </w:p>
    <w:p w14:paraId="06CB79F1" w14:textId="77777777" w:rsidR="00DD2C9E" w:rsidRPr="00DB3A1A" w:rsidRDefault="00DD2C9E" w:rsidP="0048005D">
      <w:pPr>
        <w:spacing w:after="0"/>
        <w:ind w:right="74"/>
        <w:rPr>
          <w:rFonts w:ascii="Times New Roman" w:hAnsi="Times New Roman" w:cs="Times New Roman"/>
          <w:sz w:val="20"/>
          <w:szCs w:val="20"/>
        </w:rPr>
      </w:pPr>
    </w:p>
    <w:p w14:paraId="315E0592" w14:textId="77777777" w:rsidR="00175E63" w:rsidRPr="00DB3A1A" w:rsidRDefault="00175E63" w:rsidP="0048005D">
      <w:pPr>
        <w:spacing w:after="0"/>
        <w:ind w:right="74"/>
        <w:rPr>
          <w:rFonts w:ascii="Times New Roman" w:hAnsi="Times New Roman" w:cs="Times New Roman"/>
          <w:sz w:val="20"/>
          <w:szCs w:val="20"/>
        </w:rPr>
      </w:pPr>
    </w:p>
    <w:p w14:paraId="04DFB471" w14:textId="77777777" w:rsidR="00175E63" w:rsidRPr="00DB3A1A" w:rsidRDefault="00175E63" w:rsidP="0048005D">
      <w:pPr>
        <w:spacing w:after="0"/>
        <w:ind w:right="74"/>
        <w:rPr>
          <w:rFonts w:ascii="Times New Roman" w:hAnsi="Times New Roman" w:cs="Times New Roman"/>
          <w:sz w:val="20"/>
          <w:szCs w:val="20"/>
        </w:rPr>
      </w:pPr>
    </w:p>
    <w:p w14:paraId="173EDEB8" w14:textId="7F0884E8" w:rsidR="0048005D" w:rsidRPr="00D2266C" w:rsidRDefault="0048005D" w:rsidP="0048005D">
      <w:pPr>
        <w:spacing w:after="0"/>
        <w:ind w:right="74"/>
        <w:rPr>
          <w:rFonts w:ascii="Times New Roman" w:hAnsi="Times New Roman" w:cs="Times New Roman"/>
          <w:sz w:val="20"/>
          <w:szCs w:val="20"/>
        </w:rPr>
      </w:pPr>
      <w:r w:rsidRPr="00D2266C">
        <w:rPr>
          <w:rFonts w:ascii="Times New Roman" w:hAnsi="Times New Roman" w:cs="Times New Roman"/>
          <w:sz w:val="20"/>
          <w:szCs w:val="20"/>
        </w:rPr>
        <w:t>Adijāne,  26663998</w:t>
      </w:r>
    </w:p>
    <w:p w14:paraId="64EFF80D" w14:textId="79FA0AC3" w:rsidR="00D25E0B" w:rsidRPr="00D2266C" w:rsidRDefault="00D25E0B" w:rsidP="00975F06">
      <w:pPr>
        <w:spacing w:after="0"/>
        <w:ind w:right="74"/>
        <w:rPr>
          <w:rFonts w:ascii="Times New Roman" w:hAnsi="Times New Roman" w:cs="Times New Roman"/>
          <w:sz w:val="20"/>
          <w:szCs w:val="20"/>
        </w:rPr>
      </w:pPr>
      <w:hyperlink r:id="rId8" w:history="1">
        <w:r w:rsidRPr="00D2266C">
          <w:rPr>
            <w:rStyle w:val="Hyperlink"/>
            <w:rFonts w:ascii="Times New Roman" w:hAnsi="Times New Roman" w:cs="Times New Roman"/>
            <w:sz w:val="20"/>
            <w:szCs w:val="20"/>
          </w:rPr>
          <w:t>Zane.Adijane@fm.gov.lv</w:t>
        </w:r>
      </w:hyperlink>
    </w:p>
    <w:p w14:paraId="095A71D2" w14:textId="77777777" w:rsidR="00D2266C" w:rsidRPr="00D2266C" w:rsidRDefault="00D2266C" w:rsidP="00975F06">
      <w:pPr>
        <w:spacing w:after="0"/>
        <w:ind w:right="74"/>
        <w:rPr>
          <w:rFonts w:ascii="Times New Roman" w:hAnsi="Times New Roman" w:cs="Times New Roman"/>
          <w:sz w:val="20"/>
          <w:szCs w:val="20"/>
        </w:rPr>
      </w:pPr>
    </w:p>
    <w:p w14:paraId="76EA7325" w14:textId="60837E51" w:rsidR="00D2266C" w:rsidRPr="00D2266C" w:rsidRDefault="00D2266C" w:rsidP="00975F06">
      <w:pPr>
        <w:spacing w:after="0"/>
        <w:ind w:right="74"/>
        <w:rPr>
          <w:rFonts w:ascii="Times New Roman" w:hAnsi="Times New Roman" w:cs="Times New Roman"/>
          <w:sz w:val="20"/>
          <w:szCs w:val="20"/>
        </w:rPr>
      </w:pPr>
      <w:r w:rsidRPr="00D2266C">
        <w:rPr>
          <w:rFonts w:ascii="Times New Roman" w:hAnsi="Times New Roman" w:cs="Times New Roman"/>
          <w:sz w:val="20"/>
          <w:szCs w:val="20"/>
        </w:rPr>
        <w:t>Dzenīte, 26179628</w:t>
      </w:r>
    </w:p>
    <w:p w14:paraId="07EB4322" w14:textId="27413F6C" w:rsidR="00D2266C" w:rsidRDefault="00D2266C" w:rsidP="00975F06">
      <w:pPr>
        <w:spacing w:after="0"/>
        <w:ind w:right="74"/>
        <w:rPr>
          <w:rFonts w:ascii="Times New Roman" w:hAnsi="Times New Roman" w:cs="Times New Roman"/>
          <w:sz w:val="20"/>
          <w:szCs w:val="20"/>
        </w:rPr>
      </w:pPr>
      <w:hyperlink r:id="rId9" w:history="1">
        <w:r w:rsidRPr="00690AB7">
          <w:rPr>
            <w:rStyle w:val="Hyperlink"/>
            <w:rFonts w:ascii="Times New Roman" w:hAnsi="Times New Roman" w:cs="Times New Roman"/>
            <w:sz w:val="20"/>
            <w:szCs w:val="20"/>
          </w:rPr>
          <w:t>Ievina.Dzenite@fm.gov.lv</w:t>
        </w:r>
      </w:hyperlink>
    </w:p>
    <w:p w14:paraId="1AA491D6" w14:textId="77777777" w:rsidR="00D2266C" w:rsidRPr="00D2266C" w:rsidRDefault="00D2266C" w:rsidP="00975F06">
      <w:pPr>
        <w:spacing w:after="0"/>
        <w:ind w:right="74"/>
        <w:rPr>
          <w:rFonts w:ascii="Times New Roman" w:hAnsi="Times New Roman" w:cs="Times New Roman"/>
          <w:sz w:val="20"/>
          <w:szCs w:val="20"/>
        </w:rPr>
      </w:pPr>
    </w:p>
    <w:sectPr w:rsidR="00D2266C" w:rsidRPr="00D2266C" w:rsidSect="0082389F">
      <w:headerReference w:type="default" r:id="rId10"/>
      <w:footerReference w:type="default" r:id="rId11"/>
      <w:head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978C" w14:textId="77777777" w:rsidR="00A54418" w:rsidRDefault="00A54418" w:rsidP="00D7043B">
      <w:pPr>
        <w:spacing w:after="0" w:line="240" w:lineRule="auto"/>
      </w:pPr>
      <w:r>
        <w:separator/>
      </w:r>
    </w:p>
  </w:endnote>
  <w:endnote w:type="continuationSeparator" w:id="0">
    <w:p w14:paraId="4AEF55C2" w14:textId="77777777" w:rsidR="00A54418" w:rsidRDefault="00A54418" w:rsidP="00D7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AE86" w14:textId="5127EE1B" w:rsidR="003E2A4C" w:rsidRPr="002B5B22" w:rsidRDefault="003E2A4C">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9917A4">
      <w:rPr>
        <w:rFonts w:ascii="Times New Roman" w:hAnsi="Times New Roman" w:cs="Times New Roman"/>
        <w:noProof/>
        <w:sz w:val="20"/>
        <w:szCs w:val="20"/>
      </w:rPr>
      <w:t>FMZin_PP_2026_2028_190925.docx</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5608" w14:textId="77777777" w:rsidR="00A54418" w:rsidRDefault="00A54418" w:rsidP="00D7043B">
      <w:pPr>
        <w:spacing w:after="0" w:line="240" w:lineRule="auto"/>
      </w:pPr>
      <w:r>
        <w:separator/>
      </w:r>
    </w:p>
  </w:footnote>
  <w:footnote w:type="continuationSeparator" w:id="0">
    <w:p w14:paraId="6BAA9AE0" w14:textId="77777777" w:rsidR="00A54418" w:rsidRDefault="00A54418" w:rsidP="00D7043B">
      <w:pPr>
        <w:spacing w:after="0" w:line="240" w:lineRule="auto"/>
      </w:pPr>
      <w:r>
        <w:continuationSeparator/>
      </w:r>
    </w:p>
  </w:footnote>
  <w:footnote w:id="1">
    <w:p w14:paraId="1BAF6A8B" w14:textId="77777777" w:rsidR="00B75AD4" w:rsidRPr="00DA1615" w:rsidRDefault="00B75AD4" w:rsidP="00B75AD4">
      <w:pPr>
        <w:pStyle w:val="FootnoteText"/>
        <w:rPr>
          <w:noProof/>
          <w:color w:val="000000" w:themeColor="text1"/>
          <w:sz w:val="18"/>
          <w:szCs w:val="18"/>
        </w:rPr>
      </w:pPr>
      <w:r w:rsidRPr="00DA1615">
        <w:rPr>
          <w:noProof/>
          <w:color w:val="000000" w:themeColor="text1"/>
          <w:sz w:val="18"/>
          <w:szCs w:val="18"/>
          <w:vertAlign w:val="superscript"/>
        </w:rPr>
        <w:footnoteRef/>
      </w:r>
      <w:r w:rsidRPr="00DA1615">
        <w:rPr>
          <w:noProof/>
          <w:color w:val="000000" w:themeColor="text1"/>
          <w:sz w:val="18"/>
          <w:szCs w:val="18"/>
        </w:rPr>
        <w:t xml:space="preserve"> Brussels, 4.6.2025 COM(2025) 610 final, https://data.consilium.europa.eu/doc/document/ST-10474-2025-INIT/lv/pdf</w:t>
      </w:r>
    </w:p>
  </w:footnote>
  <w:footnote w:id="2">
    <w:p w14:paraId="6DAE03C8" w14:textId="3078BEF9" w:rsidR="0054125F" w:rsidRPr="00D47A72" w:rsidRDefault="0054125F" w:rsidP="00D47A72">
      <w:pPr>
        <w:pStyle w:val="FootnoteText"/>
        <w:jc w:val="both"/>
        <w:rPr>
          <w:sz w:val="18"/>
          <w:szCs w:val="18"/>
        </w:rPr>
      </w:pPr>
      <w:r w:rsidRPr="00D47A72">
        <w:rPr>
          <w:rStyle w:val="FootnoteReference"/>
          <w:sz w:val="18"/>
          <w:szCs w:val="18"/>
        </w:rPr>
        <w:footnoteRef/>
      </w:r>
      <w:r w:rsidRPr="00D47A72">
        <w:rPr>
          <w:rFonts w:cs="Times New Roman"/>
          <w:sz w:val="18"/>
          <w:szCs w:val="18"/>
        </w:rPr>
        <w:t xml:space="preserve"> Informatīvais ziņojums „Par makroekonomisko rādītāju, ieņēmumu un vispārējās valdības budžeta bilances prognozēm 202</w:t>
      </w:r>
      <w:r w:rsidR="00D271AA" w:rsidRPr="00D47A72">
        <w:rPr>
          <w:rFonts w:cs="Times New Roman"/>
          <w:sz w:val="18"/>
          <w:szCs w:val="18"/>
        </w:rPr>
        <w:t>6</w:t>
      </w:r>
      <w:r w:rsidRPr="00D47A72">
        <w:rPr>
          <w:rFonts w:cs="Times New Roman"/>
          <w:sz w:val="18"/>
          <w:szCs w:val="18"/>
        </w:rPr>
        <w:t>., 202</w:t>
      </w:r>
      <w:r w:rsidR="00D271AA" w:rsidRPr="00D47A72">
        <w:rPr>
          <w:rFonts w:cs="Times New Roman"/>
          <w:sz w:val="18"/>
          <w:szCs w:val="18"/>
        </w:rPr>
        <w:t>7</w:t>
      </w:r>
      <w:r w:rsidRPr="00D47A72">
        <w:rPr>
          <w:rFonts w:cs="Times New Roman"/>
          <w:sz w:val="18"/>
          <w:szCs w:val="18"/>
        </w:rPr>
        <w:t>., 202</w:t>
      </w:r>
      <w:r w:rsidR="00D271AA" w:rsidRPr="00D47A72">
        <w:rPr>
          <w:rFonts w:cs="Times New Roman"/>
          <w:sz w:val="18"/>
          <w:szCs w:val="18"/>
        </w:rPr>
        <w:t>8</w:t>
      </w:r>
      <w:r w:rsidRPr="00D47A72">
        <w:rPr>
          <w:rFonts w:cs="Times New Roman"/>
          <w:sz w:val="18"/>
          <w:szCs w:val="18"/>
        </w:rPr>
        <w:t>. un 202</w:t>
      </w:r>
      <w:r w:rsidR="00D271AA" w:rsidRPr="00D47A72">
        <w:rPr>
          <w:rFonts w:cs="Times New Roman"/>
          <w:sz w:val="18"/>
          <w:szCs w:val="18"/>
        </w:rPr>
        <w:t>9</w:t>
      </w:r>
      <w:r w:rsidRPr="00D47A72">
        <w:rPr>
          <w:rFonts w:cs="Times New Roman"/>
          <w:sz w:val="18"/>
          <w:szCs w:val="18"/>
        </w:rPr>
        <w:t>. gadā”, pieejams:</w:t>
      </w:r>
      <w:r w:rsidRPr="00D47A72">
        <w:rPr>
          <w:sz w:val="18"/>
          <w:szCs w:val="18"/>
        </w:rPr>
        <w:t xml:space="preserve"> </w:t>
      </w:r>
    </w:p>
    <w:p w14:paraId="133FA94F" w14:textId="7AFFB141" w:rsidR="00D271AA" w:rsidRPr="00D47A72" w:rsidRDefault="00D931CF" w:rsidP="00D47A72">
      <w:pPr>
        <w:pStyle w:val="FootnoteText"/>
        <w:jc w:val="both"/>
        <w:rPr>
          <w:sz w:val="18"/>
          <w:szCs w:val="18"/>
        </w:rPr>
      </w:pPr>
      <w:hyperlink r:id="rId1" w:history="1">
        <w:r w:rsidRPr="00D47A72">
          <w:rPr>
            <w:rStyle w:val="Hyperlink"/>
            <w:sz w:val="18"/>
            <w:szCs w:val="18"/>
          </w:rPr>
          <w:t>https://tapportals.mk.gov.lv/legal_acts/1b22acf1-7d8a-413f-95b0-5e23c60029bc</w:t>
        </w:r>
      </w:hyperlink>
    </w:p>
  </w:footnote>
  <w:footnote w:id="3">
    <w:p w14:paraId="11EC6068" w14:textId="77777777" w:rsidR="00F042EC" w:rsidRPr="005367CB" w:rsidRDefault="00F042EC" w:rsidP="00F042EC">
      <w:pPr>
        <w:pStyle w:val="FootnoteText"/>
        <w:jc w:val="both"/>
        <w:rPr>
          <w:sz w:val="18"/>
          <w:szCs w:val="18"/>
        </w:rPr>
      </w:pPr>
      <w:r w:rsidRPr="00D47A72">
        <w:rPr>
          <w:rStyle w:val="FootnoteReference"/>
          <w:sz w:val="18"/>
          <w:szCs w:val="18"/>
        </w:rPr>
        <w:footnoteRef/>
      </w:r>
      <w:r w:rsidRPr="00D47A72">
        <w:rPr>
          <w:rFonts w:cs="Times New Roman"/>
          <w:sz w:val="18"/>
          <w:szCs w:val="18"/>
        </w:rPr>
        <w:t xml:space="preserve"> Informatīvais ziņojums</w:t>
      </w:r>
      <w:r>
        <w:rPr>
          <w:rFonts w:cs="Times New Roman"/>
          <w:sz w:val="18"/>
          <w:szCs w:val="18"/>
        </w:rPr>
        <w:t xml:space="preserve"> </w:t>
      </w:r>
      <w:r w:rsidRPr="005367CB">
        <w:rPr>
          <w:rFonts w:cs="Times New Roman"/>
          <w:sz w:val="18"/>
          <w:szCs w:val="18"/>
        </w:rPr>
        <w:t>“Par valsts pamatbudžeta un valsts speciālā budžeta bāzi un izdevumu pārskatīšanas rezultātiem 2026., 2027., 2028. un 2029. gadam”, pieejams:</w:t>
      </w:r>
      <w:r w:rsidRPr="005367CB">
        <w:rPr>
          <w:sz w:val="18"/>
          <w:szCs w:val="18"/>
        </w:rPr>
        <w:t xml:space="preserve"> </w:t>
      </w:r>
    </w:p>
    <w:p w14:paraId="343B2A4F" w14:textId="77777777" w:rsidR="00F042EC" w:rsidRDefault="00F042EC" w:rsidP="00F042EC">
      <w:pPr>
        <w:pStyle w:val="FootnoteText"/>
        <w:jc w:val="both"/>
        <w:rPr>
          <w:sz w:val="18"/>
          <w:szCs w:val="18"/>
        </w:rPr>
      </w:pPr>
      <w:hyperlink r:id="rId2" w:history="1">
        <w:r w:rsidRPr="00744F7F">
          <w:rPr>
            <w:rStyle w:val="Hyperlink"/>
            <w:sz w:val="18"/>
            <w:szCs w:val="18"/>
          </w:rPr>
          <w:t>https://tapportals.mk.gov.lv/legal_acts/438de4b7-4475-4d8e-a189-34956851f965</w:t>
        </w:r>
      </w:hyperlink>
      <w:r>
        <w:rPr>
          <w:sz w:val="18"/>
          <w:szCs w:val="18"/>
        </w:rPr>
        <w:t>;</w:t>
      </w:r>
    </w:p>
    <w:p w14:paraId="5CD2D8D6" w14:textId="77777777" w:rsidR="00F042EC" w:rsidRPr="00D47A72" w:rsidRDefault="00F042EC" w:rsidP="00F042EC">
      <w:pPr>
        <w:pStyle w:val="FootnoteText"/>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634506"/>
      <w:docPartObj>
        <w:docPartGallery w:val="Page Numbers (Top of Page)"/>
        <w:docPartUnique/>
      </w:docPartObj>
    </w:sdtPr>
    <w:sdtEndPr>
      <w:rPr>
        <w:noProof/>
      </w:rPr>
    </w:sdtEndPr>
    <w:sdtContent>
      <w:p w14:paraId="3C3ED713" w14:textId="77777777" w:rsidR="003E2A4C" w:rsidRDefault="003E2A4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CDC9FF" w14:textId="77777777" w:rsidR="003E2A4C" w:rsidRDefault="003E2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A85D" w14:textId="77777777" w:rsidR="003E2A4C" w:rsidRDefault="003E2A4C">
    <w:pPr>
      <w:pStyle w:val="Header"/>
      <w:jc w:val="center"/>
    </w:pPr>
  </w:p>
  <w:p w14:paraId="2D25E495" w14:textId="77777777" w:rsidR="003E2A4C" w:rsidRDefault="003E2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07B"/>
    <w:multiLevelType w:val="multilevel"/>
    <w:tmpl w:val="D8968CDE"/>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8B75FD"/>
    <w:multiLevelType w:val="hybridMultilevel"/>
    <w:tmpl w:val="5AB661F0"/>
    <w:lvl w:ilvl="0" w:tplc="04260003">
      <w:start w:val="1"/>
      <w:numFmt w:val="bullet"/>
      <w:lvlText w:val="o"/>
      <w:lvlJc w:val="left"/>
      <w:pPr>
        <w:ind w:left="1287" w:hanging="360"/>
      </w:pPr>
      <w:rPr>
        <w:rFonts w:ascii="Courier New" w:hAnsi="Courier New" w:cs="Courier New"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0A08789A"/>
    <w:multiLevelType w:val="multilevel"/>
    <w:tmpl w:val="D8968CDE"/>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076174A"/>
    <w:multiLevelType w:val="multilevel"/>
    <w:tmpl w:val="22880662"/>
    <w:lvl w:ilvl="0">
      <w:start w:val="5"/>
      <w:numFmt w:val="none"/>
      <w:lvlText w:val="7."/>
      <w:lvlJc w:val="left"/>
      <w:pPr>
        <w:ind w:left="1080" w:hanging="720"/>
      </w:pPr>
      <w:rPr>
        <w:rFonts w:hint="default"/>
        <w:b/>
        <w:color w:val="auto"/>
        <w:sz w:val="24"/>
      </w:rPr>
    </w:lvl>
    <w:lvl w:ilvl="1">
      <w:start w:val="1"/>
      <w:numFmt w:val="decimal"/>
      <w:isLgl/>
      <w:lvlText w:val="%1.6."/>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94737E"/>
    <w:multiLevelType w:val="multilevel"/>
    <w:tmpl w:val="D8968CDE"/>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57D35BD"/>
    <w:multiLevelType w:val="multilevel"/>
    <w:tmpl w:val="D8968CDE"/>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E35D6F"/>
    <w:multiLevelType w:val="hybridMultilevel"/>
    <w:tmpl w:val="79CAA344"/>
    <w:lvl w:ilvl="0" w:tplc="EACE9FF4">
      <w:start w:val="1"/>
      <w:numFmt w:val="bullet"/>
      <w:lvlText w:val="-"/>
      <w:lvlJc w:val="left"/>
      <w:pPr>
        <w:tabs>
          <w:tab w:val="num" w:pos="720"/>
        </w:tabs>
        <w:ind w:left="720" w:hanging="360"/>
      </w:pPr>
      <w:rPr>
        <w:rFonts w:ascii="Arial" w:hAnsi="Arial" w:hint="default"/>
      </w:rPr>
    </w:lvl>
    <w:lvl w:ilvl="1" w:tplc="DFB60934" w:tentative="1">
      <w:start w:val="1"/>
      <w:numFmt w:val="bullet"/>
      <w:lvlText w:val="-"/>
      <w:lvlJc w:val="left"/>
      <w:pPr>
        <w:tabs>
          <w:tab w:val="num" w:pos="1440"/>
        </w:tabs>
        <w:ind w:left="1440" w:hanging="360"/>
      </w:pPr>
      <w:rPr>
        <w:rFonts w:ascii="Arial" w:hAnsi="Arial" w:hint="default"/>
      </w:rPr>
    </w:lvl>
    <w:lvl w:ilvl="2" w:tplc="51FCAEB4" w:tentative="1">
      <w:start w:val="1"/>
      <w:numFmt w:val="bullet"/>
      <w:lvlText w:val="-"/>
      <w:lvlJc w:val="left"/>
      <w:pPr>
        <w:tabs>
          <w:tab w:val="num" w:pos="2160"/>
        </w:tabs>
        <w:ind w:left="2160" w:hanging="360"/>
      </w:pPr>
      <w:rPr>
        <w:rFonts w:ascii="Arial" w:hAnsi="Arial" w:hint="default"/>
      </w:rPr>
    </w:lvl>
    <w:lvl w:ilvl="3" w:tplc="DF64B34E" w:tentative="1">
      <w:start w:val="1"/>
      <w:numFmt w:val="bullet"/>
      <w:lvlText w:val="-"/>
      <w:lvlJc w:val="left"/>
      <w:pPr>
        <w:tabs>
          <w:tab w:val="num" w:pos="2880"/>
        </w:tabs>
        <w:ind w:left="2880" w:hanging="360"/>
      </w:pPr>
      <w:rPr>
        <w:rFonts w:ascii="Arial" w:hAnsi="Arial" w:hint="default"/>
      </w:rPr>
    </w:lvl>
    <w:lvl w:ilvl="4" w:tplc="2CD41012" w:tentative="1">
      <w:start w:val="1"/>
      <w:numFmt w:val="bullet"/>
      <w:lvlText w:val="-"/>
      <w:lvlJc w:val="left"/>
      <w:pPr>
        <w:tabs>
          <w:tab w:val="num" w:pos="3600"/>
        </w:tabs>
        <w:ind w:left="3600" w:hanging="360"/>
      </w:pPr>
      <w:rPr>
        <w:rFonts w:ascii="Arial" w:hAnsi="Arial" w:hint="default"/>
      </w:rPr>
    </w:lvl>
    <w:lvl w:ilvl="5" w:tplc="F7F64056" w:tentative="1">
      <w:start w:val="1"/>
      <w:numFmt w:val="bullet"/>
      <w:lvlText w:val="-"/>
      <w:lvlJc w:val="left"/>
      <w:pPr>
        <w:tabs>
          <w:tab w:val="num" w:pos="4320"/>
        </w:tabs>
        <w:ind w:left="4320" w:hanging="360"/>
      </w:pPr>
      <w:rPr>
        <w:rFonts w:ascii="Arial" w:hAnsi="Arial" w:hint="default"/>
      </w:rPr>
    </w:lvl>
    <w:lvl w:ilvl="6" w:tplc="AE709038" w:tentative="1">
      <w:start w:val="1"/>
      <w:numFmt w:val="bullet"/>
      <w:lvlText w:val="-"/>
      <w:lvlJc w:val="left"/>
      <w:pPr>
        <w:tabs>
          <w:tab w:val="num" w:pos="5040"/>
        </w:tabs>
        <w:ind w:left="5040" w:hanging="360"/>
      </w:pPr>
      <w:rPr>
        <w:rFonts w:ascii="Arial" w:hAnsi="Arial" w:hint="default"/>
      </w:rPr>
    </w:lvl>
    <w:lvl w:ilvl="7" w:tplc="3850E460" w:tentative="1">
      <w:start w:val="1"/>
      <w:numFmt w:val="bullet"/>
      <w:lvlText w:val="-"/>
      <w:lvlJc w:val="left"/>
      <w:pPr>
        <w:tabs>
          <w:tab w:val="num" w:pos="5760"/>
        </w:tabs>
        <w:ind w:left="5760" w:hanging="360"/>
      </w:pPr>
      <w:rPr>
        <w:rFonts w:ascii="Arial" w:hAnsi="Arial" w:hint="default"/>
      </w:rPr>
    </w:lvl>
    <w:lvl w:ilvl="8" w:tplc="D55A86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48434F"/>
    <w:multiLevelType w:val="hybridMultilevel"/>
    <w:tmpl w:val="BF6C12F4"/>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640EDB"/>
    <w:multiLevelType w:val="hybridMultilevel"/>
    <w:tmpl w:val="9418F2B8"/>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7E7597"/>
    <w:multiLevelType w:val="multilevel"/>
    <w:tmpl w:val="CE7E2EBA"/>
    <w:lvl w:ilvl="0">
      <w:start w:val="4"/>
      <w:numFmt w:val="decimal"/>
      <w:lvlText w:val="%1."/>
      <w:lvlJc w:val="left"/>
      <w:pPr>
        <w:ind w:left="1080" w:hanging="720"/>
      </w:pPr>
      <w:rPr>
        <w:rFonts w:hint="default"/>
        <w:b/>
        <w:color w:val="auto"/>
        <w:sz w:val="24"/>
      </w:rPr>
    </w:lvl>
    <w:lvl w:ilvl="1">
      <w:start w:val="1"/>
      <w:numFmt w:val="decimal"/>
      <w:isLgl/>
      <w:lvlText w:val="%1.6."/>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E4F7190"/>
    <w:multiLevelType w:val="multilevel"/>
    <w:tmpl w:val="133AF850"/>
    <w:lvl w:ilvl="0">
      <w:start w:val="4"/>
      <w:numFmt w:val="decimal"/>
      <w:lvlText w:val="%1."/>
      <w:lvlJc w:val="left"/>
      <w:pPr>
        <w:ind w:left="1080" w:hanging="720"/>
      </w:pPr>
      <w:rPr>
        <w:rFonts w:hint="default"/>
        <w:b/>
        <w:color w:val="auto"/>
        <w:sz w:val="24"/>
      </w:rPr>
    </w:lvl>
    <w:lvl w:ilvl="1">
      <w:start w:val="1"/>
      <w:numFmt w:val="decimal"/>
      <w:isLgl/>
      <w:lvlText w:val="%1.6."/>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3047BB8"/>
    <w:multiLevelType w:val="multilevel"/>
    <w:tmpl w:val="50C63794"/>
    <w:lvl w:ilvl="0">
      <w:start w:val="1"/>
      <w:numFmt w:val="none"/>
      <w:lvlText w:val="2."/>
      <w:lvlJc w:val="left"/>
      <w:pPr>
        <w:ind w:left="1080" w:hanging="720"/>
      </w:pPr>
      <w:rPr>
        <w:rFonts w:hint="default"/>
      </w:rPr>
    </w:lvl>
    <w:lvl w:ilvl="1">
      <w:start w:val="1"/>
      <w:numFmt w:val="decimal"/>
      <w:isLgl/>
      <w:lvlText w:val="%1.6."/>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371A16"/>
    <w:multiLevelType w:val="hybridMultilevel"/>
    <w:tmpl w:val="D0445A2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7D22429"/>
    <w:multiLevelType w:val="hybridMultilevel"/>
    <w:tmpl w:val="94504A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B612B9C"/>
    <w:multiLevelType w:val="hybridMultilevel"/>
    <w:tmpl w:val="3D7ACD7E"/>
    <w:lvl w:ilvl="0" w:tplc="1CBCCE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CB63E53"/>
    <w:multiLevelType w:val="multilevel"/>
    <w:tmpl w:val="3A94BE4C"/>
    <w:lvl w:ilvl="0">
      <w:start w:val="5"/>
      <w:numFmt w:val="decimal"/>
      <w:lvlText w:val="%1."/>
      <w:lvlJc w:val="left"/>
      <w:pPr>
        <w:ind w:left="360" w:hanging="360"/>
      </w:pPr>
      <w:rPr>
        <w:rFonts w:hint="default"/>
      </w:rPr>
    </w:lvl>
    <w:lvl w:ilvl="1">
      <w:start w:val="1"/>
      <w:numFmt w:val="decimal"/>
      <w:lvlText w:val="3.%2."/>
      <w:lvlJc w:val="left"/>
      <w:pPr>
        <w:ind w:left="1077"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6D121B1F"/>
    <w:multiLevelType w:val="multilevel"/>
    <w:tmpl w:val="FD960778"/>
    <w:lvl w:ilvl="0">
      <w:start w:val="1"/>
      <w:numFmt w:val="decimal"/>
      <w:lvlText w:val="%1."/>
      <w:lvlJc w:val="left"/>
      <w:pPr>
        <w:ind w:left="1080" w:hanging="720"/>
      </w:pPr>
      <w:rPr>
        <w:rFonts w:hint="default"/>
      </w:rPr>
    </w:lvl>
    <w:lvl w:ilvl="1">
      <w:start w:val="1"/>
      <w:numFmt w:val="decimal"/>
      <w:isLgl/>
      <w:lvlText w:val="%1.6."/>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14E7B63"/>
    <w:multiLevelType w:val="hybridMultilevel"/>
    <w:tmpl w:val="A810E8F2"/>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1898030">
    <w:abstractNumId w:val="16"/>
  </w:num>
  <w:num w:numId="2" w16cid:durableId="888802603">
    <w:abstractNumId w:val="15"/>
  </w:num>
  <w:num w:numId="3" w16cid:durableId="62724871">
    <w:abstractNumId w:val="11"/>
  </w:num>
  <w:num w:numId="4" w16cid:durableId="230047264">
    <w:abstractNumId w:val="11"/>
    <w:lvlOverride w:ilvl="0">
      <w:lvl w:ilvl="0">
        <w:start w:val="1"/>
        <w:numFmt w:val="none"/>
        <w:lvlText w:val="3."/>
        <w:lvlJc w:val="left"/>
        <w:pPr>
          <w:ind w:left="1080" w:hanging="720"/>
        </w:pPr>
        <w:rPr>
          <w:rFonts w:hint="default"/>
        </w:rPr>
      </w:lvl>
    </w:lvlOverride>
    <w:lvlOverride w:ilvl="1">
      <w:lvl w:ilvl="1">
        <w:start w:val="1"/>
        <w:numFmt w:val="decimal"/>
        <w:isLgl/>
        <w:lvlText w:val="%1.6."/>
        <w:lvlJc w:val="left"/>
        <w:pPr>
          <w:ind w:left="786"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 w16cid:durableId="1875731622">
    <w:abstractNumId w:val="10"/>
  </w:num>
  <w:num w:numId="6" w16cid:durableId="509609513">
    <w:abstractNumId w:val="3"/>
  </w:num>
  <w:num w:numId="7" w16cid:durableId="921842249">
    <w:abstractNumId w:val="6"/>
  </w:num>
  <w:num w:numId="8" w16cid:durableId="774205220">
    <w:abstractNumId w:val="1"/>
  </w:num>
  <w:num w:numId="9" w16cid:durableId="1699503569">
    <w:abstractNumId w:val="17"/>
  </w:num>
  <w:num w:numId="10" w16cid:durableId="1043793811">
    <w:abstractNumId w:val="13"/>
  </w:num>
  <w:num w:numId="11" w16cid:durableId="491919079">
    <w:abstractNumId w:val="12"/>
  </w:num>
  <w:num w:numId="12" w16cid:durableId="292952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302582">
    <w:abstractNumId w:val="6"/>
  </w:num>
  <w:num w:numId="14" w16cid:durableId="1897936848">
    <w:abstractNumId w:val="7"/>
  </w:num>
  <w:num w:numId="15" w16cid:durableId="1486699949">
    <w:abstractNumId w:val="2"/>
  </w:num>
  <w:num w:numId="16" w16cid:durableId="1711757765">
    <w:abstractNumId w:val="0"/>
  </w:num>
  <w:num w:numId="17" w16cid:durableId="1243687693">
    <w:abstractNumId w:val="5"/>
  </w:num>
  <w:num w:numId="18" w16cid:durableId="206457727">
    <w:abstractNumId w:val="4"/>
  </w:num>
  <w:num w:numId="19" w16cid:durableId="475221497">
    <w:abstractNumId w:val="14"/>
  </w:num>
  <w:num w:numId="20" w16cid:durableId="559439182">
    <w:abstractNumId w:val="8"/>
  </w:num>
  <w:num w:numId="21" w16cid:durableId="10246004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14"/>
    <w:rsid w:val="00000B13"/>
    <w:rsid w:val="00001439"/>
    <w:rsid w:val="0000325A"/>
    <w:rsid w:val="00003554"/>
    <w:rsid w:val="00004DCB"/>
    <w:rsid w:val="00007907"/>
    <w:rsid w:val="00010176"/>
    <w:rsid w:val="000106BD"/>
    <w:rsid w:val="0001447B"/>
    <w:rsid w:val="00015EBD"/>
    <w:rsid w:val="00017D0C"/>
    <w:rsid w:val="00020C84"/>
    <w:rsid w:val="00021080"/>
    <w:rsid w:val="00022444"/>
    <w:rsid w:val="00022E12"/>
    <w:rsid w:val="0002329F"/>
    <w:rsid w:val="0002588A"/>
    <w:rsid w:val="00030102"/>
    <w:rsid w:val="00031520"/>
    <w:rsid w:val="00032B92"/>
    <w:rsid w:val="000333A0"/>
    <w:rsid w:val="0003348B"/>
    <w:rsid w:val="00033993"/>
    <w:rsid w:val="00035526"/>
    <w:rsid w:val="00035A21"/>
    <w:rsid w:val="0003753B"/>
    <w:rsid w:val="000377D0"/>
    <w:rsid w:val="000423FF"/>
    <w:rsid w:val="00042B16"/>
    <w:rsid w:val="00043312"/>
    <w:rsid w:val="000446A2"/>
    <w:rsid w:val="0004570B"/>
    <w:rsid w:val="00046230"/>
    <w:rsid w:val="000501FE"/>
    <w:rsid w:val="00050A20"/>
    <w:rsid w:val="00050DAD"/>
    <w:rsid w:val="0005110C"/>
    <w:rsid w:val="000519E9"/>
    <w:rsid w:val="00051B68"/>
    <w:rsid w:val="00054EBE"/>
    <w:rsid w:val="00057E38"/>
    <w:rsid w:val="000609E6"/>
    <w:rsid w:val="000640C8"/>
    <w:rsid w:val="000645DD"/>
    <w:rsid w:val="0006535D"/>
    <w:rsid w:val="00066531"/>
    <w:rsid w:val="00067570"/>
    <w:rsid w:val="00072835"/>
    <w:rsid w:val="000735BB"/>
    <w:rsid w:val="00073D60"/>
    <w:rsid w:val="0007470B"/>
    <w:rsid w:val="000767D4"/>
    <w:rsid w:val="00077C7A"/>
    <w:rsid w:val="00080A09"/>
    <w:rsid w:val="000818BA"/>
    <w:rsid w:val="00082C4D"/>
    <w:rsid w:val="00084804"/>
    <w:rsid w:val="00085BC8"/>
    <w:rsid w:val="00085E89"/>
    <w:rsid w:val="00086385"/>
    <w:rsid w:val="0009010A"/>
    <w:rsid w:val="00090EF5"/>
    <w:rsid w:val="00091D00"/>
    <w:rsid w:val="00092861"/>
    <w:rsid w:val="000939C8"/>
    <w:rsid w:val="000939DA"/>
    <w:rsid w:val="00093C4A"/>
    <w:rsid w:val="000946C9"/>
    <w:rsid w:val="00094886"/>
    <w:rsid w:val="00096F51"/>
    <w:rsid w:val="00097680"/>
    <w:rsid w:val="00097C95"/>
    <w:rsid w:val="000A07DB"/>
    <w:rsid w:val="000A2B64"/>
    <w:rsid w:val="000A3703"/>
    <w:rsid w:val="000A3F24"/>
    <w:rsid w:val="000A3FE2"/>
    <w:rsid w:val="000A4A11"/>
    <w:rsid w:val="000B0AA1"/>
    <w:rsid w:val="000B227B"/>
    <w:rsid w:val="000B23DE"/>
    <w:rsid w:val="000B4ECE"/>
    <w:rsid w:val="000B60FB"/>
    <w:rsid w:val="000B76F3"/>
    <w:rsid w:val="000C07B4"/>
    <w:rsid w:val="000C0A23"/>
    <w:rsid w:val="000C100E"/>
    <w:rsid w:val="000C2333"/>
    <w:rsid w:val="000C2BBF"/>
    <w:rsid w:val="000C4483"/>
    <w:rsid w:val="000C47CE"/>
    <w:rsid w:val="000C47E8"/>
    <w:rsid w:val="000C4824"/>
    <w:rsid w:val="000D0837"/>
    <w:rsid w:val="000D1982"/>
    <w:rsid w:val="000D448F"/>
    <w:rsid w:val="000D55FC"/>
    <w:rsid w:val="000D688F"/>
    <w:rsid w:val="000E0809"/>
    <w:rsid w:val="000E31B7"/>
    <w:rsid w:val="000E407A"/>
    <w:rsid w:val="000E43BF"/>
    <w:rsid w:val="000E4AC2"/>
    <w:rsid w:val="000E4FCE"/>
    <w:rsid w:val="000E56CF"/>
    <w:rsid w:val="000E6CD8"/>
    <w:rsid w:val="000E78EA"/>
    <w:rsid w:val="000E7F70"/>
    <w:rsid w:val="000F23E3"/>
    <w:rsid w:val="000F566C"/>
    <w:rsid w:val="000F6C16"/>
    <w:rsid w:val="000F798B"/>
    <w:rsid w:val="00100C51"/>
    <w:rsid w:val="00101ACA"/>
    <w:rsid w:val="00101E98"/>
    <w:rsid w:val="00104AA8"/>
    <w:rsid w:val="0010662E"/>
    <w:rsid w:val="00106CF5"/>
    <w:rsid w:val="00106D95"/>
    <w:rsid w:val="0011011A"/>
    <w:rsid w:val="00111C42"/>
    <w:rsid w:val="00112F08"/>
    <w:rsid w:val="001139D7"/>
    <w:rsid w:val="00113DC0"/>
    <w:rsid w:val="00115903"/>
    <w:rsid w:val="00116547"/>
    <w:rsid w:val="00116CCC"/>
    <w:rsid w:val="00116D68"/>
    <w:rsid w:val="001172B1"/>
    <w:rsid w:val="0012274D"/>
    <w:rsid w:val="00123E50"/>
    <w:rsid w:val="001251E3"/>
    <w:rsid w:val="00130929"/>
    <w:rsid w:val="00131494"/>
    <w:rsid w:val="00132F33"/>
    <w:rsid w:val="00134B4B"/>
    <w:rsid w:val="00134FDE"/>
    <w:rsid w:val="00136F9F"/>
    <w:rsid w:val="001401C7"/>
    <w:rsid w:val="00143E80"/>
    <w:rsid w:val="00147D3C"/>
    <w:rsid w:val="00150615"/>
    <w:rsid w:val="00151A46"/>
    <w:rsid w:val="00153C6F"/>
    <w:rsid w:val="00154631"/>
    <w:rsid w:val="001567AA"/>
    <w:rsid w:val="001567DC"/>
    <w:rsid w:val="001574B3"/>
    <w:rsid w:val="00157E8B"/>
    <w:rsid w:val="001606E1"/>
    <w:rsid w:val="0016077B"/>
    <w:rsid w:val="00162617"/>
    <w:rsid w:val="00166742"/>
    <w:rsid w:val="00167C0D"/>
    <w:rsid w:val="001709E0"/>
    <w:rsid w:val="0017255E"/>
    <w:rsid w:val="00173573"/>
    <w:rsid w:val="00173BEA"/>
    <w:rsid w:val="001743FD"/>
    <w:rsid w:val="00175B58"/>
    <w:rsid w:val="00175E63"/>
    <w:rsid w:val="00176423"/>
    <w:rsid w:val="001765FE"/>
    <w:rsid w:val="001819C2"/>
    <w:rsid w:val="001822E1"/>
    <w:rsid w:val="0018264F"/>
    <w:rsid w:val="00183405"/>
    <w:rsid w:val="00185932"/>
    <w:rsid w:val="00186AEF"/>
    <w:rsid w:val="0018701B"/>
    <w:rsid w:val="00187E43"/>
    <w:rsid w:val="00191EE1"/>
    <w:rsid w:val="00192811"/>
    <w:rsid w:val="00192E7D"/>
    <w:rsid w:val="00192F8C"/>
    <w:rsid w:val="00195401"/>
    <w:rsid w:val="00195591"/>
    <w:rsid w:val="001A074E"/>
    <w:rsid w:val="001A611E"/>
    <w:rsid w:val="001B07AD"/>
    <w:rsid w:val="001B08CA"/>
    <w:rsid w:val="001B1F61"/>
    <w:rsid w:val="001B2A7D"/>
    <w:rsid w:val="001B4063"/>
    <w:rsid w:val="001B6F5D"/>
    <w:rsid w:val="001B7372"/>
    <w:rsid w:val="001C0B4A"/>
    <w:rsid w:val="001C115C"/>
    <w:rsid w:val="001C1225"/>
    <w:rsid w:val="001C1B15"/>
    <w:rsid w:val="001C1E73"/>
    <w:rsid w:val="001C2934"/>
    <w:rsid w:val="001C319F"/>
    <w:rsid w:val="001C4976"/>
    <w:rsid w:val="001C5E47"/>
    <w:rsid w:val="001D0C25"/>
    <w:rsid w:val="001D0F04"/>
    <w:rsid w:val="001D1137"/>
    <w:rsid w:val="001D1A05"/>
    <w:rsid w:val="001D2AAB"/>
    <w:rsid w:val="001D2B22"/>
    <w:rsid w:val="001D48F8"/>
    <w:rsid w:val="001D7F71"/>
    <w:rsid w:val="001E0288"/>
    <w:rsid w:val="001E0CF1"/>
    <w:rsid w:val="001E3589"/>
    <w:rsid w:val="001E4A6C"/>
    <w:rsid w:val="001E64D1"/>
    <w:rsid w:val="001F140E"/>
    <w:rsid w:val="001F1BD4"/>
    <w:rsid w:val="001F2142"/>
    <w:rsid w:val="001F3E37"/>
    <w:rsid w:val="001F5594"/>
    <w:rsid w:val="001F5AAE"/>
    <w:rsid w:val="001F60CF"/>
    <w:rsid w:val="001F635E"/>
    <w:rsid w:val="001F7C40"/>
    <w:rsid w:val="00200B0E"/>
    <w:rsid w:val="00203E6F"/>
    <w:rsid w:val="00204AE7"/>
    <w:rsid w:val="002051CA"/>
    <w:rsid w:val="002069D5"/>
    <w:rsid w:val="00207262"/>
    <w:rsid w:val="00210902"/>
    <w:rsid w:val="002115F3"/>
    <w:rsid w:val="00211EDD"/>
    <w:rsid w:val="00213A52"/>
    <w:rsid w:val="00213B01"/>
    <w:rsid w:val="00216680"/>
    <w:rsid w:val="0021731B"/>
    <w:rsid w:val="00221769"/>
    <w:rsid w:val="0022763C"/>
    <w:rsid w:val="00227A1A"/>
    <w:rsid w:val="00227D81"/>
    <w:rsid w:val="00231AA9"/>
    <w:rsid w:val="00232618"/>
    <w:rsid w:val="00232851"/>
    <w:rsid w:val="00232DA9"/>
    <w:rsid w:val="002353A2"/>
    <w:rsid w:val="00236DE4"/>
    <w:rsid w:val="00241865"/>
    <w:rsid w:val="00241870"/>
    <w:rsid w:val="00244F5F"/>
    <w:rsid w:val="00245E33"/>
    <w:rsid w:val="002464FA"/>
    <w:rsid w:val="0025079F"/>
    <w:rsid w:val="00252404"/>
    <w:rsid w:val="00253ADC"/>
    <w:rsid w:val="002543C5"/>
    <w:rsid w:val="002560DB"/>
    <w:rsid w:val="0026004D"/>
    <w:rsid w:val="002619AB"/>
    <w:rsid w:val="002619DB"/>
    <w:rsid w:val="00262312"/>
    <w:rsid w:val="00264508"/>
    <w:rsid w:val="00265060"/>
    <w:rsid w:val="00267FCA"/>
    <w:rsid w:val="00270EB9"/>
    <w:rsid w:val="002710BB"/>
    <w:rsid w:val="002746CD"/>
    <w:rsid w:val="00276943"/>
    <w:rsid w:val="00276F6D"/>
    <w:rsid w:val="00280D45"/>
    <w:rsid w:val="00281580"/>
    <w:rsid w:val="00283522"/>
    <w:rsid w:val="00283B19"/>
    <w:rsid w:val="00284DEB"/>
    <w:rsid w:val="00285DF2"/>
    <w:rsid w:val="0028733B"/>
    <w:rsid w:val="00287437"/>
    <w:rsid w:val="00287C23"/>
    <w:rsid w:val="002910C6"/>
    <w:rsid w:val="002915C7"/>
    <w:rsid w:val="002925F3"/>
    <w:rsid w:val="002958DA"/>
    <w:rsid w:val="0029675D"/>
    <w:rsid w:val="00297420"/>
    <w:rsid w:val="002A1867"/>
    <w:rsid w:val="002A33E5"/>
    <w:rsid w:val="002A3FF5"/>
    <w:rsid w:val="002A59DC"/>
    <w:rsid w:val="002A5F3A"/>
    <w:rsid w:val="002A6DDB"/>
    <w:rsid w:val="002A731A"/>
    <w:rsid w:val="002B14A3"/>
    <w:rsid w:val="002B15A4"/>
    <w:rsid w:val="002B170E"/>
    <w:rsid w:val="002B1933"/>
    <w:rsid w:val="002B2ECF"/>
    <w:rsid w:val="002B3473"/>
    <w:rsid w:val="002B3AAF"/>
    <w:rsid w:val="002B59B3"/>
    <w:rsid w:val="002B59D0"/>
    <w:rsid w:val="002B5B22"/>
    <w:rsid w:val="002B5BEA"/>
    <w:rsid w:val="002B679B"/>
    <w:rsid w:val="002B6AFA"/>
    <w:rsid w:val="002B7240"/>
    <w:rsid w:val="002B7F33"/>
    <w:rsid w:val="002C05E9"/>
    <w:rsid w:val="002C1D61"/>
    <w:rsid w:val="002C3F2D"/>
    <w:rsid w:val="002C4709"/>
    <w:rsid w:val="002C4AA5"/>
    <w:rsid w:val="002C5912"/>
    <w:rsid w:val="002C59EB"/>
    <w:rsid w:val="002C6045"/>
    <w:rsid w:val="002C7E3F"/>
    <w:rsid w:val="002D1AD7"/>
    <w:rsid w:val="002D4D84"/>
    <w:rsid w:val="002D5019"/>
    <w:rsid w:val="002D6E4D"/>
    <w:rsid w:val="002E21F1"/>
    <w:rsid w:val="002E247E"/>
    <w:rsid w:val="002E3306"/>
    <w:rsid w:val="002E3C05"/>
    <w:rsid w:val="002E431E"/>
    <w:rsid w:val="002E592D"/>
    <w:rsid w:val="002E5EF2"/>
    <w:rsid w:val="002F0B51"/>
    <w:rsid w:val="002F3377"/>
    <w:rsid w:val="002F40EF"/>
    <w:rsid w:val="002F4332"/>
    <w:rsid w:val="002F4A8F"/>
    <w:rsid w:val="002F500F"/>
    <w:rsid w:val="002F5AC8"/>
    <w:rsid w:val="002F680B"/>
    <w:rsid w:val="002F6C90"/>
    <w:rsid w:val="002F6E37"/>
    <w:rsid w:val="002F7179"/>
    <w:rsid w:val="002F7281"/>
    <w:rsid w:val="00300D14"/>
    <w:rsid w:val="0030152B"/>
    <w:rsid w:val="003026B0"/>
    <w:rsid w:val="003047D6"/>
    <w:rsid w:val="00304E48"/>
    <w:rsid w:val="003059D5"/>
    <w:rsid w:val="003107D1"/>
    <w:rsid w:val="00312B8E"/>
    <w:rsid w:val="00313DEE"/>
    <w:rsid w:val="003150E7"/>
    <w:rsid w:val="00315D83"/>
    <w:rsid w:val="00316335"/>
    <w:rsid w:val="003168D9"/>
    <w:rsid w:val="00316949"/>
    <w:rsid w:val="00317A26"/>
    <w:rsid w:val="00317C0A"/>
    <w:rsid w:val="00320BE0"/>
    <w:rsid w:val="00323619"/>
    <w:rsid w:val="00324414"/>
    <w:rsid w:val="003245B7"/>
    <w:rsid w:val="00324D4A"/>
    <w:rsid w:val="00325D1C"/>
    <w:rsid w:val="003309DA"/>
    <w:rsid w:val="0033127E"/>
    <w:rsid w:val="00331AE8"/>
    <w:rsid w:val="00331D54"/>
    <w:rsid w:val="003334CA"/>
    <w:rsid w:val="00340F4E"/>
    <w:rsid w:val="0034242D"/>
    <w:rsid w:val="00342E17"/>
    <w:rsid w:val="003435E2"/>
    <w:rsid w:val="00343F19"/>
    <w:rsid w:val="00344E6D"/>
    <w:rsid w:val="00346678"/>
    <w:rsid w:val="00350CE4"/>
    <w:rsid w:val="00351044"/>
    <w:rsid w:val="00351AC5"/>
    <w:rsid w:val="00352374"/>
    <w:rsid w:val="00355114"/>
    <w:rsid w:val="00357D99"/>
    <w:rsid w:val="00361C13"/>
    <w:rsid w:val="00364B03"/>
    <w:rsid w:val="00366B2B"/>
    <w:rsid w:val="003679AC"/>
    <w:rsid w:val="003707A8"/>
    <w:rsid w:val="00370A80"/>
    <w:rsid w:val="003738C6"/>
    <w:rsid w:val="003745E6"/>
    <w:rsid w:val="0037629F"/>
    <w:rsid w:val="00381534"/>
    <w:rsid w:val="003829C3"/>
    <w:rsid w:val="00382B8D"/>
    <w:rsid w:val="00383530"/>
    <w:rsid w:val="00383850"/>
    <w:rsid w:val="003873E1"/>
    <w:rsid w:val="00391A3D"/>
    <w:rsid w:val="00392353"/>
    <w:rsid w:val="00392E8C"/>
    <w:rsid w:val="00396295"/>
    <w:rsid w:val="0039769F"/>
    <w:rsid w:val="00397D8E"/>
    <w:rsid w:val="003A01D3"/>
    <w:rsid w:val="003A07D4"/>
    <w:rsid w:val="003A090F"/>
    <w:rsid w:val="003A1AAF"/>
    <w:rsid w:val="003A1B40"/>
    <w:rsid w:val="003A439A"/>
    <w:rsid w:val="003A4510"/>
    <w:rsid w:val="003A52D3"/>
    <w:rsid w:val="003B03F6"/>
    <w:rsid w:val="003B14B6"/>
    <w:rsid w:val="003B223D"/>
    <w:rsid w:val="003B402E"/>
    <w:rsid w:val="003B4541"/>
    <w:rsid w:val="003B4B7B"/>
    <w:rsid w:val="003B52EC"/>
    <w:rsid w:val="003B5777"/>
    <w:rsid w:val="003B6293"/>
    <w:rsid w:val="003B6B93"/>
    <w:rsid w:val="003B7C5D"/>
    <w:rsid w:val="003B7F55"/>
    <w:rsid w:val="003C05D7"/>
    <w:rsid w:val="003C0E1B"/>
    <w:rsid w:val="003C0F93"/>
    <w:rsid w:val="003C52BB"/>
    <w:rsid w:val="003C55B3"/>
    <w:rsid w:val="003C5783"/>
    <w:rsid w:val="003C5D9E"/>
    <w:rsid w:val="003C62DF"/>
    <w:rsid w:val="003C7C2B"/>
    <w:rsid w:val="003D0DB8"/>
    <w:rsid w:val="003D2211"/>
    <w:rsid w:val="003D364C"/>
    <w:rsid w:val="003D44F8"/>
    <w:rsid w:val="003D4E60"/>
    <w:rsid w:val="003D6403"/>
    <w:rsid w:val="003D6D24"/>
    <w:rsid w:val="003D79CB"/>
    <w:rsid w:val="003E1087"/>
    <w:rsid w:val="003E1278"/>
    <w:rsid w:val="003E21B2"/>
    <w:rsid w:val="003E2569"/>
    <w:rsid w:val="003E25FF"/>
    <w:rsid w:val="003E2A4C"/>
    <w:rsid w:val="003E3F62"/>
    <w:rsid w:val="003E4587"/>
    <w:rsid w:val="003E6A18"/>
    <w:rsid w:val="003E7D1F"/>
    <w:rsid w:val="003F0790"/>
    <w:rsid w:val="003F10BA"/>
    <w:rsid w:val="003F17EF"/>
    <w:rsid w:val="003F28B2"/>
    <w:rsid w:val="003F4229"/>
    <w:rsid w:val="003F53ED"/>
    <w:rsid w:val="003F578B"/>
    <w:rsid w:val="003F58BD"/>
    <w:rsid w:val="003F66FD"/>
    <w:rsid w:val="003F6B5F"/>
    <w:rsid w:val="003F700D"/>
    <w:rsid w:val="003F72D7"/>
    <w:rsid w:val="003F73C5"/>
    <w:rsid w:val="00400627"/>
    <w:rsid w:val="00400F8E"/>
    <w:rsid w:val="0040341A"/>
    <w:rsid w:val="00403C1E"/>
    <w:rsid w:val="0040490D"/>
    <w:rsid w:val="0040542E"/>
    <w:rsid w:val="0040597F"/>
    <w:rsid w:val="004059DF"/>
    <w:rsid w:val="00407BDE"/>
    <w:rsid w:val="0041474F"/>
    <w:rsid w:val="00416A00"/>
    <w:rsid w:val="004172CA"/>
    <w:rsid w:val="004179EA"/>
    <w:rsid w:val="00417DB5"/>
    <w:rsid w:val="00421043"/>
    <w:rsid w:val="00421876"/>
    <w:rsid w:val="00422288"/>
    <w:rsid w:val="0042550F"/>
    <w:rsid w:val="0042619E"/>
    <w:rsid w:val="004266C4"/>
    <w:rsid w:val="004277D3"/>
    <w:rsid w:val="00430CE1"/>
    <w:rsid w:val="00431240"/>
    <w:rsid w:val="00431C0F"/>
    <w:rsid w:val="004329B8"/>
    <w:rsid w:val="00433CE9"/>
    <w:rsid w:val="004347A4"/>
    <w:rsid w:val="00436179"/>
    <w:rsid w:val="00436298"/>
    <w:rsid w:val="00437404"/>
    <w:rsid w:val="00442459"/>
    <w:rsid w:val="004433A9"/>
    <w:rsid w:val="00443D7B"/>
    <w:rsid w:val="00444F92"/>
    <w:rsid w:val="004454FB"/>
    <w:rsid w:val="0044690E"/>
    <w:rsid w:val="00446ECE"/>
    <w:rsid w:val="00451420"/>
    <w:rsid w:val="004526F2"/>
    <w:rsid w:val="004528EE"/>
    <w:rsid w:val="0045329F"/>
    <w:rsid w:val="004536CB"/>
    <w:rsid w:val="0045642C"/>
    <w:rsid w:val="00461101"/>
    <w:rsid w:val="00462F46"/>
    <w:rsid w:val="004676C0"/>
    <w:rsid w:val="00470A76"/>
    <w:rsid w:val="0047278D"/>
    <w:rsid w:val="00472960"/>
    <w:rsid w:val="00472D34"/>
    <w:rsid w:val="004736C6"/>
    <w:rsid w:val="00473CD8"/>
    <w:rsid w:val="00475A32"/>
    <w:rsid w:val="00476ECB"/>
    <w:rsid w:val="0047700F"/>
    <w:rsid w:val="00477E53"/>
    <w:rsid w:val="0048005D"/>
    <w:rsid w:val="004800DB"/>
    <w:rsid w:val="00480700"/>
    <w:rsid w:val="00481670"/>
    <w:rsid w:val="00483712"/>
    <w:rsid w:val="00484695"/>
    <w:rsid w:val="00485538"/>
    <w:rsid w:val="0048629B"/>
    <w:rsid w:val="00487393"/>
    <w:rsid w:val="004914FF"/>
    <w:rsid w:val="00492768"/>
    <w:rsid w:val="00492CE5"/>
    <w:rsid w:val="00494FFF"/>
    <w:rsid w:val="00496D7D"/>
    <w:rsid w:val="004A41F5"/>
    <w:rsid w:val="004A5147"/>
    <w:rsid w:val="004A55BA"/>
    <w:rsid w:val="004A79FB"/>
    <w:rsid w:val="004B0A04"/>
    <w:rsid w:val="004B1548"/>
    <w:rsid w:val="004B23EF"/>
    <w:rsid w:val="004B434A"/>
    <w:rsid w:val="004B480F"/>
    <w:rsid w:val="004B5373"/>
    <w:rsid w:val="004B5CD1"/>
    <w:rsid w:val="004B6B5E"/>
    <w:rsid w:val="004C07B5"/>
    <w:rsid w:val="004C2E43"/>
    <w:rsid w:val="004C4E58"/>
    <w:rsid w:val="004C521D"/>
    <w:rsid w:val="004C6510"/>
    <w:rsid w:val="004C6D46"/>
    <w:rsid w:val="004D0218"/>
    <w:rsid w:val="004D0253"/>
    <w:rsid w:val="004D0537"/>
    <w:rsid w:val="004D0D54"/>
    <w:rsid w:val="004D2DA2"/>
    <w:rsid w:val="004D38AD"/>
    <w:rsid w:val="004D39C2"/>
    <w:rsid w:val="004D5410"/>
    <w:rsid w:val="004D57D7"/>
    <w:rsid w:val="004D61C4"/>
    <w:rsid w:val="004D6289"/>
    <w:rsid w:val="004D69B4"/>
    <w:rsid w:val="004E061E"/>
    <w:rsid w:val="004E1F1D"/>
    <w:rsid w:val="004E3201"/>
    <w:rsid w:val="004E441E"/>
    <w:rsid w:val="004E4B6E"/>
    <w:rsid w:val="004E4E93"/>
    <w:rsid w:val="004E6D74"/>
    <w:rsid w:val="004E7619"/>
    <w:rsid w:val="004E7F80"/>
    <w:rsid w:val="004F05D3"/>
    <w:rsid w:val="004F2BF5"/>
    <w:rsid w:val="004F2E53"/>
    <w:rsid w:val="004F5463"/>
    <w:rsid w:val="004F5E4F"/>
    <w:rsid w:val="004F6E3C"/>
    <w:rsid w:val="004F7D76"/>
    <w:rsid w:val="00500B53"/>
    <w:rsid w:val="005020F0"/>
    <w:rsid w:val="005032F3"/>
    <w:rsid w:val="00504705"/>
    <w:rsid w:val="00504B25"/>
    <w:rsid w:val="00507049"/>
    <w:rsid w:val="005105A1"/>
    <w:rsid w:val="005125C3"/>
    <w:rsid w:val="005127F6"/>
    <w:rsid w:val="00512A89"/>
    <w:rsid w:val="0051557E"/>
    <w:rsid w:val="005177C8"/>
    <w:rsid w:val="00521719"/>
    <w:rsid w:val="005224BA"/>
    <w:rsid w:val="005229E4"/>
    <w:rsid w:val="00522A46"/>
    <w:rsid w:val="00526720"/>
    <w:rsid w:val="00527BCC"/>
    <w:rsid w:val="00530252"/>
    <w:rsid w:val="00532142"/>
    <w:rsid w:val="00532D38"/>
    <w:rsid w:val="005343AB"/>
    <w:rsid w:val="005367CB"/>
    <w:rsid w:val="0054125F"/>
    <w:rsid w:val="00543625"/>
    <w:rsid w:val="0054369E"/>
    <w:rsid w:val="00543D4D"/>
    <w:rsid w:val="0054493C"/>
    <w:rsid w:val="00547C48"/>
    <w:rsid w:val="005500FE"/>
    <w:rsid w:val="005507D7"/>
    <w:rsid w:val="00553B2E"/>
    <w:rsid w:val="00553E09"/>
    <w:rsid w:val="005540F5"/>
    <w:rsid w:val="00555AAC"/>
    <w:rsid w:val="0055729C"/>
    <w:rsid w:val="00557704"/>
    <w:rsid w:val="00560010"/>
    <w:rsid w:val="00562400"/>
    <w:rsid w:val="005626B1"/>
    <w:rsid w:val="005633F8"/>
    <w:rsid w:val="00563742"/>
    <w:rsid w:val="00565903"/>
    <w:rsid w:val="005663BC"/>
    <w:rsid w:val="005667DD"/>
    <w:rsid w:val="005675EB"/>
    <w:rsid w:val="00567A40"/>
    <w:rsid w:val="005702E4"/>
    <w:rsid w:val="00572A95"/>
    <w:rsid w:val="00574AC1"/>
    <w:rsid w:val="005765A1"/>
    <w:rsid w:val="005767F1"/>
    <w:rsid w:val="00576CE1"/>
    <w:rsid w:val="00577A65"/>
    <w:rsid w:val="005812E1"/>
    <w:rsid w:val="00581A9C"/>
    <w:rsid w:val="005841E9"/>
    <w:rsid w:val="005903EA"/>
    <w:rsid w:val="00590D47"/>
    <w:rsid w:val="00591670"/>
    <w:rsid w:val="0059295E"/>
    <w:rsid w:val="0059295F"/>
    <w:rsid w:val="00594BCF"/>
    <w:rsid w:val="005962BF"/>
    <w:rsid w:val="0059651E"/>
    <w:rsid w:val="005968CE"/>
    <w:rsid w:val="00597E79"/>
    <w:rsid w:val="005A00A9"/>
    <w:rsid w:val="005A01C0"/>
    <w:rsid w:val="005A0F37"/>
    <w:rsid w:val="005A1C63"/>
    <w:rsid w:val="005A1DAE"/>
    <w:rsid w:val="005A433B"/>
    <w:rsid w:val="005A4959"/>
    <w:rsid w:val="005A5411"/>
    <w:rsid w:val="005A5955"/>
    <w:rsid w:val="005A669E"/>
    <w:rsid w:val="005A754D"/>
    <w:rsid w:val="005A7F12"/>
    <w:rsid w:val="005B1ED3"/>
    <w:rsid w:val="005B1F3E"/>
    <w:rsid w:val="005B45D7"/>
    <w:rsid w:val="005B6E76"/>
    <w:rsid w:val="005B7C55"/>
    <w:rsid w:val="005C00F9"/>
    <w:rsid w:val="005C0665"/>
    <w:rsid w:val="005C15E2"/>
    <w:rsid w:val="005C2FB5"/>
    <w:rsid w:val="005C306B"/>
    <w:rsid w:val="005C3B45"/>
    <w:rsid w:val="005C3BFE"/>
    <w:rsid w:val="005C442C"/>
    <w:rsid w:val="005C4AA6"/>
    <w:rsid w:val="005C504F"/>
    <w:rsid w:val="005C5922"/>
    <w:rsid w:val="005C5C70"/>
    <w:rsid w:val="005C76EE"/>
    <w:rsid w:val="005D043B"/>
    <w:rsid w:val="005D0F59"/>
    <w:rsid w:val="005D1C14"/>
    <w:rsid w:val="005D2CA9"/>
    <w:rsid w:val="005D7247"/>
    <w:rsid w:val="005E029A"/>
    <w:rsid w:val="005E0AC3"/>
    <w:rsid w:val="005E1DE3"/>
    <w:rsid w:val="005E29B6"/>
    <w:rsid w:val="005E4192"/>
    <w:rsid w:val="005E45E0"/>
    <w:rsid w:val="005F0F7B"/>
    <w:rsid w:val="005F3BDC"/>
    <w:rsid w:val="005F5CDE"/>
    <w:rsid w:val="005F6ED3"/>
    <w:rsid w:val="005F6FAF"/>
    <w:rsid w:val="005F761B"/>
    <w:rsid w:val="006001C2"/>
    <w:rsid w:val="00603C94"/>
    <w:rsid w:val="00604E1C"/>
    <w:rsid w:val="00605A81"/>
    <w:rsid w:val="0060612E"/>
    <w:rsid w:val="00613A51"/>
    <w:rsid w:val="00614D74"/>
    <w:rsid w:val="00615AD7"/>
    <w:rsid w:val="0061681B"/>
    <w:rsid w:val="0061737C"/>
    <w:rsid w:val="00617EC9"/>
    <w:rsid w:val="00621CBC"/>
    <w:rsid w:val="006235FA"/>
    <w:rsid w:val="00624608"/>
    <w:rsid w:val="00624970"/>
    <w:rsid w:val="006252A9"/>
    <w:rsid w:val="006277EE"/>
    <w:rsid w:val="00632639"/>
    <w:rsid w:val="006339B1"/>
    <w:rsid w:val="00633DB6"/>
    <w:rsid w:val="00634012"/>
    <w:rsid w:val="006353A8"/>
    <w:rsid w:val="00635854"/>
    <w:rsid w:val="00635A01"/>
    <w:rsid w:val="006373B5"/>
    <w:rsid w:val="00640872"/>
    <w:rsid w:val="00641A7A"/>
    <w:rsid w:val="00642736"/>
    <w:rsid w:val="0064513B"/>
    <w:rsid w:val="006455D7"/>
    <w:rsid w:val="0064595A"/>
    <w:rsid w:val="0064651C"/>
    <w:rsid w:val="0064655B"/>
    <w:rsid w:val="00647034"/>
    <w:rsid w:val="006507AD"/>
    <w:rsid w:val="00650FCC"/>
    <w:rsid w:val="00651AE8"/>
    <w:rsid w:val="00654978"/>
    <w:rsid w:val="00657B44"/>
    <w:rsid w:val="00660B0A"/>
    <w:rsid w:val="00664969"/>
    <w:rsid w:val="00666CEC"/>
    <w:rsid w:val="006673E7"/>
    <w:rsid w:val="00667D08"/>
    <w:rsid w:val="00670E78"/>
    <w:rsid w:val="00675A0E"/>
    <w:rsid w:val="00677C78"/>
    <w:rsid w:val="00677F27"/>
    <w:rsid w:val="00680020"/>
    <w:rsid w:val="00680863"/>
    <w:rsid w:val="006812E4"/>
    <w:rsid w:val="0068166F"/>
    <w:rsid w:val="00682727"/>
    <w:rsid w:val="00683091"/>
    <w:rsid w:val="00683EE5"/>
    <w:rsid w:val="006850A7"/>
    <w:rsid w:val="0068561C"/>
    <w:rsid w:val="00686984"/>
    <w:rsid w:val="00687738"/>
    <w:rsid w:val="006903B0"/>
    <w:rsid w:val="00690D97"/>
    <w:rsid w:val="00692539"/>
    <w:rsid w:val="0069393B"/>
    <w:rsid w:val="00693A6A"/>
    <w:rsid w:val="00694930"/>
    <w:rsid w:val="00695246"/>
    <w:rsid w:val="0069723E"/>
    <w:rsid w:val="006972BF"/>
    <w:rsid w:val="00697B99"/>
    <w:rsid w:val="006A11AB"/>
    <w:rsid w:val="006A37A2"/>
    <w:rsid w:val="006A4401"/>
    <w:rsid w:val="006A5CDE"/>
    <w:rsid w:val="006A5E97"/>
    <w:rsid w:val="006A70E4"/>
    <w:rsid w:val="006A73E5"/>
    <w:rsid w:val="006A7DB4"/>
    <w:rsid w:val="006B15AF"/>
    <w:rsid w:val="006B6FAD"/>
    <w:rsid w:val="006B794E"/>
    <w:rsid w:val="006C05B2"/>
    <w:rsid w:val="006C5FAB"/>
    <w:rsid w:val="006C6594"/>
    <w:rsid w:val="006C7325"/>
    <w:rsid w:val="006D1985"/>
    <w:rsid w:val="006D33E3"/>
    <w:rsid w:val="006D38DC"/>
    <w:rsid w:val="006D4195"/>
    <w:rsid w:val="006D46C5"/>
    <w:rsid w:val="006D46C9"/>
    <w:rsid w:val="006D48C2"/>
    <w:rsid w:val="006E05CA"/>
    <w:rsid w:val="006E1A1B"/>
    <w:rsid w:val="006E1E23"/>
    <w:rsid w:val="006E41AA"/>
    <w:rsid w:val="006E5566"/>
    <w:rsid w:val="006E61E6"/>
    <w:rsid w:val="006E6F2D"/>
    <w:rsid w:val="006F09D9"/>
    <w:rsid w:val="006F228B"/>
    <w:rsid w:val="006F2A8E"/>
    <w:rsid w:val="006F301D"/>
    <w:rsid w:val="006F3AFE"/>
    <w:rsid w:val="006F3C27"/>
    <w:rsid w:val="006F4B21"/>
    <w:rsid w:val="006F52D6"/>
    <w:rsid w:val="006F6409"/>
    <w:rsid w:val="0070062C"/>
    <w:rsid w:val="00700BA1"/>
    <w:rsid w:val="00701688"/>
    <w:rsid w:val="007046D0"/>
    <w:rsid w:val="00704774"/>
    <w:rsid w:val="00706255"/>
    <w:rsid w:val="0070695E"/>
    <w:rsid w:val="00711D44"/>
    <w:rsid w:val="00712356"/>
    <w:rsid w:val="00714676"/>
    <w:rsid w:val="007148A2"/>
    <w:rsid w:val="007156D6"/>
    <w:rsid w:val="00715729"/>
    <w:rsid w:val="00715F4F"/>
    <w:rsid w:val="00722773"/>
    <w:rsid w:val="00722FD9"/>
    <w:rsid w:val="007234F1"/>
    <w:rsid w:val="00723D4A"/>
    <w:rsid w:val="00725A6A"/>
    <w:rsid w:val="007267AD"/>
    <w:rsid w:val="00730327"/>
    <w:rsid w:val="00732E24"/>
    <w:rsid w:val="007343EA"/>
    <w:rsid w:val="0074041A"/>
    <w:rsid w:val="007437A8"/>
    <w:rsid w:val="00744637"/>
    <w:rsid w:val="007446D9"/>
    <w:rsid w:val="007464B5"/>
    <w:rsid w:val="00746D81"/>
    <w:rsid w:val="007517F5"/>
    <w:rsid w:val="007519B7"/>
    <w:rsid w:val="007522EC"/>
    <w:rsid w:val="00752526"/>
    <w:rsid w:val="00752EC8"/>
    <w:rsid w:val="007548CF"/>
    <w:rsid w:val="0075682C"/>
    <w:rsid w:val="00756EA3"/>
    <w:rsid w:val="00757C4C"/>
    <w:rsid w:val="00760813"/>
    <w:rsid w:val="00763353"/>
    <w:rsid w:val="00763F47"/>
    <w:rsid w:val="00764BDC"/>
    <w:rsid w:val="00764FC6"/>
    <w:rsid w:val="0076576A"/>
    <w:rsid w:val="0076790D"/>
    <w:rsid w:val="00771F08"/>
    <w:rsid w:val="007729AC"/>
    <w:rsid w:val="00773870"/>
    <w:rsid w:val="00773B7D"/>
    <w:rsid w:val="00774414"/>
    <w:rsid w:val="00780C7D"/>
    <w:rsid w:val="00780F38"/>
    <w:rsid w:val="00781B46"/>
    <w:rsid w:val="007825A2"/>
    <w:rsid w:val="00782F46"/>
    <w:rsid w:val="0078397D"/>
    <w:rsid w:val="00783A41"/>
    <w:rsid w:val="00784F25"/>
    <w:rsid w:val="00785E5B"/>
    <w:rsid w:val="0079016A"/>
    <w:rsid w:val="00793674"/>
    <w:rsid w:val="00794500"/>
    <w:rsid w:val="00796941"/>
    <w:rsid w:val="007A0496"/>
    <w:rsid w:val="007A389D"/>
    <w:rsid w:val="007A3CF1"/>
    <w:rsid w:val="007A4AE5"/>
    <w:rsid w:val="007B03B8"/>
    <w:rsid w:val="007B1AC0"/>
    <w:rsid w:val="007B209D"/>
    <w:rsid w:val="007B3D9E"/>
    <w:rsid w:val="007B6052"/>
    <w:rsid w:val="007C3B2B"/>
    <w:rsid w:val="007C42A1"/>
    <w:rsid w:val="007C444F"/>
    <w:rsid w:val="007C5699"/>
    <w:rsid w:val="007C5A1F"/>
    <w:rsid w:val="007C5E72"/>
    <w:rsid w:val="007C6B37"/>
    <w:rsid w:val="007D071A"/>
    <w:rsid w:val="007D2C1F"/>
    <w:rsid w:val="007D3130"/>
    <w:rsid w:val="007D634A"/>
    <w:rsid w:val="007D76F5"/>
    <w:rsid w:val="007D7A2E"/>
    <w:rsid w:val="007E3C99"/>
    <w:rsid w:val="007E4F0D"/>
    <w:rsid w:val="007E590F"/>
    <w:rsid w:val="007E6548"/>
    <w:rsid w:val="007E6F24"/>
    <w:rsid w:val="007E783C"/>
    <w:rsid w:val="007F2973"/>
    <w:rsid w:val="007F3856"/>
    <w:rsid w:val="007F3A28"/>
    <w:rsid w:val="00800917"/>
    <w:rsid w:val="00800E53"/>
    <w:rsid w:val="00801B8B"/>
    <w:rsid w:val="008031C8"/>
    <w:rsid w:val="0080355D"/>
    <w:rsid w:val="008076D9"/>
    <w:rsid w:val="0081078B"/>
    <w:rsid w:val="00811FE2"/>
    <w:rsid w:val="008129B4"/>
    <w:rsid w:val="0081334E"/>
    <w:rsid w:val="00813BD8"/>
    <w:rsid w:val="00813EB5"/>
    <w:rsid w:val="00813F57"/>
    <w:rsid w:val="00815D06"/>
    <w:rsid w:val="00816FF2"/>
    <w:rsid w:val="0082335F"/>
    <w:rsid w:val="0082389F"/>
    <w:rsid w:val="00825F92"/>
    <w:rsid w:val="00826249"/>
    <w:rsid w:val="00826F6E"/>
    <w:rsid w:val="008308D5"/>
    <w:rsid w:val="00831D6E"/>
    <w:rsid w:val="00833D4D"/>
    <w:rsid w:val="00836077"/>
    <w:rsid w:val="00840141"/>
    <w:rsid w:val="00841A99"/>
    <w:rsid w:val="00841DCB"/>
    <w:rsid w:val="00841EA3"/>
    <w:rsid w:val="008432AB"/>
    <w:rsid w:val="00843362"/>
    <w:rsid w:val="0084365F"/>
    <w:rsid w:val="0084432B"/>
    <w:rsid w:val="00845381"/>
    <w:rsid w:val="008464F5"/>
    <w:rsid w:val="00846DCD"/>
    <w:rsid w:val="00850023"/>
    <w:rsid w:val="00851216"/>
    <w:rsid w:val="0085144B"/>
    <w:rsid w:val="00851FCB"/>
    <w:rsid w:val="00852868"/>
    <w:rsid w:val="00852926"/>
    <w:rsid w:val="00856A14"/>
    <w:rsid w:val="0085728E"/>
    <w:rsid w:val="0086101B"/>
    <w:rsid w:val="00861A36"/>
    <w:rsid w:val="00862E00"/>
    <w:rsid w:val="008635B4"/>
    <w:rsid w:val="0086373B"/>
    <w:rsid w:val="008664A6"/>
    <w:rsid w:val="008704EB"/>
    <w:rsid w:val="00870951"/>
    <w:rsid w:val="00872CF0"/>
    <w:rsid w:val="008732AD"/>
    <w:rsid w:val="008737A0"/>
    <w:rsid w:val="0087412B"/>
    <w:rsid w:val="0087414C"/>
    <w:rsid w:val="00875303"/>
    <w:rsid w:val="00877C02"/>
    <w:rsid w:val="00880622"/>
    <w:rsid w:val="00880F9D"/>
    <w:rsid w:val="008813F3"/>
    <w:rsid w:val="008815DB"/>
    <w:rsid w:val="00882466"/>
    <w:rsid w:val="00882E6F"/>
    <w:rsid w:val="00883053"/>
    <w:rsid w:val="00883588"/>
    <w:rsid w:val="00883A23"/>
    <w:rsid w:val="008910D2"/>
    <w:rsid w:val="008915DD"/>
    <w:rsid w:val="0089636B"/>
    <w:rsid w:val="00896FE2"/>
    <w:rsid w:val="00897BC6"/>
    <w:rsid w:val="008A001C"/>
    <w:rsid w:val="008A2794"/>
    <w:rsid w:val="008A3458"/>
    <w:rsid w:val="008A4A91"/>
    <w:rsid w:val="008A53F7"/>
    <w:rsid w:val="008A6FEA"/>
    <w:rsid w:val="008B127E"/>
    <w:rsid w:val="008B24A2"/>
    <w:rsid w:val="008B2B8F"/>
    <w:rsid w:val="008B311A"/>
    <w:rsid w:val="008B3560"/>
    <w:rsid w:val="008B49EB"/>
    <w:rsid w:val="008B4A21"/>
    <w:rsid w:val="008B67F3"/>
    <w:rsid w:val="008B7765"/>
    <w:rsid w:val="008C118D"/>
    <w:rsid w:val="008C1293"/>
    <w:rsid w:val="008C12D6"/>
    <w:rsid w:val="008C2DC4"/>
    <w:rsid w:val="008C3383"/>
    <w:rsid w:val="008C39BD"/>
    <w:rsid w:val="008C476E"/>
    <w:rsid w:val="008C75EE"/>
    <w:rsid w:val="008D233C"/>
    <w:rsid w:val="008D45B3"/>
    <w:rsid w:val="008D6BA7"/>
    <w:rsid w:val="008E04C7"/>
    <w:rsid w:val="008E0895"/>
    <w:rsid w:val="008E0AD5"/>
    <w:rsid w:val="008E1B9A"/>
    <w:rsid w:val="008E1EE5"/>
    <w:rsid w:val="008E2B2D"/>
    <w:rsid w:val="008E2BC8"/>
    <w:rsid w:val="008E2F4E"/>
    <w:rsid w:val="008E3BA1"/>
    <w:rsid w:val="008E3FD2"/>
    <w:rsid w:val="008E4FAF"/>
    <w:rsid w:val="008E60F4"/>
    <w:rsid w:val="008F3DDF"/>
    <w:rsid w:val="008F47D9"/>
    <w:rsid w:val="008F581A"/>
    <w:rsid w:val="008F6ECE"/>
    <w:rsid w:val="008F6FF2"/>
    <w:rsid w:val="008F79E3"/>
    <w:rsid w:val="008F7F19"/>
    <w:rsid w:val="009003D3"/>
    <w:rsid w:val="0090195F"/>
    <w:rsid w:val="009022E3"/>
    <w:rsid w:val="00902A0A"/>
    <w:rsid w:val="00902C4D"/>
    <w:rsid w:val="00903054"/>
    <w:rsid w:val="0090340D"/>
    <w:rsid w:val="00903E84"/>
    <w:rsid w:val="00904658"/>
    <w:rsid w:val="00907C8F"/>
    <w:rsid w:val="00907E67"/>
    <w:rsid w:val="009110C4"/>
    <w:rsid w:val="0091246E"/>
    <w:rsid w:val="009124E2"/>
    <w:rsid w:val="00912B8A"/>
    <w:rsid w:val="009132F6"/>
    <w:rsid w:val="009143E1"/>
    <w:rsid w:val="00914FBA"/>
    <w:rsid w:val="00917F0E"/>
    <w:rsid w:val="00921E63"/>
    <w:rsid w:val="00923EBE"/>
    <w:rsid w:val="009260CB"/>
    <w:rsid w:val="0093097B"/>
    <w:rsid w:val="00931F3E"/>
    <w:rsid w:val="00932031"/>
    <w:rsid w:val="00932308"/>
    <w:rsid w:val="00932D69"/>
    <w:rsid w:val="00934252"/>
    <w:rsid w:val="009360C3"/>
    <w:rsid w:val="0093660F"/>
    <w:rsid w:val="00936BEF"/>
    <w:rsid w:val="00937110"/>
    <w:rsid w:val="00937F0A"/>
    <w:rsid w:val="00941102"/>
    <w:rsid w:val="0094305B"/>
    <w:rsid w:val="00944618"/>
    <w:rsid w:val="009508F1"/>
    <w:rsid w:val="00951B65"/>
    <w:rsid w:val="009527F0"/>
    <w:rsid w:val="00954937"/>
    <w:rsid w:val="00954AC4"/>
    <w:rsid w:val="009558C3"/>
    <w:rsid w:val="00955AD2"/>
    <w:rsid w:val="009562CB"/>
    <w:rsid w:val="009570B6"/>
    <w:rsid w:val="009579B3"/>
    <w:rsid w:val="00960046"/>
    <w:rsid w:val="00961BE6"/>
    <w:rsid w:val="009637EF"/>
    <w:rsid w:val="00963BC3"/>
    <w:rsid w:val="0096450C"/>
    <w:rsid w:val="009661F6"/>
    <w:rsid w:val="00966F69"/>
    <w:rsid w:val="0096795C"/>
    <w:rsid w:val="009720DA"/>
    <w:rsid w:val="00975F06"/>
    <w:rsid w:val="00976C4E"/>
    <w:rsid w:val="00977315"/>
    <w:rsid w:val="00981479"/>
    <w:rsid w:val="00981823"/>
    <w:rsid w:val="00981C9B"/>
    <w:rsid w:val="00981EA8"/>
    <w:rsid w:val="00983B83"/>
    <w:rsid w:val="00986140"/>
    <w:rsid w:val="00986CB7"/>
    <w:rsid w:val="00987DC3"/>
    <w:rsid w:val="009917A4"/>
    <w:rsid w:val="00994E90"/>
    <w:rsid w:val="00996A10"/>
    <w:rsid w:val="00997136"/>
    <w:rsid w:val="009978B8"/>
    <w:rsid w:val="009978C1"/>
    <w:rsid w:val="009A69C9"/>
    <w:rsid w:val="009A788E"/>
    <w:rsid w:val="009A7919"/>
    <w:rsid w:val="009B0286"/>
    <w:rsid w:val="009B0F9F"/>
    <w:rsid w:val="009B1C35"/>
    <w:rsid w:val="009B3791"/>
    <w:rsid w:val="009B481F"/>
    <w:rsid w:val="009B5563"/>
    <w:rsid w:val="009B598A"/>
    <w:rsid w:val="009B6C98"/>
    <w:rsid w:val="009C1029"/>
    <w:rsid w:val="009C1F82"/>
    <w:rsid w:val="009C1FDC"/>
    <w:rsid w:val="009C2192"/>
    <w:rsid w:val="009C4ECF"/>
    <w:rsid w:val="009C5B23"/>
    <w:rsid w:val="009C75FB"/>
    <w:rsid w:val="009C7DA8"/>
    <w:rsid w:val="009D29C5"/>
    <w:rsid w:val="009D5AA3"/>
    <w:rsid w:val="009D729B"/>
    <w:rsid w:val="009D7DCE"/>
    <w:rsid w:val="009E0B58"/>
    <w:rsid w:val="009E0C77"/>
    <w:rsid w:val="009E10C3"/>
    <w:rsid w:val="009E1FA7"/>
    <w:rsid w:val="009E2E8C"/>
    <w:rsid w:val="009E3490"/>
    <w:rsid w:val="009E54A6"/>
    <w:rsid w:val="009E7E3C"/>
    <w:rsid w:val="009E7EF8"/>
    <w:rsid w:val="009F08D7"/>
    <w:rsid w:val="009F08F9"/>
    <w:rsid w:val="009F1563"/>
    <w:rsid w:val="009F1F46"/>
    <w:rsid w:val="009F21E2"/>
    <w:rsid w:val="009F433F"/>
    <w:rsid w:val="009F453C"/>
    <w:rsid w:val="009F64C2"/>
    <w:rsid w:val="009F6536"/>
    <w:rsid w:val="009F70C2"/>
    <w:rsid w:val="009F7486"/>
    <w:rsid w:val="009F76A4"/>
    <w:rsid w:val="009F7FF0"/>
    <w:rsid w:val="00A00C2A"/>
    <w:rsid w:val="00A00EFD"/>
    <w:rsid w:val="00A011EB"/>
    <w:rsid w:val="00A01338"/>
    <w:rsid w:val="00A03A04"/>
    <w:rsid w:val="00A03A18"/>
    <w:rsid w:val="00A03AB5"/>
    <w:rsid w:val="00A074EB"/>
    <w:rsid w:val="00A10330"/>
    <w:rsid w:val="00A11136"/>
    <w:rsid w:val="00A11779"/>
    <w:rsid w:val="00A1297C"/>
    <w:rsid w:val="00A144DB"/>
    <w:rsid w:val="00A14D93"/>
    <w:rsid w:val="00A175F4"/>
    <w:rsid w:val="00A213CE"/>
    <w:rsid w:val="00A222D8"/>
    <w:rsid w:val="00A230B0"/>
    <w:rsid w:val="00A23F3F"/>
    <w:rsid w:val="00A25E84"/>
    <w:rsid w:val="00A27225"/>
    <w:rsid w:val="00A2727F"/>
    <w:rsid w:val="00A27290"/>
    <w:rsid w:val="00A273C8"/>
    <w:rsid w:val="00A30AD2"/>
    <w:rsid w:val="00A31142"/>
    <w:rsid w:val="00A32508"/>
    <w:rsid w:val="00A32C8A"/>
    <w:rsid w:val="00A32CE8"/>
    <w:rsid w:val="00A33012"/>
    <w:rsid w:val="00A363E3"/>
    <w:rsid w:val="00A41770"/>
    <w:rsid w:val="00A44A5B"/>
    <w:rsid w:val="00A44B6C"/>
    <w:rsid w:val="00A469D5"/>
    <w:rsid w:val="00A50CF2"/>
    <w:rsid w:val="00A50E82"/>
    <w:rsid w:val="00A53115"/>
    <w:rsid w:val="00A54144"/>
    <w:rsid w:val="00A54418"/>
    <w:rsid w:val="00A56A58"/>
    <w:rsid w:val="00A571D0"/>
    <w:rsid w:val="00A571E6"/>
    <w:rsid w:val="00A573A5"/>
    <w:rsid w:val="00A57A6E"/>
    <w:rsid w:val="00A57CA3"/>
    <w:rsid w:val="00A6031B"/>
    <w:rsid w:val="00A604A1"/>
    <w:rsid w:val="00A61631"/>
    <w:rsid w:val="00A63D07"/>
    <w:rsid w:val="00A64031"/>
    <w:rsid w:val="00A64CA9"/>
    <w:rsid w:val="00A66B88"/>
    <w:rsid w:val="00A709C9"/>
    <w:rsid w:val="00A73606"/>
    <w:rsid w:val="00A73C0C"/>
    <w:rsid w:val="00A73CFF"/>
    <w:rsid w:val="00A74DA0"/>
    <w:rsid w:val="00A752C5"/>
    <w:rsid w:val="00A75627"/>
    <w:rsid w:val="00A76637"/>
    <w:rsid w:val="00A81F17"/>
    <w:rsid w:val="00A82DC5"/>
    <w:rsid w:val="00A835E5"/>
    <w:rsid w:val="00A83861"/>
    <w:rsid w:val="00A84FAF"/>
    <w:rsid w:val="00A85720"/>
    <w:rsid w:val="00A85B53"/>
    <w:rsid w:val="00A8683E"/>
    <w:rsid w:val="00A86DC8"/>
    <w:rsid w:val="00A875C1"/>
    <w:rsid w:val="00A87D45"/>
    <w:rsid w:val="00A90F01"/>
    <w:rsid w:val="00A90F76"/>
    <w:rsid w:val="00A9101A"/>
    <w:rsid w:val="00A91516"/>
    <w:rsid w:val="00A91868"/>
    <w:rsid w:val="00A93C1E"/>
    <w:rsid w:val="00A952E0"/>
    <w:rsid w:val="00A97920"/>
    <w:rsid w:val="00AA0301"/>
    <w:rsid w:val="00AA0DC6"/>
    <w:rsid w:val="00AA0E9B"/>
    <w:rsid w:val="00AA39A6"/>
    <w:rsid w:val="00AA5B1F"/>
    <w:rsid w:val="00AB07E3"/>
    <w:rsid w:val="00AB0F40"/>
    <w:rsid w:val="00AB0F68"/>
    <w:rsid w:val="00AB12B6"/>
    <w:rsid w:val="00AB1A87"/>
    <w:rsid w:val="00AB389A"/>
    <w:rsid w:val="00AB42B5"/>
    <w:rsid w:val="00AB50E6"/>
    <w:rsid w:val="00AB54D8"/>
    <w:rsid w:val="00AB5AE2"/>
    <w:rsid w:val="00AB607B"/>
    <w:rsid w:val="00AB7566"/>
    <w:rsid w:val="00AB7612"/>
    <w:rsid w:val="00AC0A04"/>
    <w:rsid w:val="00AC21DB"/>
    <w:rsid w:val="00AC24C8"/>
    <w:rsid w:val="00AC31C9"/>
    <w:rsid w:val="00AC3712"/>
    <w:rsid w:val="00AC3C82"/>
    <w:rsid w:val="00AC4374"/>
    <w:rsid w:val="00AC5790"/>
    <w:rsid w:val="00AD18EF"/>
    <w:rsid w:val="00AD1F82"/>
    <w:rsid w:val="00AD36DC"/>
    <w:rsid w:val="00AD4971"/>
    <w:rsid w:val="00AD5796"/>
    <w:rsid w:val="00AD6401"/>
    <w:rsid w:val="00AD741F"/>
    <w:rsid w:val="00AE3735"/>
    <w:rsid w:val="00AE5C6B"/>
    <w:rsid w:val="00AE6295"/>
    <w:rsid w:val="00AE671A"/>
    <w:rsid w:val="00AF075B"/>
    <w:rsid w:val="00AF0CE1"/>
    <w:rsid w:val="00AF12DA"/>
    <w:rsid w:val="00AF1D16"/>
    <w:rsid w:val="00AF20D0"/>
    <w:rsid w:val="00AF2A93"/>
    <w:rsid w:val="00AF2C6B"/>
    <w:rsid w:val="00AF2E80"/>
    <w:rsid w:val="00AF2EC7"/>
    <w:rsid w:val="00AF54E2"/>
    <w:rsid w:val="00B00BCC"/>
    <w:rsid w:val="00B01ACD"/>
    <w:rsid w:val="00B02144"/>
    <w:rsid w:val="00B04B14"/>
    <w:rsid w:val="00B05DE1"/>
    <w:rsid w:val="00B07E38"/>
    <w:rsid w:val="00B07FFE"/>
    <w:rsid w:val="00B118B3"/>
    <w:rsid w:val="00B11BBC"/>
    <w:rsid w:val="00B1385E"/>
    <w:rsid w:val="00B14339"/>
    <w:rsid w:val="00B1512C"/>
    <w:rsid w:val="00B15602"/>
    <w:rsid w:val="00B17867"/>
    <w:rsid w:val="00B17C74"/>
    <w:rsid w:val="00B200DF"/>
    <w:rsid w:val="00B209ED"/>
    <w:rsid w:val="00B21392"/>
    <w:rsid w:val="00B21820"/>
    <w:rsid w:val="00B235AA"/>
    <w:rsid w:val="00B244A6"/>
    <w:rsid w:val="00B26830"/>
    <w:rsid w:val="00B303A4"/>
    <w:rsid w:val="00B32B3D"/>
    <w:rsid w:val="00B334AE"/>
    <w:rsid w:val="00B36B87"/>
    <w:rsid w:val="00B36F78"/>
    <w:rsid w:val="00B374C4"/>
    <w:rsid w:val="00B37B8A"/>
    <w:rsid w:val="00B4008A"/>
    <w:rsid w:val="00B40A0D"/>
    <w:rsid w:val="00B4104D"/>
    <w:rsid w:val="00B422B3"/>
    <w:rsid w:val="00B43C91"/>
    <w:rsid w:val="00B44391"/>
    <w:rsid w:val="00B44A44"/>
    <w:rsid w:val="00B450DA"/>
    <w:rsid w:val="00B468BB"/>
    <w:rsid w:val="00B46DBC"/>
    <w:rsid w:val="00B47381"/>
    <w:rsid w:val="00B518D6"/>
    <w:rsid w:val="00B52041"/>
    <w:rsid w:val="00B53496"/>
    <w:rsid w:val="00B571DF"/>
    <w:rsid w:val="00B603D2"/>
    <w:rsid w:val="00B6105B"/>
    <w:rsid w:val="00B61503"/>
    <w:rsid w:val="00B62060"/>
    <w:rsid w:val="00B6262B"/>
    <w:rsid w:val="00B62DC3"/>
    <w:rsid w:val="00B648A9"/>
    <w:rsid w:val="00B64CC5"/>
    <w:rsid w:val="00B656B1"/>
    <w:rsid w:val="00B6578E"/>
    <w:rsid w:val="00B677EA"/>
    <w:rsid w:val="00B7240C"/>
    <w:rsid w:val="00B74A37"/>
    <w:rsid w:val="00B756D7"/>
    <w:rsid w:val="00B75AD4"/>
    <w:rsid w:val="00B75EBF"/>
    <w:rsid w:val="00B76BE2"/>
    <w:rsid w:val="00B800EA"/>
    <w:rsid w:val="00B81011"/>
    <w:rsid w:val="00B81758"/>
    <w:rsid w:val="00B83A21"/>
    <w:rsid w:val="00B83E98"/>
    <w:rsid w:val="00B853D9"/>
    <w:rsid w:val="00B85B26"/>
    <w:rsid w:val="00B85E0C"/>
    <w:rsid w:val="00B863D4"/>
    <w:rsid w:val="00B87390"/>
    <w:rsid w:val="00B913E1"/>
    <w:rsid w:val="00B92654"/>
    <w:rsid w:val="00B92906"/>
    <w:rsid w:val="00B964A1"/>
    <w:rsid w:val="00B96688"/>
    <w:rsid w:val="00B96956"/>
    <w:rsid w:val="00B97F69"/>
    <w:rsid w:val="00BA051B"/>
    <w:rsid w:val="00BA1CCC"/>
    <w:rsid w:val="00BA5A31"/>
    <w:rsid w:val="00BA6AA3"/>
    <w:rsid w:val="00BB2D4B"/>
    <w:rsid w:val="00BB32F3"/>
    <w:rsid w:val="00BB43B3"/>
    <w:rsid w:val="00BB6FB5"/>
    <w:rsid w:val="00BB7D9E"/>
    <w:rsid w:val="00BC03BF"/>
    <w:rsid w:val="00BC0BE2"/>
    <w:rsid w:val="00BC1E91"/>
    <w:rsid w:val="00BC2996"/>
    <w:rsid w:val="00BC2C01"/>
    <w:rsid w:val="00BC63CE"/>
    <w:rsid w:val="00BC691A"/>
    <w:rsid w:val="00BC6C51"/>
    <w:rsid w:val="00BC6CFB"/>
    <w:rsid w:val="00BD0DB3"/>
    <w:rsid w:val="00BD11FC"/>
    <w:rsid w:val="00BD1223"/>
    <w:rsid w:val="00BD56EB"/>
    <w:rsid w:val="00BD65C1"/>
    <w:rsid w:val="00BD68D0"/>
    <w:rsid w:val="00BD7D71"/>
    <w:rsid w:val="00BE052F"/>
    <w:rsid w:val="00BE22E4"/>
    <w:rsid w:val="00BE231D"/>
    <w:rsid w:val="00BE3445"/>
    <w:rsid w:val="00BE423B"/>
    <w:rsid w:val="00BF2039"/>
    <w:rsid w:val="00BF24CE"/>
    <w:rsid w:val="00BF2D33"/>
    <w:rsid w:val="00BF3175"/>
    <w:rsid w:val="00BF627A"/>
    <w:rsid w:val="00BF6BE2"/>
    <w:rsid w:val="00BF6DED"/>
    <w:rsid w:val="00BF6F73"/>
    <w:rsid w:val="00BF7BC0"/>
    <w:rsid w:val="00BF7D4A"/>
    <w:rsid w:val="00C00727"/>
    <w:rsid w:val="00C01106"/>
    <w:rsid w:val="00C0184A"/>
    <w:rsid w:val="00C0330F"/>
    <w:rsid w:val="00C03FB1"/>
    <w:rsid w:val="00C0426A"/>
    <w:rsid w:val="00C04DA8"/>
    <w:rsid w:val="00C068AF"/>
    <w:rsid w:val="00C10352"/>
    <w:rsid w:val="00C10B78"/>
    <w:rsid w:val="00C112D0"/>
    <w:rsid w:val="00C11FB2"/>
    <w:rsid w:val="00C139E1"/>
    <w:rsid w:val="00C13E5C"/>
    <w:rsid w:val="00C157FB"/>
    <w:rsid w:val="00C15F88"/>
    <w:rsid w:val="00C16514"/>
    <w:rsid w:val="00C165C0"/>
    <w:rsid w:val="00C206A6"/>
    <w:rsid w:val="00C21003"/>
    <w:rsid w:val="00C210C5"/>
    <w:rsid w:val="00C21FB6"/>
    <w:rsid w:val="00C22888"/>
    <w:rsid w:val="00C22B11"/>
    <w:rsid w:val="00C23674"/>
    <w:rsid w:val="00C2668B"/>
    <w:rsid w:val="00C26B14"/>
    <w:rsid w:val="00C30975"/>
    <w:rsid w:val="00C30A20"/>
    <w:rsid w:val="00C30EF5"/>
    <w:rsid w:val="00C32ED5"/>
    <w:rsid w:val="00C341D4"/>
    <w:rsid w:val="00C35639"/>
    <w:rsid w:val="00C35ABD"/>
    <w:rsid w:val="00C35D46"/>
    <w:rsid w:val="00C36325"/>
    <w:rsid w:val="00C36666"/>
    <w:rsid w:val="00C36921"/>
    <w:rsid w:val="00C371AA"/>
    <w:rsid w:val="00C37CFC"/>
    <w:rsid w:val="00C41D7C"/>
    <w:rsid w:val="00C42827"/>
    <w:rsid w:val="00C446ED"/>
    <w:rsid w:val="00C44E23"/>
    <w:rsid w:val="00C4644D"/>
    <w:rsid w:val="00C466CC"/>
    <w:rsid w:val="00C50441"/>
    <w:rsid w:val="00C50E57"/>
    <w:rsid w:val="00C51434"/>
    <w:rsid w:val="00C514BA"/>
    <w:rsid w:val="00C51E36"/>
    <w:rsid w:val="00C527FE"/>
    <w:rsid w:val="00C53417"/>
    <w:rsid w:val="00C53788"/>
    <w:rsid w:val="00C53D8F"/>
    <w:rsid w:val="00C561B2"/>
    <w:rsid w:val="00C60201"/>
    <w:rsid w:val="00C60B32"/>
    <w:rsid w:val="00C62C62"/>
    <w:rsid w:val="00C6303B"/>
    <w:rsid w:val="00C63690"/>
    <w:rsid w:val="00C64738"/>
    <w:rsid w:val="00C66787"/>
    <w:rsid w:val="00C677E1"/>
    <w:rsid w:val="00C67BA0"/>
    <w:rsid w:val="00C718EF"/>
    <w:rsid w:val="00C723ED"/>
    <w:rsid w:val="00C72E8C"/>
    <w:rsid w:val="00C73CC6"/>
    <w:rsid w:val="00C747BE"/>
    <w:rsid w:val="00C76F2A"/>
    <w:rsid w:val="00C77805"/>
    <w:rsid w:val="00C81560"/>
    <w:rsid w:val="00C83F4E"/>
    <w:rsid w:val="00C843E1"/>
    <w:rsid w:val="00C85271"/>
    <w:rsid w:val="00C85D23"/>
    <w:rsid w:val="00C8730E"/>
    <w:rsid w:val="00C90AF4"/>
    <w:rsid w:val="00C90F7B"/>
    <w:rsid w:val="00C91654"/>
    <w:rsid w:val="00C9325C"/>
    <w:rsid w:val="00C9503D"/>
    <w:rsid w:val="00C963EE"/>
    <w:rsid w:val="00C96ECB"/>
    <w:rsid w:val="00C9704B"/>
    <w:rsid w:val="00CA01DC"/>
    <w:rsid w:val="00CA1BEA"/>
    <w:rsid w:val="00CA277F"/>
    <w:rsid w:val="00CA359D"/>
    <w:rsid w:val="00CA5D83"/>
    <w:rsid w:val="00CA6484"/>
    <w:rsid w:val="00CA754C"/>
    <w:rsid w:val="00CA7626"/>
    <w:rsid w:val="00CA7F98"/>
    <w:rsid w:val="00CB0E28"/>
    <w:rsid w:val="00CB1DDF"/>
    <w:rsid w:val="00CB311A"/>
    <w:rsid w:val="00CB710D"/>
    <w:rsid w:val="00CB7302"/>
    <w:rsid w:val="00CB7789"/>
    <w:rsid w:val="00CC0880"/>
    <w:rsid w:val="00CC101A"/>
    <w:rsid w:val="00CC1ED6"/>
    <w:rsid w:val="00CC28FA"/>
    <w:rsid w:val="00CC2D38"/>
    <w:rsid w:val="00CC4527"/>
    <w:rsid w:val="00CC5076"/>
    <w:rsid w:val="00CC639B"/>
    <w:rsid w:val="00CC6ECD"/>
    <w:rsid w:val="00CC7C5C"/>
    <w:rsid w:val="00CD0687"/>
    <w:rsid w:val="00CD1584"/>
    <w:rsid w:val="00CD5F53"/>
    <w:rsid w:val="00CD756F"/>
    <w:rsid w:val="00CD7C2E"/>
    <w:rsid w:val="00CE26FC"/>
    <w:rsid w:val="00CE4FBA"/>
    <w:rsid w:val="00CE5E4C"/>
    <w:rsid w:val="00CE630A"/>
    <w:rsid w:val="00CE6E76"/>
    <w:rsid w:val="00CF00EE"/>
    <w:rsid w:val="00CF27C9"/>
    <w:rsid w:val="00CF3B9B"/>
    <w:rsid w:val="00CF3CF1"/>
    <w:rsid w:val="00CF55EA"/>
    <w:rsid w:val="00CF5831"/>
    <w:rsid w:val="00D000F3"/>
    <w:rsid w:val="00D017F9"/>
    <w:rsid w:val="00D02717"/>
    <w:rsid w:val="00D030F1"/>
    <w:rsid w:val="00D03A0C"/>
    <w:rsid w:val="00D04C5B"/>
    <w:rsid w:val="00D05D51"/>
    <w:rsid w:val="00D05D9B"/>
    <w:rsid w:val="00D05EDC"/>
    <w:rsid w:val="00D06782"/>
    <w:rsid w:val="00D13325"/>
    <w:rsid w:val="00D13B79"/>
    <w:rsid w:val="00D14978"/>
    <w:rsid w:val="00D1774A"/>
    <w:rsid w:val="00D210C9"/>
    <w:rsid w:val="00D2126B"/>
    <w:rsid w:val="00D2266C"/>
    <w:rsid w:val="00D23211"/>
    <w:rsid w:val="00D24B6F"/>
    <w:rsid w:val="00D25E0B"/>
    <w:rsid w:val="00D271AA"/>
    <w:rsid w:val="00D27CDB"/>
    <w:rsid w:val="00D375C9"/>
    <w:rsid w:val="00D4270C"/>
    <w:rsid w:val="00D432A2"/>
    <w:rsid w:val="00D45960"/>
    <w:rsid w:val="00D4597B"/>
    <w:rsid w:val="00D45B99"/>
    <w:rsid w:val="00D463C4"/>
    <w:rsid w:val="00D46454"/>
    <w:rsid w:val="00D477AE"/>
    <w:rsid w:val="00D47A72"/>
    <w:rsid w:val="00D47AD0"/>
    <w:rsid w:val="00D53C44"/>
    <w:rsid w:val="00D55A32"/>
    <w:rsid w:val="00D55B15"/>
    <w:rsid w:val="00D56FB4"/>
    <w:rsid w:val="00D573D9"/>
    <w:rsid w:val="00D5798B"/>
    <w:rsid w:val="00D57F7C"/>
    <w:rsid w:val="00D60185"/>
    <w:rsid w:val="00D62E7F"/>
    <w:rsid w:val="00D63DE7"/>
    <w:rsid w:val="00D6491A"/>
    <w:rsid w:val="00D64EFA"/>
    <w:rsid w:val="00D66455"/>
    <w:rsid w:val="00D66ECB"/>
    <w:rsid w:val="00D701BF"/>
    <w:rsid w:val="00D7043B"/>
    <w:rsid w:val="00D72246"/>
    <w:rsid w:val="00D725FB"/>
    <w:rsid w:val="00D72C98"/>
    <w:rsid w:val="00D7414B"/>
    <w:rsid w:val="00D75C5D"/>
    <w:rsid w:val="00D765FE"/>
    <w:rsid w:val="00D7774B"/>
    <w:rsid w:val="00D77D5C"/>
    <w:rsid w:val="00D81156"/>
    <w:rsid w:val="00D8270F"/>
    <w:rsid w:val="00D82A74"/>
    <w:rsid w:val="00D848D1"/>
    <w:rsid w:val="00D864E9"/>
    <w:rsid w:val="00D870D2"/>
    <w:rsid w:val="00D87B6A"/>
    <w:rsid w:val="00D90297"/>
    <w:rsid w:val="00D90533"/>
    <w:rsid w:val="00D907DE"/>
    <w:rsid w:val="00D919BA"/>
    <w:rsid w:val="00D91AD8"/>
    <w:rsid w:val="00D92243"/>
    <w:rsid w:val="00D92733"/>
    <w:rsid w:val="00D931CF"/>
    <w:rsid w:val="00D9463C"/>
    <w:rsid w:val="00D94E04"/>
    <w:rsid w:val="00D97FB6"/>
    <w:rsid w:val="00DA0C14"/>
    <w:rsid w:val="00DA2679"/>
    <w:rsid w:val="00DA2931"/>
    <w:rsid w:val="00DA3125"/>
    <w:rsid w:val="00DA3143"/>
    <w:rsid w:val="00DA360E"/>
    <w:rsid w:val="00DA3AA6"/>
    <w:rsid w:val="00DB11B0"/>
    <w:rsid w:val="00DB129E"/>
    <w:rsid w:val="00DB330B"/>
    <w:rsid w:val="00DB3A1A"/>
    <w:rsid w:val="00DB41AC"/>
    <w:rsid w:val="00DB4908"/>
    <w:rsid w:val="00DC04B9"/>
    <w:rsid w:val="00DC0CE5"/>
    <w:rsid w:val="00DC1E57"/>
    <w:rsid w:val="00DC347A"/>
    <w:rsid w:val="00DC4F26"/>
    <w:rsid w:val="00DC5B1F"/>
    <w:rsid w:val="00DC621A"/>
    <w:rsid w:val="00DD279A"/>
    <w:rsid w:val="00DD2C9E"/>
    <w:rsid w:val="00DD3732"/>
    <w:rsid w:val="00DD5A39"/>
    <w:rsid w:val="00DD64D0"/>
    <w:rsid w:val="00DD6B4E"/>
    <w:rsid w:val="00DE12EF"/>
    <w:rsid w:val="00DE1798"/>
    <w:rsid w:val="00DE19A3"/>
    <w:rsid w:val="00DE2CBC"/>
    <w:rsid w:val="00DE3826"/>
    <w:rsid w:val="00DE5AF0"/>
    <w:rsid w:val="00DE5FD2"/>
    <w:rsid w:val="00DE672F"/>
    <w:rsid w:val="00DE77D9"/>
    <w:rsid w:val="00DE7A4F"/>
    <w:rsid w:val="00DE7E26"/>
    <w:rsid w:val="00DF11AF"/>
    <w:rsid w:val="00DF13AD"/>
    <w:rsid w:val="00DF2AF8"/>
    <w:rsid w:val="00DF419B"/>
    <w:rsid w:val="00DF7D4D"/>
    <w:rsid w:val="00E00C48"/>
    <w:rsid w:val="00E00DDA"/>
    <w:rsid w:val="00E00E01"/>
    <w:rsid w:val="00E01B0F"/>
    <w:rsid w:val="00E02863"/>
    <w:rsid w:val="00E02920"/>
    <w:rsid w:val="00E039FD"/>
    <w:rsid w:val="00E04A89"/>
    <w:rsid w:val="00E04E18"/>
    <w:rsid w:val="00E0527B"/>
    <w:rsid w:val="00E05FBC"/>
    <w:rsid w:val="00E109CD"/>
    <w:rsid w:val="00E11270"/>
    <w:rsid w:val="00E12705"/>
    <w:rsid w:val="00E174CE"/>
    <w:rsid w:val="00E17A01"/>
    <w:rsid w:val="00E209F5"/>
    <w:rsid w:val="00E25E0B"/>
    <w:rsid w:val="00E26778"/>
    <w:rsid w:val="00E26DCD"/>
    <w:rsid w:val="00E342DD"/>
    <w:rsid w:val="00E3442F"/>
    <w:rsid w:val="00E35728"/>
    <w:rsid w:val="00E35DF0"/>
    <w:rsid w:val="00E36312"/>
    <w:rsid w:val="00E36574"/>
    <w:rsid w:val="00E365F0"/>
    <w:rsid w:val="00E36889"/>
    <w:rsid w:val="00E37140"/>
    <w:rsid w:val="00E37AAB"/>
    <w:rsid w:val="00E40422"/>
    <w:rsid w:val="00E406F1"/>
    <w:rsid w:val="00E41470"/>
    <w:rsid w:val="00E415B4"/>
    <w:rsid w:val="00E420B8"/>
    <w:rsid w:val="00E43C5C"/>
    <w:rsid w:val="00E43C90"/>
    <w:rsid w:val="00E46C85"/>
    <w:rsid w:val="00E477C5"/>
    <w:rsid w:val="00E51752"/>
    <w:rsid w:val="00E52A86"/>
    <w:rsid w:val="00E54436"/>
    <w:rsid w:val="00E5464D"/>
    <w:rsid w:val="00E5663E"/>
    <w:rsid w:val="00E6032C"/>
    <w:rsid w:val="00E603AA"/>
    <w:rsid w:val="00E61666"/>
    <w:rsid w:val="00E61BC3"/>
    <w:rsid w:val="00E6287D"/>
    <w:rsid w:val="00E62BEC"/>
    <w:rsid w:val="00E653B2"/>
    <w:rsid w:val="00E67566"/>
    <w:rsid w:val="00E67CED"/>
    <w:rsid w:val="00E70F3A"/>
    <w:rsid w:val="00E710DE"/>
    <w:rsid w:val="00E7244C"/>
    <w:rsid w:val="00E7295C"/>
    <w:rsid w:val="00E74F90"/>
    <w:rsid w:val="00E77FC3"/>
    <w:rsid w:val="00E80F58"/>
    <w:rsid w:val="00E83046"/>
    <w:rsid w:val="00E85664"/>
    <w:rsid w:val="00E856D9"/>
    <w:rsid w:val="00E85B1A"/>
    <w:rsid w:val="00E85B20"/>
    <w:rsid w:val="00E860A5"/>
    <w:rsid w:val="00E90076"/>
    <w:rsid w:val="00E90A48"/>
    <w:rsid w:val="00E91112"/>
    <w:rsid w:val="00E92786"/>
    <w:rsid w:val="00E9327E"/>
    <w:rsid w:val="00E93528"/>
    <w:rsid w:val="00E944AF"/>
    <w:rsid w:val="00E95511"/>
    <w:rsid w:val="00E9566C"/>
    <w:rsid w:val="00E9643A"/>
    <w:rsid w:val="00E96F02"/>
    <w:rsid w:val="00E97779"/>
    <w:rsid w:val="00EA0300"/>
    <w:rsid w:val="00EA0778"/>
    <w:rsid w:val="00EA127F"/>
    <w:rsid w:val="00EA4809"/>
    <w:rsid w:val="00EA619A"/>
    <w:rsid w:val="00EA691F"/>
    <w:rsid w:val="00EB0097"/>
    <w:rsid w:val="00EB013C"/>
    <w:rsid w:val="00EB1BCB"/>
    <w:rsid w:val="00EB4153"/>
    <w:rsid w:val="00EB4338"/>
    <w:rsid w:val="00EB48AE"/>
    <w:rsid w:val="00EB5274"/>
    <w:rsid w:val="00EB5C4E"/>
    <w:rsid w:val="00EB75BF"/>
    <w:rsid w:val="00EC15AF"/>
    <w:rsid w:val="00EC1F25"/>
    <w:rsid w:val="00EC290E"/>
    <w:rsid w:val="00EC4A56"/>
    <w:rsid w:val="00EC4EA5"/>
    <w:rsid w:val="00EC5012"/>
    <w:rsid w:val="00EC5231"/>
    <w:rsid w:val="00EC5C15"/>
    <w:rsid w:val="00EC5D9F"/>
    <w:rsid w:val="00ED022F"/>
    <w:rsid w:val="00ED265E"/>
    <w:rsid w:val="00EE16EB"/>
    <w:rsid w:val="00EE4D66"/>
    <w:rsid w:val="00EF00DC"/>
    <w:rsid w:val="00EF1839"/>
    <w:rsid w:val="00EF27A0"/>
    <w:rsid w:val="00EF36F0"/>
    <w:rsid w:val="00EF428C"/>
    <w:rsid w:val="00EF4F26"/>
    <w:rsid w:val="00EF528E"/>
    <w:rsid w:val="00EF6114"/>
    <w:rsid w:val="00EF62D1"/>
    <w:rsid w:val="00F03647"/>
    <w:rsid w:val="00F042EC"/>
    <w:rsid w:val="00F053DB"/>
    <w:rsid w:val="00F05653"/>
    <w:rsid w:val="00F06838"/>
    <w:rsid w:val="00F0687C"/>
    <w:rsid w:val="00F10C16"/>
    <w:rsid w:val="00F1536F"/>
    <w:rsid w:val="00F1544B"/>
    <w:rsid w:val="00F16D4C"/>
    <w:rsid w:val="00F2132D"/>
    <w:rsid w:val="00F22300"/>
    <w:rsid w:val="00F22705"/>
    <w:rsid w:val="00F22DE2"/>
    <w:rsid w:val="00F2397F"/>
    <w:rsid w:val="00F25DB0"/>
    <w:rsid w:val="00F27176"/>
    <w:rsid w:val="00F273FF"/>
    <w:rsid w:val="00F30438"/>
    <w:rsid w:val="00F30A36"/>
    <w:rsid w:val="00F32A1B"/>
    <w:rsid w:val="00F32AE6"/>
    <w:rsid w:val="00F34419"/>
    <w:rsid w:val="00F35DAD"/>
    <w:rsid w:val="00F369EE"/>
    <w:rsid w:val="00F430F3"/>
    <w:rsid w:val="00F434C5"/>
    <w:rsid w:val="00F4393C"/>
    <w:rsid w:val="00F441D0"/>
    <w:rsid w:val="00F44B35"/>
    <w:rsid w:val="00F50194"/>
    <w:rsid w:val="00F518AC"/>
    <w:rsid w:val="00F51BB5"/>
    <w:rsid w:val="00F5230F"/>
    <w:rsid w:val="00F523B6"/>
    <w:rsid w:val="00F527CD"/>
    <w:rsid w:val="00F529B2"/>
    <w:rsid w:val="00F5447E"/>
    <w:rsid w:val="00F54AB9"/>
    <w:rsid w:val="00F55E5B"/>
    <w:rsid w:val="00F6084E"/>
    <w:rsid w:val="00F61057"/>
    <w:rsid w:val="00F61365"/>
    <w:rsid w:val="00F62BA7"/>
    <w:rsid w:val="00F63B5B"/>
    <w:rsid w:val="00F679A1"/>
    <w:rsid w:val="00F67E35"/>
    <w:rsid w:val="00F71C26"/>
    <w:rsid w:val="00F71D54"/>
    <w:rsid w:val="00F73528"/>
    <w:rsid w:val="00F73F70"/>
    <w:rsid w:val="00F75BA7"/>
    <w:rsid w:val="00F75C92"/>
    <w:rsid w:val="00F76923"/>
    <w:rsid w:val="00F80A5B"/>
    <w:rsid w:val="00F811D2"/>
    <w:rsid w:val="00F82398"/>
    <w:rsid w:val="00F843E0"/>
    <w:rsid w:val="00F850B6"/>
    <w:rsid w:val="00F85AF6"/>
    <w:rsid w:val="00F85BE4"/>
    <w:rsid w:val="00F85C1B"/>
    <w:rsid w:val="00F86557"/>
    <w:rsid w:val="00F867FD"/>
    <w:rsid w:val="00F86A2F"/>
    <w:rsid w:val="00F879FC"/>
    <w:rsid w:val="00F87D54"/>
    <w:rsid w:val="00F87FB5"/>
    <w:rsid w:val="00F90921"/>
    <w:rsid w:val="00F90AB8"/>
    <w:rsid w:val="00F90FBF"/>
    <w:rsid w:val="00F9237E"/>
    <w:rsid w:val="00F93ADD"/>
    <w:rsid w:val="00F95B70"/>
    <w:rsid w:val="00F9692A"/>
    <w:rsid w:val="00F97678"/>
    <w:rsid w:val="00F97F3E"/>
    <w:rsid w:val="00FA0790"/>
    <w:rsid w:val="00FA151A"/>
    <w:rsid w:val="00FA1F39"/>
    <w:rsid w:val="00FA4A56"/>
    <w:rsid w:val="00FA51DB"/>
    <w:rsid w:val="00FA5E1E"/>
    <w:rsid w:val="00FA7E69"/>
    <w:rsid w:val="00FB072A"/>
    <w:rsid w:val="00FB0C0D"/>
    <w:rsid w:val="00FB1BCB"/>
    <w:rsid w:val="00FB28DE"/>
    <w:rsid w:val="00FB37F0"/>
    <w:rsid w:val="00FB4D74"/>
    <w:rsid w:val="00FB5DF6"/>
    <w:rsid w:val="00FB6D1F"/>
    <w:rsid w:val="00FC4A2F"/>
    <w:rsid w:val="00FC4F23"/>
    <w:rsid w:val="00FC526C"/>
    <w:rsid w:val="00FC5917"/>
    <w:rsid w:val="00FC65B1"/>
    <w:rsid w:val="00FC6BE2"/>
    <w:rsid w:val="00FD00D9"/>
    <w:rsid w:val="00FD24EE"/>
    <w:rsid w:val="00FD2B89"/>
    <w:rsid w:val="00FD2DB4"/>
    <w:rsid w:val="00FD2FB9"/>
    <w:rsid w:val="00FD399E"/>
    <w:rsid w:val="00FD39DF"/>
    <w:rsid w:val="00FD40D1"/>
    <w:rsid w:val="00FD425F"/>
    <w:rsid w:val="00FD55C1"/>
    <w:rsid w:val="00FD5A53"/>
    <w:rsid w:val="00FD5B59"/>
    <w:rsid w:val="00FD7898"/>
    <w:rsid w:val="00FE5358"/>
    <w:rsid w:val="00FE5726"/>
    <w:rsid w:val="00FE72E5"/>
    <w:rsid w:val="00FE77D3"/>
    <w:rsid w:val="00FF0F63"/>
    <w:rsid w:val="00FF1B9C"/>
    <w:rsid w:val="00FF1BC0"/>
    <w:rsid w:val="00FF1C90"/>
    <w:rsid w:val="00FF2EEB"/>
    <w:rsid w:val="00FF4A73"/>
    <w:rsid w:val="00FF505B"/>
    <w:rsid w:val="00FF5798"/>
    <w:rsid w:val="00FF5C88"/>
    <w:rsid w:val="00FF6172"/>
    <w:rsid w:val="00FF61E0"/>
    <w:rsid w:val="00FF64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1B4E7"/>
  <w15:chartTrackingRefBased/>
  <w15:docId w15:val="{EE021AD0-F2F2-49B7-8781-607A97D0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1C8"/>
  </w:style>
  <w:style w:type="paragraph" w:styleId="Heading1">
    <w:name w:val="heading 1"/>
    <w:basedOn w:val="Normal"/>
    <w:next w:val="Normal"/>
    <w:link w:val="Heading1Char"/>
    <w:qFormat/>
    <w:rsid w:val="006D48C2"/>
    <w:pPr>
      <w:keepNext/>
      <w:spacing w:after="120" w:line="240" w:lineRule="auto"/>
      <w:ind w:firstLine="720"/>
      <w:jc w:val="center"/>
      <w:outlineLvl w:val="0"/>
    </w:pPr>
    <w:rPr>
      <w:rFonts w:ascii="Times New Roman" w:eastAsia="Times New Roman" w:hAnsi="Times New Roman" w:cs="Times New Roman"/>
      <w:b/>
      <w:sz w:val="32"/>
      <w:szCs w:val="28"/>
    </w:rPr>
  </w:style>
  <w:style w:type="paragraph" w:styleId="Heading2">
    <w:name w:val="heading 2"/>
    <w:basedOn w:val="Normal"/>
    <w:next w:val="Normal"/>
    <w:link w:val="Heading2Char"/>
    <w:semiHidden/>
    <w:unhideWhenUsed/>
    <w:qFormat/>
    <w:rsid w:val="006D48C2"/>
    <w:pPr>
      <w:keepNext/>
      <w:spacing w:before="240" w:after="60" w:line="240" w:lineRule="auto"/>
      <w:ind w:firstLine="720"/>
      <w:jc w:val="both"/>
      <w:outlineLvl w:val="1"/>
    </w:pPr>
    <w:rPr>
      <w:rFonts w:ascii="Calibri Light" w:eastAsia="Times New Roman" w:hAnsi="Calibri Light" w:cs="Times New Roman"/>
      <w:b/>
      <w:bCs/>
      <w:i/>
      <w:iCs/>
      <w:sz w:val="28"/>
      <w:szCs w:val="28"/>
      <w:lang w:eastAsia="x-none"/>
    </w:rPr>
  </w:style>
  <w:style w:type="paragraph" w:styleId="Heading3">
    <w:name w:val="heading 3"/>
    <w:basedOn w:val="Normal"/>
    <w:next w:val="Normal"/>
    <w:link w:val="Heading3Char"/>
    <w:qFormat/>
    <w:rsid w:val="00033993"/>
    <w:pPr>
      <w:keepNext/>
      <w:spacing w:after="0" w:line="240" w:lineRule="auto"/>
      <w:ind w:firstLine="709"/>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Saraksta rindkopa,Bu"/>
    <w:basedOn w:val="Normal"/>
    <w:link w:val="ListParagraphChar"/>
    <w:uiPriority w:val="34"/>
    <w:qFormat/>
    <w:rsid w:val="00951B65"/>
    <w:pPr>
      <w:ind w:left="720"/>
      <w:contextualSpacing/>
    </w:pPr>
  </w:style>
  <w:style w:type="paragraph" w:styleId="Header">
    <w:name w:val="header"/>
    <w:basedOn w:val="Normal"/>
    <w:link w:val="HeaderChar"/>
    <w:uiPriority w:val="99"/>
    <w:unhideWhenUsed/>
    <w:rsid w:val="00D704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043B"/>
  </w:style>
  <w:style w:type="paragraph" w:styleId="Footer">
    <w:name w:val="footer"/>
    <w:basedOn w:val="Normal"/>
    <w:link w:val="FooterChar"/>
    <w:uiPriority w:val="99"/>
    <w:unhideWhenUsed/>
    <w:rsid w:val="00D704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043B"/>
  </w:style>
  <w:style w:type="character" w:styleId="FootnoteReference">
    <w:name w:val="footnote reference"/>
    <w:aliases w:val="Footnote Reference Number,Footnote symbol,SUPERS,ftref,Footnote Refernece,stylish,BVI fnr,Fußnotenzeichen_Raxen,callout,Footnote Reference Superscript,Footnote symbFootnote Refernece,fr,Odwołanie przypisu,Footnotes refss,Ref,E,E FNZ"/>
    <w:basedOn w:val="DefaultParagraphFont"/>
    <w:link w:val="CharCharCharChar"/>
    <w:uiPriority w:val="99"/>
    <w:unhideWhenUsed/>
    <w:qFormat/>
    <w:rsid w:val="006E6F2D"/>
    <w:rPr>
      <w:vertAlign w:val="superscript"/>
    </w:rPr>
  </w:style>
  <w:style w:type="character" w:styleId="Hyperlink">
    <w:name w:val="Hyperlink"/>
    <w:uiPriority w:val="99"/>
    <w:rsid w:val="00B83A21"/>
    <w:rPr>
      <w:color w:val="0000FF"/>
      <w:u w:val="single"/>
    </w:rPr>
  </w:style>
  <w:style w:type="character" w:styleId="CommentReference">
    <w:name w:val="annotation reference"/>
    <w:basedOn w:val="DefaultParagraphFont"/>
    <w:unhideWhenUsed/>
    <w:rsid w:val="00CA7F98"/>
    <w:rPr>
      <w:sz w:val="16"/>
      <w:szCs w:val="16"/>
    </w:rPr>
  </w:style>
  <w:style w:type="paragraph" w:styleId="CommentText">
    <w:name w:val="annotation text"/>
    <w:basedOn w:val="Normal"/>
    <w:link w:val="CommentTextChar"/>
    <w:unhideWhenUsed/>
    <w:rsid w:val="00CA7F98"/>
    <w:pPr>
      <w:spacing w:line="240" w:lineRule="auto"/>
    </w:pPr>
    <w:rPr>
      <w:sz w:val="20"/>
      <w:szCs w:val="20"/>
    </w:rPr>
  </w:style>
  <w:style w:type="character" w:customStyle="1" w:styleId="CommentTextChar">
    <w:name w:val="Comment Text Char"/>
    <w:basedOn w:val="DefaultParagraphFont"/>
    <w:link w:val="CommentText"/>
    <w:rsid w:val="00CA7F98"/>
    <w:rPr>
      <w:sz w:val="20"/>
      <w:szCs w:val="20"/>
    </w:rPr>
  </w:style>
  <w:style w:type="paragraph" w:styleId="CommentSubject">
    <w:name w:val="annotation subject"/>
    <w:basedOn w:val="CommentText"/>
    <w:next w:val="CommentText"/>
    <w:link w:val="CommentSubjectChar"/>
    <w:unhideWhenUsed/>
    <w:rsid w:val="00CA7F98"/>
    <w:rPr>
      <w:b/>
      <w:bCs/>
    </w:rPr>
  </w:style>
  <w:style w:type="character" w:customStyle="1" w:styleId="CommentSubjectChar">
    <w:name w:val="Comment Subject Char"/>
    <w:basedOn w:val="CommentTextChar"/>
    <w:link w:val="CommentSubject"/>
    <w:rsid w:val="00CA7F98"/>
    <w:rPr>
      <w:b/>
      <w:bCs/>
      <w:sz w:val="20"/>
      <w:szCs w:val="20"/>
    </w:rPr>
  </w:style>
  <w:style w:type="paragraph" w:styleId="BalloonText">
    <w:name w:val="Balloon Text"/>
    <w:basedOn w:val="Normal"/>
    <w:link w:val="BalloonTextChar"/>
    <w:unhideWhenUsed/>
    <w:rsid w:val="00CA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A7F98"/>
    <w:rPr>
      <w:rFonts w:ascii="Segoe UI" w:hAnsi="Segoe UI" w:cs="Segoe UI"/>
      <w:sz w:val="18"/>
      <w:szCs w:val="18"/>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3B03F6"/>
  </w:style>
  <w:style w:type="character" w:styleId="FollowedHyperlink">
    <w:name w:val="FollowedHyperlink"/>
    <w:basedOn w:val="DefaultParagraphFont"/>
    <w:uiPriority w:val="99"/>
    <w:semiHidden/>
    <w:unhideWhenUsed/>
    <w:rsid w:val="007A389D"/>
    <w:rPr>
      <w:color w:val="954F72" w:themeColor="followedHyperlink"/>
      <w:u w:val="single"/>
    </w:rPr>
  </w:style>
  <w:style w:type="paragraph" w:styleId="FootnoteText">
    <w:name w:val="footnote text"/>
    <w:aliases w:val="Vēres teksts Rakstz.1 Char,Vēres teksts Rakstz. Rakstz. Char,Vēres teksts Rakstz.1 Rakstz. Rakstz. Char,Vēres teksts Rakstz. Rakstz. Rakstz. Rakstz. Char,Vēres teksts Rakstz.1 Rakstz. Rakstz. Rakstz. Rakstz. Char,Footnote,Fußnote,Char,f,ft"/>
    <w:basedOn w:val="Normal"/>
    <w:link w:val="FootnoteTextChar"/>
    <w:uiPriority w:val="99"/>
    <w:unhideWhenUsed/>
    <w:qFormat/>
    <w:rsid w:val="00475A32"/>
    <w:pPr>
      <w:spacing w:after="0" w:line="240" w:lineRule="auto"/>
    </w:pPr>
    <w:rPr>
      <w:rFonts w:ascii="Times New Roman" w:hAnsi="Times New Roman"/>
      <w:sz w:val="20"/>
      <w:szCs w:val="20"/>
    </w:rPr>
  </w:style>
  <w:style w:type="character" w:customStyle="1" w:styleId="FootnoteTextChar">
    <w:name w:val="Footnote Text Char"/>
    <w:aliases w:val="Vēres teksts Rakstz.1 Char Char,Vēres teksts Rakstz. Rakstz. Char Char,Vēres teksts Rakstz.1 Rakstz. Rakstz. Char Char,Vēres teksts Rakstz. Rakstz. Rakstz. Rakstz. Char Char,Footnote Char,Fußnote Char,Char Char,f Char,ft Char"/>
    <w:basedOn w:val="DefaultParagraphFont"/>
    <w:link w:val="FootnoteText"/>
    <w:uiPriority w:val="99"/>
    <w:qFormat/>
    <w:rsid w:val="00475A32"/>
    <w:rPr>
      <w:rFonts w:ascii="Times New Roman" w:hAnsi="Times New Roman"/>
      <w:sz w:val="20"/>
      <w:szCs w:val="20"/>
    </w:rPr>
  </w:style>
  <w:style w:type="character" w:customStyle="1" w:styleId="Heading3Char">
    <w:name w:val="Heading 3 Char"/>
    <w:basedOn w:val="DefaultParagraphFont"/>
    <w:link w:val="Heading3"/>
    <w:rsid w:val="00033993"/>
    <w:rPr>
      <w:rFonts w:ascii="Times New Roman" w:eastAsia="Times New Roman" w:hAnsi="Times New Roman" w:cs="Times New Roman"/>
      <w:sz w:val="28"/>
      <w:szCs w:val="20"/>
    </w:rPr>
  </w:style>
  <w:style w:type="table" w:customStyle="1" w:styleId="TableGrid61">
    <w:name w:val="Table Grid61"/>
    <w:basedOn w:val="TableNormal"/>
    <w:next w:val="TableGrid"/>
    <w:uiPriority w:val="39"/>
    <w:rsid w:val="0003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25F3"/>
    <w:pPr>
      <w:spacing w:after="0" w:line="240" w:lineRule="auto"/>
    </w:pPr>
  </w:style>
  <w:style w:type="table" w:styleId="ListTable4-Accent1">
    <w:name w:val="List Table 4 Accent 1"/>
    <w:basedOn w:val="TableNormal"/>
    <w:uiPriority w:val="49"/>
    <w:rsid w:val="00FF5C8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1">
    <w:name w:val="List Table 6 Colorful Accent 1"/>
    <w:basedOn w:val="TableNormal"/>
    <w:uiPriority w:val="51"/>
    <w:rsid w:val="00FF5C88"/>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4">
    <w:name w:val="List Table 1 Light Accent 4"/>
    <w:basedOn w:val="TableNormal"/>
    <w:uiPriority w:val="46"/>
    <w:rsid w:val="00FF5C8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FF5C8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4">
    <w:name w:val="List Table 6 Colorful Accent 4"/>
    <w:basedOn w:val="TableNormal"/>
    <w:uiPriority w:val="51"/>
    <w:rsid w:val="00FF5C8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FF5C8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1Char">
    <w:name w:val="Heading 1 Char"/>
    <w:basedOn w:val="DefaultParagraphFont"/>
    <w:link w:val="Heading1"/>
    <w:rsid w:val="006D48C2"/>
    <w:rPr>
      <w:rFonts w:ascii="Times New Roman" w:eastAsia="Times New Roman" w:hAnsi="Times New Roman" w:cs="Times New Roman"/>
      <w:b/>
      <w:sz w:val="32"/>
      <w:szCs w:val="28"/>
    </w:rPr>
  </w:style>
  <w:style w:type="character" w:customStyle="1" w:styleId="Heading2Char">
    <w:name w:val="Heading 2 Char"/>
    <w:basedOn w:val="DefaultParagraphFont"/>
    <w:link w:val="Heading2"/>
    <w:semiHidden/>
    <w:rsid w:val="006D48C2"/>
    <w:rPr>
      <w:rFonts w:ascii="Calibri Light" w:eastAsia="Times New Roman" w:hAnsi="Calibri Light" w:cs="Times New Roman"/>
      <w:b/>
      <w:bCs/>
      <w:i/>
      <w:iCs/>
      <w:sz w:val="28"/>
      <w:szCs w:val="28"/>
      <w:lang w:eastAsia="x-none"/>
    </w:rPr>
  </w:style>
  <w:style w:type="paragraph" w:styleId="BodyTextIndent">
    <w:name w:val="Body Text Indent"/>
    <w:basedOn w:val="Normal"/>
    <w:link w:val="BodyTextIndentChar"/>
    <w:rsid w:val="006D48C2"/>
    <w:pPr>
      <w:spacing w:after="120" w:line="240" w:lineRule="auto"/>
      <w:ind w:left="5040" w:firstLine="720"/>
      <w:jc w:val="right"/>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6D48C2"/>
    <w:rPr>
      <w:rFonts w:ascii="Times New Roman" w:eastAsia="Times New Roman" w:hAnsi="Times New Roman" w:cs="Times New Roman"/>
      <w:sz w:val="28"/>
      <w:szCs w:val="28"/>
    </w:rPr>
  </w:style>
  <w:style w:type="paragraph" w:styleId="DocumentMap">
    <w:name w:val="Document Map"/>
    <w:basedOn w:val="Normal"/>
    <w:link w:val="DocumentMapChar"/>
    <w:semiHidden/>
    <w:rsid w:val="006D48C2"/>
    <w:pPr>
      <w:shd w:val="clear" w:color="auto" w:fill="000080"/>
      <w:spacing w:after="120" w:line="240" w:lineRule="auto"/>
      <w:ind w:firstLine="720"/>
      <w:jc w:val="both"/>
    </w:pPr>
    <w:rPr>
      <w:rFonts w:ascii="Tahoma" w:eastAsia="Times New Roman" w:hAnsi="Tahoma" w:cs="Tahoma"/>
      <w:sz w:val="20"/>
      <w:szCs w:val="28"/>
    </w:rPr>
  </w:style>
  <w:style w:type="character" w:customStyle="1" w:styleId="DocumentMapChar">
    <w:name w:val="Document Map Char"/>
    <w:basedOn w:val="DefaultParagraphFont"/>
    <w:link w:val="DocumentMap"/>
    <w:semiHidden/>
    <w:rsid w:val="006D48C2"/>
    <w:rPr>
      <w:rFonts w:ascii="Tahoma" w:eastAsia="Times New Roman" w:hAnsi="Tahoma" w:cs="Tahoma"/>
      <w:sz w:val="20"/>
      <w:szCs w:val="28"/>
      <w:shd w:val="clear" w:color="auto" w:fill="000080"/>
    </w:rPr>
  </w:style>
  <w:style w:type="paragraph" w:customStyle="1" w:styleId="naisf">
    <w:name w:val="naisf"/>
    <w:basedOn w:val="Normal"/>
    <w:rsid w:val="006D48C2"/>
    <w:pPr>
      <w:widowControl w:val="0"/>
      <w:adjustRightInd w:val="0"/>
      <w:spacing w:before="100" w:after="100" w:line="360" w:lineRule="atLeast"/>
      <w:ind w:firstLine="500"/>
      <w:jc w:val="both"/>
      <w:textAlignment w:val="baseline"/>
    </w:pPr>
    <w:rPr>
      <w:rFonts w:ascii="Times New Roman" w:eastAsia="Times New Roman" w:hAnsi="Times New Roman" w:cs="Times New Roman"/>
      <w:sz w:val="24"/>
      <w:szCs w:val="24"/>
      <w:lang w:eastAsia="lv-LV"/>
    </w:rPr>
  </w:style>
  <w:style w:type="paragraph" w:customStyle="1" w:styleId="RakstzCharCharRakstzCharCharRakstz2">
    <w:name w:val="Rakstz. Char Char Rakstz. Char Char Rakstz.2"/>
    <w:basedOn w:val="Normal"/>
    <w:rsid w:val="006D48C2"/>
    <w:pPr>
      <w:spacing w:line="240" w:lineRule="exact"/>
    </w:pPr>
    <w:rPr>
      <w:rFonts w:ascii="Tahoma" w:eastAsia="Times New Roman" w:hAnsi="Tahoma" w:cs="Tahoma"/>
      <w:sz w:val="20"/>
      <w:szCs w:val="20"/>
      <w:lang w:val="en-US"/>
    </w:rPr>
  </w:style>
  <w:style w:type="character" w:customStyle="1" w:styleId="StyleStrong12ptNotBold">
    <w:name w:val="Style Strong + 12 pt Not Bold"/>
    <w:rsid w:val="006D48C2"/>
    <w:rPr>
      <w:rFonts w:ascii="Times New Roman" w:hAnsi="Times New Roman" w:cs="Times New Roman"/>
      <w:b/>
      <w:bCs/>
      <w:sz w:val="24"/>
      <w:szCs w:val="24"/>
    </w:rPr>
  </w:style>
  <w:style w:type="character" w:styleId="Strong">
    <w:name w:val="Strong"/>
    <w:uiPriority w:val="22"/>
    <w:qFormat/>
    <w:rsid w:val="006D48C2"/>
    <w:rPr>
      <w:b/>
      <w:bCs/>
    </w:rPr>
  </w:style>
  <w:style w:type="character" w:customStyle="1" w:styleId="apple-converted-space">
    <w:name w:val="apple-converted-space"/>
    <w:basedOn w:val="DefaultParagraphFont"/>
    <w:rsid w:val="006D48C2"/>
  </w:style>
  <w:style w:type="paragraph" w:styleId="NormalWeb">
    <w:name w:val="Normal (Web)"/>
    <w:basedOn w:val="Normal"/>
    <w:uiPriority w:val="99"/>
    <w:rsid w:val="006D48C2"/>
    <w:pPr>
      <w:suppressAutoHyphens/>
      <w:spacing w:before="280" w:after="280" w:line="240" w:lineRule="auto"/>
    </w:pPr>
    <w:rPr>
      <w:rFonts w:ascii="Times New Roman" w:eastAsia="Times New Roman" w:hAnsi="Times New Roman" w:cs="Times New Roman"/>
      <w:sz w:val="24"/>
      <w:szCs w:val="24"/>
      <w:lang w:eastAsia="ar-SA"/>
    </w:rPr>
  </w:style>
  <w:style w:type="paragraph" w:styleId="BodyText">
    <w:name w:val="Body Text"/>
    <w:basedOn w:val="Normal"/>
    <w:link w:val="BodyTextChar"/>
    <w:rsid w:val="006D48C2"/>
    <w:pPr>
      <w:spacing w:after="120" w:line="240" w:lineRule="auto"/>
      <w:ind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6D48C2"/>
    <w:rPr>
      <w:rFonts w:ascii="Times New Roman" w:eastAsia="Times New Roman" w:hAnsi="Times New Roman" w:cs="Times New Roman"/>
      <w:sz w:val="28"/>
      <w:szCs w:val="28"/>
    </w:rPr>
  </w:style>
  <w:style w:type="character" w:customStyle="1" w:styleId="UnresolvedMention1">
    <w:name w:val="Unresolved Mention1"/>
    <w:uiPriority w:val="99"/>
    <w:semiHidden/>
    <w:unhideWhenUsed/>
    <w:rsid w:val="006D48C2"/>
    <w:rPr>
      <w:color w:val="605E5C"/>
      <w:shd w:val="clear" w:color="auto" w:fill="E1DFDD"/>
    </w:rPr>
  </w:style>
  <w:style w:type="table" w:customStyle="1" w:styleId="TableGrid1">
    <w:name w:val="Table Grid1"/>
    <w:basedOn w:val="TableNormal"/>
    <w:next w:val="TableGrid"/>
    <w:uiPriority w:val="39"/>
    <w:rsid w:val="006D48C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6D48C2"/>
    <w:pPr>
      <w:spacing w:line="240" w:lineRule="exact"/>
      <w:jc w:val="both"/>
    </w:pPr>
    <w:rPr>
      <w:vertAlign w:val="superscript"/>
    </w:rPr>
  </w:style>
  <w:style w:type="table" w:customStyle="1" w:styleId="TableGrid2">
    <w:name w:val="Table Grid2"/>
    <w:basedOn w:val="TableNormal"/>
    <w:next w:val="TableGrid"/>
    <w:uiPriority w:val="39"/>
    <w:rsid w:val="006D48C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6D48C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D02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0253"/>
    <w:rPr>
      <w:sz w:val="20"/>
      <w:szCs w:val="20"/>
    </w:rPr>
  </w:style>
  <w:style w:type="character" w:styleId="EndnoteReference">
    <w:name w:val="endnote reference"/>
    <w:basedOn w:val="DefaultParagraphFont"/>
    <w:uiPriority w:val="99"/>
    <w:semiHidden/>
    <w:unhideWhenUsed/>
    <w:rsid w:val="004D0253"/>
    <w:rPr>
      <w:vertAlign w:val="superscript"/>
    </w:rPr>
  </w:style>
  <w:style w:type="paragraph" w:customStyle="1" w:styleId="xxmsonormal">
    <w:name w:val="x_xmsonormal"/>
    <w:basedOn w:val="Normal"/>
    <w:rsid w:val="007D634A"/>
    <w:pPr>
      <w:spacing w:after="0" w:line="240" w:lineRule="auto"/>
    </w:pPr>
    <w:rPr>
      <w:rFonts w:ascii="Calibri" w:hAnsi="Calibri" w:cs="Calibri"/>
      <w:lang w:eastAsia="lv-LV"/>
    </w:rPr>
  </w:style>
  <w:style w:type="paragraph" w:customStyle="1" w:styleId="xxmsolistparagraph">
    <w:name w:val="x_xmsolistparagraph"/>
    <w:basedOn w:val="Normal"/>
    <w:rsid w:val="007D634A"/>
    <w:pPr>
      <w:spacing w:after="0" w:line="240" w:lineRule="auto"/>
      <w:ind w:left="720"/>
    </w:pPr>
    <w:rPr>
      <w:rFonts w:ascii="Times New Roman" w:hAnsi="Times New Roman" w:cs="Times New Roman"/>
      <w:lang w:eastAsia="lv-LV"/>
    </w:rPr>
  </w:style>
  <w:style w:type="character" w:customStyle="1" w:styleId="xxspelle">
    <w:name w:val="x_xspelle"/>
    <w:basedOn w:val="DefaultParagraphFont"/>
    <w:rsid w:val="007D634A"/>
  </w:style>
  <w:style w:type="paragraph" w:customStyle="1" w:styleId="xxmsonormal0">
    <w:name w:val="x_x_msonormal"/>
    <w:basedOn w:val="Normal"/>
    <w:rsid w:val="00C62C62"/>
    <w:pPr>
      <w:spacing w:after="0" w:line="240" w:lineRule="auto"/>
    </w:pPr>
    <w:rPr>
      <w:rFonts w:ascii="Calibri" w:hAnsi="Calibri" w:cs="Calibri"/>
      <w:lang w:eastAsia="lv-LV"/>
    </w:rPr>
  </w:style>
  <w:style w:type="table" w:styleId="ListTable4-Accent5">
    <w:name w:val="List Table 4 Accent 5"/>
    <w:basedOn w:val="TableNormal"/>
    <w:uiPriority w:val="49"/>
    <w:rsid w:val="00042B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5">
    <w:name w:val="List Table 1 Light Accent 5"/>
    <w:basedOn w:val="TableNormal"/>
    <w:uiPriority w:val="46"/>
    <w:rsid w:val="00042B16"/>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lainText">
    <w:name w:val="Plain Text"/>
    <w:basedOn w:val="Normal"/>
    <w:link w:val="PlainTextChar"/>
    <w:uiPriority w:val="99"/>
    <w:semiHidden/>
    <w:unhideWhenUsed/>
    <w:rsid w:val="00BD11FC"/>
    <w:pPr>
      <w:spacing w:after="0" w:line="240" w:lineRule="auto"/>
    </w:pPr>
    <w:rPr>
      <w:rFonts w:ascii="Calibri" w:hAnsi="Calibri" w:cs="Calibri"/>
      <w:color w:val="1F497D"/>
    </w:rPr>
  </w:style>
  <w:style w:type="character" w:customStyle="1" w:styleId="PlainTextChar">
    <w:name w:val="Plain Text Char"/>
    <w:basedOn w:val="DefaultParagraphFont"/>
    <w:link w:val="PlainText"/>
    <w:uiPriority w:val="99"/>
    <w:semiHidden/>
    <w:rsid w:val="00BD11FC"/>
    <w:rPr>
      <w:rFonts w:ascii="Calibri" w:hAnsi="Calibri" w:cs="Calibri"/>
      <w:color w:val="1F497D"/>
    </w:rPr>
  </w:style>
  <w:style w:type="paragraph" w:customStyle="1" w:styleId="Default">
    <w:name w:val="Default"/>
    <w:rsid w:val="001F1B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eop">
    <w:name w:val="eop"/>
    <w:basedOn w:val="DefaultParagraphFont"/>
    <w:rsid w:val="001F1BD4"/>
  </w:style>
  <w:style w:type="character" w:customStyle="1" w:styleId="cf01">
    <w:name w:val="cf01"/>
    <w:basedOn w:val="DefaultParagraphFont"/>
    <w:rsid w:val="001F1BD4"/>
    <w:rPr>
      <w:rFonts w:ascii="Segoe UI" w:hAnsi="Segoe UI" w:cs="Segoe UI" w:hint="default"/>
      <w:sz w:val="18"/>
      <w:szCs w:val="18"/>
    </w:rPr>
  </w:style>
  <w:style w:type="paragraph" w:customStyle="1" w:styleId="xmsonormal">
    <w:name w:val="x_msonormal"/>
    <w:basedOn w:val="Normal"/>
    <w:rsid w:val="00D13325"/>
    <w:pPr>
      <w:spacing w:after="0" w:line="240" w:lineRule="auto"/>
    </w:pPr>
    <w:rPr>
      <w:rFonts w:ascii="Calibri" w:hAnsi="Calibri" w:cs="Calibri"/>
      <w:lang w:eastAsia="lv-LV"/>
    </w:rPr>
  </w:style>
  <w:style w:type="paragraph" w:customStyle="1" w:styleId="boldparagraphheader">
    <w:name w:val="bold_paragraph_header"/>
    <w:basedOn w:val="Normal"/>
    <w:next w:val="Normal"/>
    <w:rsid w:val="003026B0"/>
    <w:pPr>
      <w:spacing w:after="0" w:line="240" w:lineRule="auto"/>
      <w:contextualSpacing/>
      <w:jc w:val="center"/>
    </w:pPr>
    <w:rPr>
      <w:rFonts w:ascii="Times New Roman" w:eastAsia="Times New Roman" w:hAnsi="Times New Roman" w:cs="Times New Roman"/>
      <w:b/>
      <w:color w:val="333333"/>
      <w:sz w:val="28"/>
      <w:szCs w:val="20"/>
      <w:lang w:eastAsia="lv-LV"/>
    </w:rPr>
  </w:style>
  <w:style w:type="character" w:styleId="UnresolvedMention">
    <w:name w:val="Unresolved Mention"/>
    <w:basedOn w:val="DefaultParagraphFont"/>
    <w:uiPriority w:val="99"/>
    <w:semiHidden/>
    <w:unhideWhenUsed/>
    <w:rsid w:val="00D25E0B"/>
    <w:rPr>
      <w:color w:val="605E5C"/>
      <w:shd w:val="clear" w:color="auto" w:fill="E1DFDD"/>
    </w:rPr>
  </w:style>
  <w:style w:type="paragraph" w:styleId="BodyText2">
    <w:name w:val="Body Text 2"/>
    <w:basedOn w:val="Normal"/>
    <w:link w:val="BodyText2Char"/>
    <w:uiPriority w:val="99"/>
    <w:unhideWhenUsed/>
    <w:rsid w:val="005B1F3E"/>
    <w:pPr>
      <w:spacing w:after="120" w:line="480" w:lineRule="auto"/>
      <w:jc w:val="both"/>
    </w:pPr>
    <w:rPr>
      <w:rFonts w:ascii="Times New Roman" w:eastAsia="Times New Roman" w:hAnsi="Times New Roman" w:cs="Times New Roman"/>
      <w:color w:val="333333"/>
      <w:sz w:val="28"/>
      <w:szCs w:val="20"/>
      <w:lang w:eastAsia="lv-LV"/>
    </w:rPr>
  </w:style>
  <w:style w:type="character" w:customStyle="1" w:styleId="BodyText2Char">
    <w:name w:val="Body Text 2 Char"/>
    <w:basedOn w:val="DefaultParagraphFont"/>
    <w:link w:val="BodyText2"/>
    <w:uiPriority w:val="99"/>
    <w:rsid w:val="005B1F3E"/>
    <w:rPr>
      <w:rFonts w:ascii="Times New Roman" w:eastAsia="Times New Roman" w:hAnsi="Times New Roman" w:cs="Times New Roman"/>
      <w:color w:val="333333"/>
      <w:sz w:val="28"/>
      <w:szCs w:val="20"/>
      <w:lang w:eastAsia="lv-LV"/>
    </w:rPr>
  </w:style>
  <w:style w:type="character" w:customStyle="1" w:styleId="ui-provider">
    <w:name w:val="ui-provider"/>
    <w:basedOn w:val="DefaultParagraphFont"/>
    <w:rsid w:val="0081078B"/>
  </w:style>
  <w:style w:type="paragraph" w:customStyle="1" w:styleId="naiskr">
    <w:name w:val="naiskr"/>
    <w:basedOn w:val="Normal"/>
    <w:rsid w:val="000F798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0C2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0221">
      <w:bodyDiv w:val="1"/>
      <w:marLeft w:val="0"/>
      <w:marRight w:val="0"/>
      <w:marTop w:val="0"/>
      <w:marBottom w:val="0"/>
      <w:divBdr>
        <w:top w:val="none" w:sz="0" w:space="0" w:color="auto"/>
        <w:left w:val="none" w:sz="0" w:space="0" w:color="auto"/>
        <w:bottom w:val="none" w:sz="0" w:space="0" w:color="auto"/>
        <w:right w:val="none" w:sz="0" w:space="0" w:color="auto"/>
      </w:divBdr>
    </w:div>
    <w:div w:id="129595072">
      <w:bodyDiv w:val="1"/>
      <w:marLeft w:val="0"/>
      <w:marRight w:val="0"/>
      <w:marTop w:val="0"/>
      <w:marBottom w:val="0"/>
      <w:divBdr>
        <w:top w:val="none" w:sz="0" w:space="0" w:color="auto"/>
        <w:left w:val="none" w:sz="0" w:space="0" w:color="auto"/>
        <w:bottom w:val="none" w:sz="0" w:space="0" w:color="auto"/>
        <w:right w:val="none" w:sz="0" w:space="0" w:color="auto"/>
      </w:divBdr>
    </w:div>
    <w:div w:id="215509159">
      <w:bodyDiv w:val="1"/>
      <w:marLeft w:val="0"/>
      <w:marRight w:val="0"/>
      <w:marTop w:val="0"/>
      <w:marBottom w:val="0"/>
      <w:divBdr>
        <w:top w:val="none" w:sz="0" w:space="0" w:color="auto"/>
        <w:left w:val="none" w:sz="0" w:space="0" w:color="auto"/>
        <w:bottom w:val="none" w:sz="0" w:space="0" w:color="auto"/>
        <w:right w:val="none" w:sz="0" w:space="0" w:color="auto"/>
      </w:divBdr>
    </w:div>
    <w:div w:id="223419943">
      <w:bodyDiv w:val="1"/>
      <w:marLeft w:val="0"/>
      <w:marRight w:val="0"/>
      <w:marTop w:val="0"/>
      <w:marBottom w:val="0"/>
      <w:divBdr>
        <w:top w:val="none" w:sz="0" w:space="0" w:color="auto"/>
        <w:left w:val="none" w:sz="0" w:space="0" w:color="auto"/>
        <w:bottom w:val="none" w:sz="0" w:space="0" w:color="auto"/>
        <w:right w:val="none" w:sz="0" w:space="0" w:color="auto"/>
      </w:divBdr>
    </w:div>
    <w:div w:id="227111723">
      <w:bodyDiv w:val="1"/>
      <w:marLeft w:val="0"/>
      <w:marRight w:val="0"/>
      <w:marTop w:val="0"/>
      <w:marBottom w:val="0"/>
      <w:divBdr>
        <w:top w:val="none" w:sz="0" w:space="0" w:color="auto"/>
        <w:left w:val="none" w:sz="0" w:space="0" w:color="auto"/>
        <w:bottom w:val="none" w:sz="0" w:space="0" w:color="auto"/>
        <w:right w:val="none" w:sz="0" w:space="0" w:color="auto"/>
      </w:divBdr>
    </w:div>
    <w:div w:id="228615906">
      <w:bodyDiv w:val="1"/>
      <w:marLeft w:val="0"/>
      <w:marRight w:val="0"/>
      <w:marTop w:val="0"/>
      <w:marBottom w:val="0"/>
      <w:divBdr>
        <w:top w:val="none" w:sz="0" w:space="0" w:color="auto"/>
        <w:left w:val="none" w:sz="0" w:space="0" w:color="auto"/>
        <w:bottom w:val="none" w:sz="0" w:space="0" w:color="auto"/>
        <w:right w:val="none" w:sz="0" w:space="0" w:color="auto"/>
      </w:divBdr>
    </w:div>
    <w:div w:id="242690573">
      <w:bodyDiv w:val="1"/>
      <w:marLeft w:val="0"/>
      <w:marRight w:val="0"/>
      <w:marTop w:val="0"/>
      <w:marBottom w:val="0"/>
      <w:divBdr>
        <w:top w:val="none" w:sz="0" w:space="0" w:color="auto"/>
        <w:left w:val="none" w:sz="0" w:space="0" w:color="auto"/>
        <w:bottom w:val="none" w:sz="0" w:space="0" w:color="auto"/>
        <w:right w:val="none" w:sz="0" w:space="0" w:color="auto"/>
      </w:divBdr>
    </w:div>
    <w:div w:id="261845304">
      <w:bodyDiv w:val="1"/>
      <w:marLeft w:val="0"/>
      <w:marRight w:val="0"/>
      <w:marTop w:val="0"/>
      <w:marBottom w:val="0"/>
      <w:divBdr>
        <w:top w:val="none" w:sz="0" w:space="0" w:color="auto"/>
        <w:left w:val="none" w:sz="0" w:space="0" w:color="auto"/>
        <w:bottom w:val="none" w:sz="0" w:space="0" w:color="auto"/>
        <w:right w:val="none" w:sz="0" w:space="0" w:color="auto"/>
      </w:divBdr>
    </w:div>
    <w:div w:id="270013213">
      <w:bodyDiv w:val="1"/>
      <w:marLeft w:val="0"/>
      <w:marRight w:val="0"/>
      <w:marTop w:val="0"/>
      <w:marBottom w:val="0"/>
      <w:divBdr>
        <w:top w:val="none" w:sz="0" w:space="0" w:color="auto"/>
        <w:left w:val="none" w:sz="0" w:space="0" w:color="auto"/>
        <w:bottom w:val="none" w:sz="0" w:space="0" w:color="auto"/>
        <w:right w:val="none" w:sz="0" w:space="0" w:color="auto"/>
      </w:divBdr>
    </w:div>
    <w:div w:id="278803939">
      <w:bodyDiv w:val="1"/>
      <w:marLeft w:val="0"/>
      <w:marRight w:val="0"/>
      <w:marTop w:val="0"/>
      <w:marBottom w:val="0"/>
      <w:divBdr>
        <w:top w:val="none" w:sz="0" w:space="0" w:color="auto"/>
        <w:left w:val="none" w:sz="0" w:space="0" w:color="auto"/>
        <w:bottom w:val="none" w:sz="0" w:space="0" w:color="auto"/>
        <w:right w:val="none" w:sz="0" w:space="0" w:color="auto"/>
      </w:divBdr>
    </w:div>
    <w:div w:id="326060940">
      <w:bodyDiv w:val="1"/>
      <w:marLeft w:val="0"/>
      <w:marRight w:val="0"/>
      <w:marTop w:val="0"/>
      <w:marBottom w:val="0"/>
      <w:divBdr>
        <w:top w:val="none" w:sz="0" w:space="0" w:color="auto"/>
        <w:left w:val="none" w:sz="0" w:space="0" w:color="auto"/>
        <w:bottom w:val="none" w:sz="0" w:space="0" w:color="auto"/>
        <w:right w:val="none" w:sz="0" w:space="0" w:color="auto"/>
      </w:divBdr>
    </w:div>
    <w:div w:id="346518102">
      <w:bodyDiv w:val="1"/>
      <w:marLeft w:val="0"/>
      <w:marRight w:val="0"/>
      <w:marTop w:val="0"/>
      <w:marBottom w:val="0"/>
      <w:divBdr>
        <w:top w:val="none" w:sz="0" w:space="0" w:color="auto"/>
        <w:left w:val="none" w:sz="0" w:space="0" w:color="auto"/>
        <w:bottom w:val="none" w:sz="0" w:space="0" w:color="auto"/>
        <w:right w:val="none" w:sz="0" w:space="0" w:color="auto"/>
      </w:divBdr>
    </w:div>
    <w:div w:id="369379497">
      <w:bodyDiv w:val="1"/>
      <w:marLeft w:val="0"/>
      <w:marRight w:val="0"/>
      <w:marTop w:val="0"/>
      <w:marBottom w:val="0"/>
      <w:divBdr>
        <w:top w:val="none" w:sz="0" w:space="0" w:color="auto"/>
        <w:left w:val="none" w:sz="0" w:space="0" w:color="auto"/>
        <w:bottom w:val="none" w:sz="0" w:space="0" w:color="auto"/>
        <w:right w:val="none" w:sz="0" w:space="0" w:color="auto"/>
      </w:divBdr>
    </w:div>
    <w:div w:id="388774477">
      <w:bodyDiv w:val="1"/>
      <w:marLeft w:val="0"/>
      <w:marRight w:val="0"/>
      <w:marTop w:val="0"/>
      <w:marBottom w:val="0"/>
      <w:divBdr>
        <w:top w:val="none" w:sz="0" w:space="0" w:color="auto"/>
        <w:left w:val="none" w:sz="0" w:space="0" w:color="auto"/>
        <w:bottom w:val="none" w:sz="0" w:space="0" w:color="auto"/>
        <w:right w:val="none" w:sz="0" w:space="0" w:color="auto"/>
      </w:divBdr>
    </w:div>
    <w:div w:id="457844999">
      <w:bodyDiv w:val="1"/>
      <w:marLeft w:val="0"/>
      <w:marRight w:val="0"/>
      <w:marTop w:val="0"/>
      <w:marBottom w:val="0"/>
      <w:divBdr>
        <w:top w:val="none" w:sz="0" w:space="0" w:color="auto"/>
        <w:left w:val="none" w:sz="0" w:space="0" w:color="auto"/>
        <w:bottom w:val="none" w:sz="0" w:space="0" w:color="auto"/>
        <w:right w:val="none" w:sz="0" w:space="0" w:color="auto"/>
      </w:divBdr>
    </w:div>
    <w:div w:id="503129779">
      <w:bodyDiv w:val="1"/>
      <w:marLeft w:val="0"/>
      <w:marRight w:val="0"/>
      <w:marTop w:val="0"/>
      <w:marBottom w:val="0"/>
      <w:divBdr>
        <w:top w:val="none" w:sz="0" w:space="0" w:color="auto"/>
        <w:left w:val="none" w:sz="0" w:space="0" w:color="auto"/>
        <w:bottom w:val="none" w:sz="0" w:space="0" w:color="auto"/>
        <w:right w:val="none" w:sz="0" w:space="0" w:color="auto"/>
      </w:divBdr>
    </w:div>
    <w:div w:id="546990908">
      <w:bodyDiv w:val="1"/>
      <w:marLeft w:val="0"/>
      <w:marRight w:val="0"/>
      <w:marTop w:val="0"/>
      <w:marBottom w:val="0"/>
      <w:divBdr>
        <w:top w:val="none" w:sz="0" w:space="0" w:color="auto"/>
        <w:left w:val="none" w:sz="0" w:space="0" w:color="auto"/>
        <w:bottom w:val="none" w:sz="0" w:space="0" w:color="auto"/>
        <w:right w:val="none" w:sz="0" w:space="0" w:color="auto"/>
      </w:divBdr>
    </w:div>
    <w:div w:id="553395501">
      <w:bodyDiv w:val="1"/>
      <w:marLeft w:val="0"/>
      <w:marRight w:val="0"/>
      <w:marTop w:val="0"/>
      <w:marBottom w:val="0"/>
      <w:divBdr>
        <w:top w:val="none" w:sz="0" w:space="0" w:color="auto"/>
        <w:left w:val="none" w:sz="0" w:space="0" w:color="auto"/>
        <w:bottom w:val="none" w:sz="0" w:space="0" w:color="auto"/>
        <w:right w:val="none" w:sz="0" w:space="0" w:color="auto"/>
      </w:divBdr>
    </w:div>
    <w:div w:id="573124747">
      <w:bodyDiv w:val="1"/>
      <w:marLeft w:val="0"/>
      <w:marRight w:val="0"/>
      <w:marTop w:val="0"/>
      <w:marBottom w:val="0"/>
      <w:divBdr>
        <w:top w:val="none" w:sz="0" w:space="0" w:color="auto"/>
        <w:left w:val="none" w:sz="0" w:space="0" w:color="auto"/>
        <w:bottom w:val="none" w:sz="0" w:space="0" w:color="auto"/>
        <w:right w:val="none" w:sz="0" w:space="0" w:color="auto"/>
      </w:divBdr>
    </w:div>
    <w:div w:id="623384819">
      <w:bodyDiv w:val="1"/>
      <w:marLeft w:val="0"/>
      <w:marRight w:val="0"/>
      <w:marTop w:val="0"/>
      <w:marBottom w:val="0"/>
      <w:divBdr>
        <w:top w:val="none" w:sz="0" w:space="0" w:color="auto"/>
        <w:left w:val="none" w:sz="0" w:space="0" w:color="auto"/>
        <w:bottom w:val="none" w:sz="0" w:space="0" w:color="auto"/>
        <w:right w:val="none" w:sz="0" w:space="0" w:color="auto"/>
      </w:divBdr>
    </w:div>
    <w:div w:id="625504777">
      <w:bodyDiv w:val="1"/>
      <w:marLeft w:val="0"/>
      <w:marRight w:val="0"/>
      <w:marTop w:val="0"/>
      <w:marBottom w:val="0"/>
      <w:divBdr>
        <w:top w:val="none" w:sz="0" w:space="0" w:color="auto"/>
        <w:left w:val="none" w:sz="0" w:space="0" w:color="auto"/>
        <w:bottom w:val="none" w:sz="0" w:space="0" w:color="auto"/>
        <w:right w:val="none" w:sz="0" w:space="0" w:color="auto"/>
      </w:divBdr>
    </w:div>
    <w:div w:id="639963795">
      <w:bodyDiv w:val="1"/>
      <w:marLeft w:val="0"/>
      <w:marRight w:val="0"/>
      <w:marTop w:val="0"/>
      <w:marBottom w:val="0"/>
      <w:divBdr>
        <w:top w:val="none" w:sz="0" w:space="0" w:color="auto"/>
        <w:left w:val="none" w:sz="0" w:space="0" w:color="auto"/>
        <w:bottom w:val="none" w:sz="0" w:space="0" w:color="auto"/>
        <w:right w:val="none" w:sz="0" w:space="0" w:color="auto"/>
      </w:divBdr>
    </w:div>
    <w:div w:id="640962427">
      <w:bodyDiv w:val="1"/>
      <w:marLeft w:val="0"/>
      <w:marRight w:val="0"/>
      <w:marTop w:val="0"/>
      <w:marBottom w:val="0"/>
      <w:divBdr>
        <w:top w:val="none" w:sz="0" w:space="0" w:color="auto"/>
        <w:left w:val="none" w:sz="0" w:space="0" w:color="auto"/>
        <w:bottom w:val="none" w:sz="0" w:space="0" w:color="auto"/>
        <w:right w:val="none" w:sz="0" w:space="0" w:color="auto"/>
      </w:divBdr>
    </w:div>
    <w:div w:id="653031232">
      <w:bodyDiv w:val="1"/>
      <w:marLeft w:val="0"/>
      <w:marRight w:val="0"/>
      <w:marTop w:val="0"/>
      <w:marBottom w:val="0"/>
      <w:divBdr>
        <w:top w:val="none" w:sz="0" w:space="0" w:color="auto"/>
        <w:left w:val="none" w:sz="0" w:space="0" w:color="auto"/>
        <w:bottom w:val="none" w:sz="0" w:space="0" w:color="auto"/>
        <w:right w:val="none" w:sz="0" w:space="0" w:color="auto"/>
      </w:divBdr>
    </w:div>
    <w:div w:id="663317251">
      <w:bodyDiv w:val="1"/>
      <w:marLeft w:val="0"/>
      <w:marRight w:val="0"/>
      <w:marTop w:val="0"/>
      <w:marBottom w:val="0"/>
      <w:divBdr>
        <w:top w:val="none" w:sz="0" w:space="0" w:color="auto"/>
        <w:left w:val="none" w:sz="0" w:space="0" w:color="auto"/>
        <w:bottom w:val="none" w:sz="0" w:space="0" w:color="auto"/>
        <w:right w:val="none" w:sz="0" w:space="0" w:color="auto"/>
      </w:divBdr>
    </w:div>
    <w:div w:id="758520272">
      <w:bodyDiv w:val="1"/>
      <w:marLeft w:val="0"/>
      <w:marRight w:val="0"/>
      <w:marTop w:val="0"/>
      <w:marBottom w:val="0"/>
      <w:divBdr>
        <w:top w:val="none" w:sz="0" w:space="0" w:color="auto"/>
        <w:left w:val="none" w:sz="0" w:space="0" w:color="auto"/>
        <w:bottom w:val="none" w:sz="0" w:space="0" w:color="auto"/>
        <w:right w:val="none" w:sz="0" w:space="0" w:color="auto"/>
      </w:divBdr>
    </w:div>
    <w:div w:id="879323157">
      <w:bodyDiv w:val="1"/>
      <w:marLeft w:val="0"/>
      <w:marRight w:val="0"/>
      <w:marTop w:val="0"/>
      <w:marBottom w:val="0"/>
      <w:divBdr>
        <w:top w:val="none" w:sz="0" w:space="0" w:color="auto"/>
        <w:left w:val="none" w:sz="0" w:space="0" w:color="auto"/>
        <w:bottom w:val="none" w:sz="0" w:space="0" w:color="auto"/>
        <w:right w:val="none" w:sz="0" w:space="0" w:color="auto"/>
      </w:divBdr>
    </w:div>
    <w:div w:id="921257731">
      <w:bodyDiv w:val="1"/>
      <w:marLeft w:val="0"/>
      <w:marRight w:val="0"/>
      <w:marTop w:val="0"/>
      <w:marBottom w:val="0"/>
      <w:divBdr>
        <w:top w:val="none" w:sz="0" w:space="0" w:color="auto"/>
        <w:left w:val="none" w:sz="0" w:space="0" w:color="auto"/>
        <w:bottom w:val="none" w:sz="0" w:space="0" w:color="auto"/>
        <w:right w:val="none" w:sz="0" w:space="0" w:color="auto"/>
      </w:divBdr>
    </w:div>
    <w:div w:id="963190264">
      <w:bodyDiv w:val="1"/>
      <w:marLeft w:val="0"/>
      <w:marRight w:val="0"/>
      <w:marTop w:val="0"/>
      <w:marBottom w:val="0"/>
      <w:divBdr>
        <w:top w:val="none" w:sz="0" w:space="0" w:color="auto"/>
        <w:left w:val="none" w:sz="0" w:space="0" w:color="auto"/>
        <w:bottom w:val="none" w:sz="0" w:space="0" w:color="auto"/>
        <w:right w:val="none" w:sz="0" w:space="0" w:color="auto"/>
      </w:divBdr>
    </w:div>
    <w:div w:id="965427608">
      <w:bodyDiv w:val="1"/>
      <w:marLeft w:val="0"/>
      <w:marRight w:val="0"/>
      <w:marTop w:val="0"/>
      <w:marBottom w:val="0"/>
      <w:divBdr>
        <w:top w:val="none" w:sz="0" w:space="0" w:color="auto"/>
        <w:left w:val="none" w:sz="0" w:space="0" w:color="auto"/>
        <w:bottom w:val="none" w:sz="0" w:space="0" w:color="auto"/>
        <w:right w:val="none" w:sz="0" w:space="0" w:color="auto"/>
      </w:divBdr>
    </w:div>
    <w:div w:id="1004746324">
      <w:bodyDiv w:val="1"/>
      <w:marLeft w:val="0"/>
      <w:marRight w:val="0"/>
      <w:marTop w:val="0"/>
      <w:marBottom w:val="0"/>
      <w:divBdr>
        <w:top w:val="none" w:sz="0" w:space="0" w:color="auto"/>
        <w:left w:val="none" w:sz="0" w:space="0" w:color="auto"/>
        <w:bottom w:val="none" w:sz="0" w:space="0" w:color="auto"/>
        <w:right w:val="none" w:sz="0" w:space="0" w:color="auto"/>
      </w:divBdr>
    </w:div>
    <w:div w:id="1041317941">
      <w:bodyDiv w:val="1"/>
      <w:marLeft w:val="0"/>
      <w:marRight w:val="0"/>
      <w:marTop w:val="0"/>
      <w:marBottom w:val="0"/>
      <w:divBdr>
        <w:top w:val="none" w:sz="0" w:space="0" w:color="auto"/>
        <w:left w:val="none" w:sz="0" w:space="0" w:color="auto"/>
        <w:bottom w:val="none" w:sz="0" w:space="0" w:color="auto"/>
        <w:right w:val="none" w:sz="0" w:space="0" w:color="auto"/>
      </w:divBdr>
    </w:div>
    <w:div w:id="1046566780">
      <w:bodyDiv w:val="1"/>
      <w:marLeft w:val="0"/>
      <w:marRight w:val="0"/>
      <w:marTop w:val="0"/>
      <w:marBottom w:val="0"/>
      <w:divBdr>
        <w:top w:val="none" w:sz="0" w:space="0" w:color="auto"/>
        <w:left w:val="none" w:sz="0" w:space="0" w:color="auto"/>
        <w:bottom w:val="none" w:sz="0" w:space="0" w:color="auto"/>
        <w:right w:val="none" w:sz="0" w:space="0" w:color="auto"/>
      </w:divBdr>
    </w:div>
    <w:div w:id="1105926060">
      <w:bodyDiv w:val="1"/>
      <w:marLeft w:val="0"/>
      <w:marRight w:val="0"/>
      <w:marTop w:val="0"/>
      <w:marBottom w:val="0"/>
      <w:divBdr>
        <w:top w:val="none" w:sz="0" w:space="0" w:color="auto"/>
        <w:left w:val="none" w:sz="0" w:space="0" w:color="auto"/>
        <w:bottom w:val="none" w:sz="0" w:space="0" w:color="auto"/>
        <w:right w:val="none" w:sz="0" w:space="0" w:color="auto"/>
      </w:divBdr>
    </w:div>
    <w:div w:id="1125463514">
      <w:bodyDiv w:val="1"/>
      <w:marLeft w:val="0"/>
      <w:marRight w:val="0"/>
      <w:marTop w:val="0"/>
      <w:marBottom w:val="0"/>
      <w:divBdr>
        <w:top w:val="none" w:sz="0" w:space="0" w:color="auto"/>
        <w:left w:val="none" w:sz="0" w:space="0" w:color="auto"/>
        <w:bottom w:val="none" w:sz="0" w:space="0" w:color="auto"/>
        <w:right w:val="none" w:sz="0" w:space="0" w:color="auto"/>
      </w:divBdr>
    </w:div>
    <w:div w:id="1152605359">
      <w:bodyDiv w:val="1"/>
      <w:marLeft w:val="0"/>
      <w:marRight w:val="0"/>
      <w:marTop w:val="0"/>
      <w:marBottom w:val="0"/>
      <w:divBdr>
        <w:top w:val="none" w:sz="0" w:space="0" w:color="auto"/>
        <w:left w:val="none" w:sz="0" w:space="0" w:color="auto"/>
        <w:bottom w:val="none" w:sz="0" w:space="0" w:color="auto"/>
        <w:right w:val="none" w:sz="0" w:space="0" w:color="auto"/>
      </w:divBdr>
    </w:div>
    <w:div w:id="1238325602">
      <w:bodyDiv w:val="1"/>
      <w:marLeft w:val="0"/>
      <w:marRight w:val="0"/>
      <w:marTop w:val="0"/>
      <w:marBottom w:val="0"/>
      <w:divBdr>
        <w:top w:val="none" w:sz="0" w:space="0" w:color="auto"/>
        <w:left w:val="none" w:sz="0" w:space="0" w:color="auto"/>
        <w:bottom w:val="none" w:sz="0" w:space="0" w:color="auto"/>
        <w:right w:val="none" w:sz="0" w:space="0" w:color="auto"/>
      </w:divBdr>
    </w:div>
    <w:div w:id="1240868028">
      <w:bodyDiv w:val="1"/>
      <w:marLeft w:val="0"/>
      <w:marRight w:val="0"/>
      <w:marTop w:val="0"/>
      <w:marBottom w:val="0"/>
      <w:divBdr>
        <w:top w:val="none" w:sz="0" w:space="0" w:color="auto"/>
        <w:left w:val="none" w:sz="0" w:space="0" w:color="auto"/>
        <w:bottom w:val="none" w:sz="0" w:space="0" w:color="auto"/>
        <w:right w:val="none" w:sz="0" w:space="0" w:color="auto"/>
      </w:divBdr>
    </w:div>
    <w:div w:id="1281376870">
      <w:bodyDiv w:val="1"/>
      <w:marLeft w:val="0"/>
      <w:marRight w:val="0"/>
      <w:marTop w:val="0"/>
      <w:marBottom w:val="0"/>
      <w:divBdr>
        <w:top w:val="none" w:sz="0" w:space="0" w:color="auto"/>
        <w:left w:val="none" w:sz="0" w:space="0" w:color="auto"/>
        <w:bottom w:val="none" w:sz="0" w:space="0" w:color="auto"/>
        <w:right w:val="none" w:sz="0" w:space="0" w:color="auto"/>
      </w:divBdr>
    </w:div>
    <w:div w:id="1291060171">
      <w:bodyDiv w:val="1"/>
      <w:marLeft w:val="0"/>
      <w:marRight w:val="0"/>
      <w:marTop w:val="0"/>
      <w:marBottom w:val="0"/>
      <w:divBdr>
        <w:top w:val="none" w:sz="0" w:space="0" w:color="auto"/>
        <w:left w:val="none" w:sz="0" w:space="0" w:color="auto"/>
        <w:bottom w:val="none" w:sz="0" w:space="0" w:color="auto"/>
        <w:right w:val="none" w:sz="0" w:space="0" w:color="auto"/>
      </w:divBdr>
    </w:div>
    <w:div w:id="1408112422">
      <w:bodyDiv w:val="1"/>
      <w:marLeft w:val="0"/>
      <w:marRight w:val="0"/>
      <w:marTop w:val="0"/>
      <w:marBottom w:val="0"/>
      <w:divBdr>
        <w:top w:val="none" w:sz="0" w:space="0" w:color="auto"/>
        <w:left w:val="none" w:sz="0" w:space="0" w:color="auto"/>
        <w:bottom w:val="none" w:sz="0" w:space="0" w:color="auto"/>
        <w:right w:val="none" w:sz="0" w:space="0" w:color="auto"/>
      </w:divBdr>
    </w:div>
    <w:div w:id="1503740175">
      <w:bodyDiv w:val="1"/>
      <w:marLeft w:val="0"/>
      <w:marRight w:val="0"/>
      <w:marTop w:val="0"/>
      <w:marBottom w:val="0"/>
      <w:divBdr>
        <w:top w:val="none" w:sz="0" w:space="0" w:color="auto"/>
        <w:left w:val="none" w:sz="0" w:space="0" w:color="auto"/>
        <w:bottom w:val="none" w:sz="0" w:space="0" w:color="auto"/>
        <w:right w:val="none" w:sz="0" w:space="0" w:color="auto"/>
      </w:divBdr>
    </w:div>
    <w:div w:id="1577325213">
      <w:bodyDiv w:val="1"/>
      <w:marLeft w:val="0"/>
      <w:marRight w:val="0"/>
      <w:marTop w:val="0"/>
      <w:marBottom w:val="0"/>
      <w:divBdr>
        <w:top w:val="none" w:sz="0" w:space="0" w:color="auto"/>
        <w:left w:val="none" w:sz="0" w:space="0" w:color="auto"/>
        <w:bottom w:val="none" w:sz="0" w:space="0" w:color="auto"/>
        <w:right w:val="none" w:sz="0" w:space="0" w:color="auto"/>
      </w:divBdr>
    </w:div>
    <w:div w:id="1585914094">
      <w:bodyDiv w:val="1"/>
      <w:marLeft w:val="0"/>
      <w:marRight w:val="0"/>
      <w:marTop w:val="0"/>
      <w:marBottom w:val="0"/>
      <w:divBdr>
        <w:top w:val="none" w:sz="0" w:space="0" w:color="auto"/>
        <w:left w:val="none" w:sz="0" w:space="0" w:color="auto"/>
        <w:bottom w:val="none" w:sz="0" w:space="0" w:color="auto"/>
        <w:right w:val="none" w:sz="0" w:space="0" w:color="auto"/>
      </w:divBdr>
    </w:div>
    <w:div w:id="1595935874">
      <w:bodyDiv w:val="1"/>
      <w:marLeft w:val="0"/>
      <w:marRight w:val="0"/>
      <w:marTop w:val="0"/>
      <w:marBottom w:val="0"/>
      <w:divBdr>
        <w:top w:val="none" w:sz="0" w:space="0" w:color="auto"/>
        <w:left w:val="none" w:sz="0" w:space="0" w:color="auto"/>
        <w:bottom w:val="none" w:sz="0" w:space="0" w:color="auto"/>
        <w:right w:val="none" w:sz="0" w:space="0" w:color="auto"/>
      </w:divBdr>
    </w:div>
    <w:div w:id="1601601075">
      <w:bodyDiv w:val="1"/>
      <w:marLeft w:val="0"/>
      <w:marRight w:val="0"/>
      <w:marTop w:val="0"/>
      <w:marBottom w:val="0"/>
      <w:divBdr>
        <w:top w:val="none" w:sz="0" w:space="0" w:color="auto"/>
        <w:left w:val="none" w:sz="0" w:space="0" w:color="auto"/>
        <w:bottom w:val="none" w:sz="0" w:space="0" w:color="auto"/>
        <w:right w:val="none" w:sz="0" w:space="0" w:color="auto"/>
      </w:divBdr>
    </w:div>
    <w:div w:id="1665815123">
      <w:bodyDiv w:val="1"/>
      <w:marLeft w:val="0"/>
      <w:marRight w:val="0"/>
      <w:marTop w:val="0"/>
      <w:marBottom w:val="0"/>
      <w:divBdr>
        <w:top w:val="none" w:sz="0" w:space="0" w:color="auto"/>
        <w:left w:val="none" w:sz="0" w:space="0" w:color="auto"/>
        <w:bottom w:val="none" w:sz="0" w:space="0" w:color="auto"/>
        <w:right w:val="none" w:sz="0" w:space="0" w:color="auto"/>
      </w:divBdr>
    </w:div>
    <w:div w:id="1680933686">
      <w:bodyDiv w:val="1"/>
      <w:marLeft w:val="0"/>
      <w:marRight w:val="0"/>
      <w:marTop w:val="0"/>
      <w:marBottom w:val="0"/>
      <w:divBdr>
        <w:top w:val="none" w:sz="0" w:space="0" w:color="auto"/>
        <w:left w:val="none" w:sz="0" w:space="0" w:color="auto"/>
        <w:bottom w:val="none" w:sz="0" w:space="0" w:color="auto"/>
        <w:right w:val="none" w:sz="0" w:space="0" w:color="auto"/>
      </w:divBdr>
    </w:div>
    <w:div w:id="1706127733">
      <w:bodyDiv w:val="1"/>
      <w:marLeft w:val="0"/>
      <w:marRight w:val="0"/>
      <w:marTop w:val="0"/>
      <w:marBottom w:val="0"/>
      <w:divBdr>
        <w:top w:val="none" w:sz="0" w:space="0" w:color="auto"/>
        <w:left w:val="none" w:sz="0" w:space="0" w:color="auto"/>
        <w:bottom w:val="none" w:sz="0" w:space="0" w:color="auto"/>
        <w:right w:val="none" w:sz="0" w:space="0" w:color="auto"/>
      </w:divBdr>
    </w:div>
    <w:div w:id="1709909839">
      <w:bodyDiv w:val="1"/>
      <w:marLeft w:val="0"/>
      <w:marRight w:val="0"/>
      <w:marTop w:val="0"/>
      <w:marBottom w:val="0"/>
      <w:divBdr>
        <w:top w:val="none" w:sz="0" w:space="0" w:color="auto"/>
        <w:left w:val="none" w:sz="0" w:space="0" w:color="auto"/>
        <w:bottom w:val="none" w:sz="0" w:space="0" w:color="auto"/>
        <w:right w:val="none" w:sz="0" w:space="0" w:color="auto"/>
      </w:divBdr>
    </w:div>
    <w:div w:id="1714502294">
      <w:bodyDiv w:val="1"/>
      <w:marLeft w:val="0"/>
      <w:marRight w:val="0"/>
      <w:marTop w:val="0"/>
      <w:marBottom w:val="0"/>
      <w:divBdr>
        <w:top w:val="none" w:sz="0" w:space="0" w:color="auto"/>
        <w:left w:val="none" w:sz="0" w:space="0" w:color="auto"/>
        <w:bottom w:val="none" w:sz="0" w:space="0" w:color="auto"/>
        <w:right w:val="none" w:sz="0" w:space="0" w:color="auto"/>
      </w:divBdr>
    </w:div>
    <w:div w:id="1841576513">
      <w:bodyDiv w:val="1"/>
      <w:marLeft w:val="0"/>
      <w:marRight w:val="0"/>
      <w:marTop w:val="0"/>
      <w:marBottom w:val="0"/>
      <w:divBdr>
        <w:top w:val="none" w:sz="0" w:space="0" w:color="auto"/>
        <w:left w:val="none" w:sz="0" w:space="0" w:color="auto"/>
        <w:bottom w:val="none" w:sz="0" w:space="0" w:color="auto"/>
        <w:right w:val="none" w:sz="0" w:space="0" w:color="auto"/>
      </w:divBdr>
    </w:div>
    <w:div w:id="1886672685">
      <w:bodyDiv w:val="1"/>
      <w:marLeft w:val="0"/>
      <w:marRight w:val="0"/>
      <w:marTop w:val="0"/>
      <w:marBottom w:val="0"/>
      <w:divBdr>
        <w:top w:val="none" w:sz="0" w:space="0" w:color="auto"/>
        <w:left w:val="none" w:sz="0" w:space="0" w:color="auto"/>
        <w:bottom w:val="none" w:sz="0" w:space="0" w:color="auto"/>
        <w:right w:val="none" w:sz="0" w:space="0" w:color="auto"/>
      </w:divBdr>
    </w:div>
    <w:div w:id="1949240554">
      <w:bodyDiv w:val="1"/>
      <w:marLeft w:val="0"/>
      <w:marRight w:val="0"/>
      <w:marTop w:val="0"/>
      <w:marBottom w:val="0"/>
      <w:divBdr>
        <w:top w:val="none" w:sz="0" w:space="0" w:color="auto"/>
        <w:left w:val="none" w:sz="0" w:space="0" w:color="auto"/>
        <w:bottom w:val="none" w:sz="0" w:space="0" w:color="auto"/>
        <w:right w:val="none" w:sz="0" w:space="0" w:color="auto"/>
      </w:divBdr>
    </w:div>
    <w:div w:id="1968462920">
      <w:bodyDiv w:val="1"/>
      <w:marLeft w:val="0"/>
      <w:marRight w:val="0"/>
      <w:marTop w:val="0"/>
      <w:marBottom w:val="0"/>
      <w:divBdr>
        <w:top w:val="none" w:sz="0" w:space="0" w:color="auto"/>
        <w:left w:val="none" w:sz="0" w:space="0" w:color="auto"/>
        <w:bottom w:val="none" w:sz="0" w:space="0" w:color="auto"/>
        <w:right w:val="none" w:sz="0" w:space="0" w:color="auto"/>
      </w:divBdr>
    </w:div>
    <w:div w:id="1977833400">
      <w:bodyDiv w:val="1"/>
      <w:marLeft w:val="0"/>
      <w:marRight w:val="0"/>
      <w:marTop w:val="0"/>
      <w:marBottom w:val="0"/>
      <w:divBdr>
        <w:top w:val="none" w:sz="0" w:space="0" w:color="auto"/>
        <w:left w:val="none" w:sz="0" w:space="0" w:color="auto"/>
        <w:bottom w:val="none" w:sz="0" w:space="0" w:color="auto"/>
        <w:right w:val="none" w:sz="0" w:space="0" w:color="auto"/>
      </w:divBdr>
    </w:div>
    <w:div w:id="2029721503">
      <w:bodyDiv w:val="1"/>
      <w:marLeft w:val="0"/>
      <w:marRight w:val="0"/>
      <w:marTop w:val="0"/>
      <w:marBottom w:val="0"/>
      <w:divBdr>
        <w:top w:val="none" w:sz="0" w:space="0" w:color="auto"/>
        <w:left w:val="none" w:sz="0" w:space="0" w:color="auto"/>
        <w:bottom w:val="none" w:sz="0" w:space="0" w:color="auto"/>
        <w:right w:val="none" w:sz="0" w:space="0" w:color="auto"/>
      </w:divBdr>
    </w:div>
    <w:div w:id="2068608481">
      <w:bodyDiv w:val="1"/>
      <w:marLeft w:val="0"/>
      <w:marRight w:val="0"/>
      <w:marTop w:val="0"/>
      <w:marBottom w:val="0"/>
      <w:divBdr>
        <w:top w:val="none" w:sz="0" w:space="0" w:color="auto"/>
        <w:left w:val="none" w:sz="0" w:space="0" w:color="auto"/>
        <w:bottom w:val="none" w:sz="0" w:space="0" w:color="auto"/>
        <w:right w:val="none" w:sz="0" w:space="0" w:color="auto"/>
      </w:divBdr>
    </w:div>
    <w:div w:id="21396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Adijane@f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vina.Dzenite@fm.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legal_acts/438de4b7-4475-4d8e-a189-34956851f965" TargetMode="External"/><Relationship Id="rId1" Type="http://schemas.openxmlformats.org/officeDocument/2006/relationships/hyperlink" Target="https://tapportals.mk.gov.lv/legal_acts/1b22acf1-7d8a-413f-95b0-5e23c60029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B3E53-856F-42DE-92FF-D7729DC3C62F}">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28798</Words>
  <Characters>16415</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Informatīvais ziņojums “Par priekšlikumiem valsts budžeta ieņēmumiem un izdevumiem 2022.gadam un ietvaram 2022.–2024.gadam”</vt:lpstr>
    </vt:vector>
  </TitlesOfParts>
  <Company>Finanšu ministrija</Company>
  <LinksUpToDate>false</LinksUpToDate>
  <CharactersWithSpaces>45123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priekšlikumiem valsts budžeta ieņēmumiem un izdevumiem 2022.gadam un ietvaram 2022.–2024.gadam”</dc:title>
  <dc:subject>Informatīvais ziņojums</dc:subject>
  <dc:creator>Zane Adijāne</dc:creator>
  <cp:keywords/>
  <dc:description>Zane.Adijane@fm.gov.lv_x000d_
67095437</dc:description>
  <cp:lastModifiedBy>Zane Adijāne</cp:lastModifiedBy>
  <cp:revision>2</cp:revision>
  <cp:lastPrinted>2019-08-29T08:54:00Z</cp:lastPrinted>
  <dcterms:created xsi:type="dcterms:W3CDTF">2025-09-19T08:40:00Z</dcterms:created>
  <dcterms:modified xsi:type="dcterms:W3CDTF">2025-09-19T08:40:00Z</dcterms:modified>
</cp:coreProperties>
</file>