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96E5" w14:textId="58F2A1A0" w:rsidR="002057C0" w:rsidRDefault="008E25A5" w:rsidP="002057C0">
      <w:r>
        <w:rPr>
          <w:noProof/>
        </w:rPr>
        <w:drawing>
          <wp:inline distT="0" distB="0" distL="0" distR="0" wp14:anchorId="6F2F6A10" wp14:editId="36F541C7">
            <wp:extent cx="6120130" cy="3992245"/>
            <wp:effectExtent l="0" t="0" r="13970" b="8255"/>
            <wp:docPr id="963171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D454C1" w14:textId="77777777" w:rsidR="008E25A5" w:rsidRDefault="008E25A5" w:rsidP="002057C0"/>
    <w:p w14:paraId="1F9496E8" w14:textId="77777777" w:rsidR="008E25A5" w:rsidRDefault="008E25A5" w:rsidP="002057C0"/>
    <w:p w14:paraId="735C7866" w14:textId="627A56A3" w:rsidR="008E25A5" w:rsidRDefault="008E25A5" w:rsidP="002057C0">
      <w:r>
        <w:rPr>
          <w:noProof/>
        </w:rPr>
        <w:drawing>
          <wp:inline distT="0" distB="0" distL="0" distR="0" wp14:anchorId="0A5AA20E" wp14:editId="1F139181">
            <wp:extent cx="6120130" cy="3992245"/>
            <wp:effectExtent l="0" t="0" r="0" b="8255"/>
            <wp:docPr id="11165113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D7F675" w14:textId="024425C4" w:rsidR="008E25A5" w:rsidRDefault="008E25A5" w:rsidP="008E25A5">
      <w:pPr>
        <w:jc w:val="center"/>
      </w:pPr>
      <w:r>
        <w:rPr>
          <w:noProof/>
        </w:rPr>
        <w:lastRenderedPageBreak/>
        <w:drawing>
          <wp:inline distT="0" distB="0" distL="0" distR="0" wp14:anchorId="0B69846F" wp14:editId="0BD633B0">
            <wp:extent cx="5895833" cy="4339637"/>
            <wp:effectExtent l="0" t="0" r="10160" b="3810"/>
            <wp:docPr id="9090709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A3462C" w14:textId="77777777" w:rsidR="008E25A5" w:rsidRDefault="008E25A5" w:rsidP="002057C0"/>
    <w:p w14:paraId="5127EC1F" w14:textId="7ED4DBC3" w:rsidR="002057C0" w:rsidRDefault="008E25A5" w:rsidP="008E25A5">
      <w:pPr>
        <w:jc w:val="center"/>
      </w:pPr>
      <w:r>
        <w:rPr>
          <w:noProof/>
        </w:rPr>
        <w:drawing>
          <wp:inline distT="0" distB="0" distL="0" distR="0" wp14:anchorId="46FFD1A2" wp14:editId="47CA1A79">
            <wp:extent cx="5977720" cy="3994785"/>
            <wp:effectExtent l="0" t="0" r="4445" b="5715"/>
            <wp:docPr id="5425988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C04748" w14:textId="77777777" w:rsidR="002057C0" w:rsidRDefault="002057C0" w:rsidP="002057C0"/>
    <w:sectPr w:rsidR="002057C0" w:rsidSect="009E200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0672" w14:textId="77777777" w:rsidR="00A76E4E" w:rsidRDefault="00A76E4E" w:rsidP="00753E4D">
      <w:pPr>
        <w:spacing w:after="0" w:line="240" w:lineRule="auto"/>
      </w:pPr>
      <w:r>
        <w:separator/>
      </w:r>
    </w:p>
  </w:endnote>
  <w:endnote w:type="continuationSeparator" w:id="0">
    <w:p w14:paraId="657CAA64" w14:textId="77777777" w:rsidR="00A76E4E" w:rsidRDefault="00A76E4E" w:rsidP="007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CE8" w14:textId="240B866B" w:rsidR="00E40171" w:rsidRPr="004E06FB" w:rsidRDefault="00E40171" w:rsidP="00E40171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188957723"/>
    <w:bookmarkStart w:id="1" w:name="_Hlk188957724"/>
    <w:bookmarkStart w:id="2" w:name="_Hlk188957725"/>
    <w:bookmarkStart w:id="3" w:name="_Hlk188957726"/>
    <w:r w:rsidRPr="004E06FB">
      <w:rPr>
        <w:rFonts w:ascii="Times New Roman" w:hAnsi="Times New Roman" w:cs="Times New Roman"/>
        <w:i/>
        <w:sz w:val="20"/>
        <w:szCs w:val="20"/>
      </w:rPr>
      <w:t>Informācijas avots:</w:t>
    </w:r>
    <w:r w:rsidR="00F74762" w:rsidRPr="00F74762">
      <w:t xml:space="preserve"> </w:t>
    </w:r>
    <w:r w:rsidRPr="004E06FB">
      <w:rPr>
        <w:rFonts w:ascii="Times New Roman" w:hAnsi="Times New Roman" w:cs="Times New Roman"/>
        <w:i/>
        <w:sz w:val="20"/>
        <w:szCs w:val="20"/>
      </w:rPr>
      <w:t xml:space="preserve">Valsts kasē iesniegtie </w:t>
    </w:r>
    <w:r>
      <w:rPr>
        <w:rFonts w:ascii="Times New Roman" w:hAnsi="Times New Roman" w:cs="Times New Roman"/>
        <w:i/>
        <w:sz w:val="20"/>
        <w:szCs w:val="20"/>
      </w:rPr>
      <w:t xml:space="preserve">pašvaldību mēneša pārskati uz </w:t>
    </w:r>
    <w:r w:rsidR="008E25A5">
      <w:rPr>
        <w:rFonts w:ascii="Times New Roman" w:hAnsi="Times New Roman" w:cs="Times New Roman"/>
        <w:i/>
        <w:sz w:val="20"/>
        <w:szCs w:val="20"/>
      </w:rPr>
      <w:t>31</w:t>
    </w:r>
    <w:r w:rsidR="0002061A">
      <w:rPr>
        <w:rFonts w:ascii="Times New Roman" w:hAnsi="Times New Roman" w:cs="Times New Roman"/>
        <w:i/>
        <w:sz w:val="20"/>
        <w:szCs w:val="20"/>
      </w:rPr>
      <w:t>.</w:t>
    </w:r>
    <w:r w:rsidR="008E25A5">
      <w:rPr>
        <w:rFonts w:ascii="Times New Roman" w:hAnsi="Times New Roman" w:cs="Times New Roman"/>
        <w:i/>
        <w:sz w:val="20"/>
        <w:szCs w:val="20"/>
      </w:rPr>
      <w:t>10</w:t>
    </w:r>
    <w:r>
      <w:rPr>
        <w:rFonts w:ascii="Times New Roman" w:hAnsi="Times New Roman" w:cs="Times New Roman"/>
        <w:i/>
        <w:sz w:val="20"/>
        <w:szCs w:val="20"/>
      </w:rPr>
      <w:t>.</w:t>
    </w:r>
    <w:r w:rsidRPr="004E06FB">
      <w:rPr>
        <w:rFonts w:ascii="Times New Roman" w:hAnsi="Times New Roman" w:cs="Times New Roman"/>
        <w:i/>
        <w:sz w:val="20"/>
        <w:szCs w:val="20"/>
      </w:rPr>
      <w:t>20</w:t>
    </w:r>
    <w:r>
      <w:rPr>
        <w:rFonts w:ascii="Times New Roman" w:hAnsi="Times New Roman" w:cs="Times New Roman"/>
        <w:i/>
        <w:sz w:val="20"/>
        <w:szCs w:val="20"/>
      </w:rPr>
      <w:t>2</w:t>
    </w:r>
    <w:r w:rsidR="00477FAA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>.</w:t>
    </w:r>
  </w:p>
  <w:p w14:paraId="31C5300B" w14:textId="02B185F8" w:rsidR="00E40171" w:rsidRDefault="00E40171" w:rsidP="00E40171">
    <w:pPr>
      <w:pStyle w:val="Footer"/>
      <w:jc w:val="right"/>
    </w:pPr>
    <w:r w:rsidRPr="004E06FB">
      <w:rPr>
        <w:rFonts w:ascii="Times New Roman" w:hAnsi="Times New Roman" w:cs="Times New Roman"/>
        <w:i/>
        <w:sz w:val="20"/>
        <w:szCs w:val="20"/>
      </w:rPr>
      <w:t xml:space="preserve">           </w:t>
    </w:r>
    <w:hyperlink r:id="rId1" w:history="1">
      <w:r w:rsidRPr="00E97B25">
        <w:rPr>
          <w:rStyle w:val="Hyperlink"/>
          <w:rFonts w:ascii="Times New Roman" w:hAnsi="Times New Roman" w:cs="Times New Roman"/>
          <w:i/>
          <w:sz w:val="20"/>
          <w:szCs w:val="20"/>
        </w:rPr>
        <w:t>https://www.fm.gov.lv/lv/pasvaldibu-finansu-raditaju-analize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6533" w14:textId="77777777" w:rsidR="00A76E4E" w:rsidRDefault="00A76E4E" w:rsidP="00753E4D">
      <w:pPr>
        <w:spacing w:after="0" w:line="240" w:lineRule="auto"/>
      </w:pPr>
      <w:r>
        <w:separator/>
      </w:r>
    </w:p>
  </w:footnote>
  <w:footnote w:type="continuationSeparator" w:id="0">
    <w:p w14:paraId="1DB457F0" w14:textId="77777777" w:rsidR="00A76E4E" w:rsidRDefault="00A76E4E" w:rsidP="0075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D"/>
    <w:rsid w:val="0002061A"/>
    <w:rsid w:val="00024609"/>
    <w:rsid w:val="000645F5"/>
    <w:rsid w:val="00084053"/>
    <w:rsid w:val="00091306"/>
    <w:rsid w:val="000A5383"/>
    <w:rsid w:val="000B5EEB"/>
    <w:rsid w:val="000E4AF6"/>
    <w:rsid w:val="000F1AD0"/>
    <w:rsid w:val="00104E0A"/>
    <w:rsid w:val="0015418F"/>
    <w:rsid w:val="00154B9C"/>
    <w:rsid w:val="001759B2"/>
    <w:rsid w:val="0018106A"/>
    <w:rsid w:val="001875F7"/>
    <w:rsid w:val="00197EE3"/>
    <w:rsid w:val="001A62CE"/>
    <w:rsid w:val="001E09F3"/>
    <w:rsid w:val="002057C0"/>
    <w:rsid w:val="00212AD5"/>
    <w:rsid w:val="00213567"/>
    <w:rsid w:val="00236B54"/>
    <w:rsid w:val="00260E02"/>
    <w:rsid w:val="00273000"/>
    <w:rsid w:val="00274DDE"/>
    <w:rsid w:val="00280813"/>
    <w:rsid w:val="0028348B"/>
    <w:rsid w:val="002E2D25"/>
    <w:rsid w:val="002F6CDC"/>
    <w:rsid w:val="0035713F"/>
    <w:rsid w:val="00357BB9"/>
    <w:rsid w:val="00373918"/>
    <w:rsid w:val="003C3EC7"/>
    <w:rsid w:val="003E377C"/>
    <w:rsid w:val="003F5B69"/>
    <w:rsid w:val="00423CB8"/>
    <w:rsid w:val="00442FAE"/>
    <w:rsid w:val="00477FAA"/>
    <w:rsid w:val="00487AE7"/>
    <w:rsid w:val="004B614D"/>
    <w:rsid w:val="004E010B"/>
    <w:rsid w:val="004E5357"/>
    <w:rsid w:val="00521A43"/>
    <w:rsid w:val="005633DF"/>
    <w:rsid w:val="00586521"/>
    <w:rsid w:val="005B130A"/>
    <w:rsid w:val="005B7F4B"/>
    <w:rsid w:val="005C0597"/>
    <w:rsid w:val="005D1E60"/>
    <w:rsid w:val="005E331F"/>
    <w:rsid w:val="005E71C4"/>
    <w:rsid w:val="00603D59"/>
    <w:rsid w:val="00604808"/>
    <w:rsid w:val="00606DE0"/>
    <w:rsid w:val="006449DC"/>
    <w:rsid w:val="00660092"/>
    <w:rsid w:val="00664AAB"/>
    <w:rsid w:val="0067030D"/>
    <w:rsid w:val="00671C7B"/>
    <w:rsid w:val="0068797F"/>
    <w:rsid w:val="006B65F1"/>
    <w:rsid w:val="006C5BAD"/>
    <w:rsid w:val="006C6819"/>
    <w:rsid w:val="006F3042"/>
    <w:rsid w:val="00702EDD"/>
    <w:rsid w:val="007117A6"/>
    <w:rsid w:val="0071472B"/>
    <w:rsid w:val="00720724"/>
    <w:rsid w:val="007463D8"/>
    <w:rsid w:val="007534D7"/>
    <w:rsid w:val="00753D35"/>
    <w:rsid w:val="00753E4D"/>
    <w:rsid w:val="007717AE"/>
    <w:rsid w:val="00781816"/>
    <w:rsid w:val="00787F92"/>
    <w:rsid w:val="007A7B04"/>
    <w:rsid w:val="007D0122"/>
    <w:rsid w:val="007E09FD"/>
    <w:rsid w:val="007E5F53"/>
    <w:rsid w:val="008022DB"/>
    <w:rsid w:val="008211E6"/>
    <w:rsid w:val="00830279"/>
    <w:rsid w:val="008314F4"/>
    <w:rsid w:val="00856720"/>
    <w:rsid w:val="00880401"/>
    <w:rsid w:val="00891E74"/>
    <w:rsid w:val="0089656A"/>
    <w:rsid w:val="008B0451"/>
    <w:rsid w:val="008C27D3"/>
    <w:rsid w:val="008D0304"/>
    <w:rsid w:val="008E117A"/>
    <w:rsid w:val="008E1C2A"/>
    <w:rsid w:val="008E25A5"/>
    <w:rsid w:val="008E6B51"/>
    <w:rsid w:val="008F39B8"/>
    <w:rsid w:val="008F418D"/>
    <w:rsid w:val="008F65B3"/>
    <w:rsid w:val="00901320"/>
    <w:rsid w:val="0092493E"/>
    <w:rsid w:val="009327F0"/>
    <w:rsid w:val="00941C01"/>
    <w:rsid w:val="009451B7"/>
    <w:rsid w:val="009453AE"/>
    <w:rsid w:val="009622EA"/>
    <w:rsid w:val="00975A5D"/>
    <w:rsid w:val="0099148E"/>
    <w:rsid w:val="009A5F24"/>
    <w:rsid w:val="009C0DB4"/>
    <w:rsid w:val="009C26B8"/>
    <w:rsid w:val="009E2007"/>
    <w:rsid w:val="009E62EA"/>
    <w:rsid w:val="009F4B3E"/>
    <w:rsid w:val="00A15FBE"/>
    <w:rsid w:val="00A21CA9"/>
    <w:rsid w:val="00A279E0"/>
    <w:rsid w:val="00A43744"/>
    <w:rsid w:val="00A671DC"/>
    <w:rsid w:val="00A76B11"/>
    <w:rsid w:val="00A76E4E"/>
    <w:rsid w:val="00AC1656"/>
    <w:rsid w:val="00AC5091"/>
    <w:rsid w:val="00AE185D"/>
    <w:rsid w:val="00AE61DA"/>
    <w:rsid w:val="00AE687B"/>
    <w:rsid w:val="00AF6342"/>
    <w:rsid w:val="00B11144"/>
    <w:rsid w:val="00B24B9D"/>
    <w:rsid w:val="00B30B6B"/>
    <w:rsid w:val="00B31F57"/>
    <w:rsid w:val="00B3723B"/>
    <w:rsid w:val="00B5491D"/>
    <w:rsid w:val="00B56DD5"/>
    <w:rsid w:val="00BD1E7E"/>
    <w:rsid w:val="00BD4272"/>
    <w:rsid w:val="00BF0FF2"/>
    <w:rsid w:val="00BF528F"/>
    <w:rsid w:val="00C00D31"/>
    <w:rsid w:val="00C209E1"/>
    <w:rsid w:val="00C51A6B"/>
    <w:rsid w:val="00C66336"/>
    <w:rsid w:val="00C83859"/>
    <w:rsid w:val="00C851A1"/>
    <w:rsid w:val="00CA7157"/>
    <w:rsid w:val="00CE0412"/>
    <w:rsid w:val="00CF42B2"/>
    <w:rsid w:val="00D118B5"/>
    <w:rsid w:val="00D20A06"/>
    <w:rsid w:val="00D4695D"/>
    <w:rsid w:val="00D51F49"/>
    <w:rsid w:val="00D85106"/>
    <w:rsid w:val="00DA36D1"/>
    <w:rsid w:val="00DA4068"/>
    <w:rsid w:val="00DB2D92"/>
    <w:rsid w:val="00DC2C3F"/>
    <w:rsid w:val="00DD6492"/>
    <w:rsid w:val="00DE5CD2"/>
    <w:rsid w:val="00E2213C"/>
    <w:rsid w:val="00E23038"/>
    <w:rsid w:val="00E25F83"/>
    <w:rsid w:val="00E34523"/>
    <w:rsid w:val="00E37FE6"/>
    <w:rsid w:val="00E40171"/>
    <w:rsid w:val="00E6456F"/>
    <w:rsid w:val="00E64A83"/>
    <w:rsid w:val="00E979FD"/>
    <w:rsid w:val="00EB1070"/>
    <w:rsid w:val="00ED1EA8"/>
    <w:rsid w:val="00F15762"/>
    <w:rsid w:val="00F45613"/>
    <w:rsid w:val="00F606F8"/>
    <w:rsid w:val="00F74762"/>
    <w:rsid w:val="00F824B9"/>
    <w:rsid w:val="00F87E4A"/>
    <w:rsid w:val="00FB41AC"/>
    <w:rsid w:val="00FC19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83E186B"/>
  <w15:chartTrackingRefBased/>
  <w15:docId w15:val="{5B2E05A4-1449-45A3-AF62-73125018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4D"/>
  </w:style>
  <w:style w:type="paragraph" w:styleId="Footer">
    <w:name w:val="footer"/>
    <w:basedOn w:val="Normal"/>
    <w:link w:val="Foot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4D"/>
  </w:style>
  <w:style w:type="character" w:styleId="Hyperlink">
    <w:name w:val="Hyperlink"/>
    <w:basedOn w:val="DefaultParagraphFont"/>
    <w:uiPriority w:val="99"/>
    <w:unhideWhenUsed/>
    <w:rsid w:val="00753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.gov.lv/lv/pasvaldibu-finansu-raditaju-analiz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0_Oktobris_2025\GG%20tabulas\Pa&#353;vald&#299;bu%20bilances%20dati%202007-2025%20%20konsol_10_M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0_Oktobris_2025\GG%20tabulas\Pa&#353;vald&#299;bu%20bilances%20dati%202007-2025%20%20konsol_10_ME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0_Oktobris_2025\GG%20tabulas\Pa&#353;vald&#299;bu%20bilances%20dati%202007-2025%20%20konsol_10_ME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k\pfd\Datu%20b&#257;zes\2025\10_Oktobris_2025\GG%20tabulas\Pa&#353;vald&#299;bu%20bilances%20dati%202007-2025%20%20konsol_10_ME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ieņēmumi uz 31.10.2025.,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ieņēmumiem kopā*</a:t>
            </a:r>
          </a:p>
        </c:rich>
      </c:tx>
      <c:layout>
        <c:manualLayout>
          <c:xMode val="edge"/>
          <c:yMode val="edge"/>
          <c:x val="0.20860128788113974"/>
          <c:y val="1.826791692393627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845778238100114"/>
          <c:y val="0.25055423407771388"/>
          <c:w val="0.74551879582094205"/>
          <c:h val="0.5548776935798385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BD0-424F-8C2A-0D7C5FC009F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BD0-424F-8C2A-0D7C5FC009F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BD0-424F-8C2A-0D7C5FC009F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BD0-424F-8C2A-0D7C5FC009F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3BD0-424F-8C2A-0D7C5FC009F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3BD0-424F-8C2A-0D7C5FC009FC}"/>
              </c:ext>
            </c:extLst>
          </c:dPt>
          <c:dLbls>
            <c:dLbl>
              <c:idx val="0"/>
              <c:layout>
                <c:manualLayout>
                  <c:x val="-0.273673232825419"/>
                  <c:y val="-0.1012994031810970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05050712309171"/>
                      <c:h val="0.136485210563321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BD0-424F-8C2A-0D7C5FC009FC}"/>
                </c:ext>
              </c:extLst>
            </c:dLbl>
            <c:dLbl>
              <c:idx val="1"/>
              <c:layout>
                <c:manualLayout>
                  <c:x val="-5.2907652755009721E-3"/>
                  <c:y val="0.173722315123582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D0-424F-8C2A-0D7C5FC009FC}"/>
                </c:ext>
              </c:extLst>
            </c:dLbl>
            <c:dLbl>
              <c:idx val="2"/>
              <c:layout>
                <c:manualLayout>
                  <c:x val="-9.1636707399639535E-3"/>
                  <c:y val="6.777606594291656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7590845768833"/>
                      <c:h val="0.12427160722556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BD0-424F-8C2A-0D7C5FC009FC}"/>
                </c:ext>
              </c:extLst>
            </c:dLbl>
            <c:dLbl>
              <c:idx val="3"/>
              <c:layout>
                <c:manualLayout>
                  <c:x val="-4.1366768352959819E-2"/>
                  <c:y val="-3.09830684239068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D0-424F-8C2A-0D7C5FC009FC}"/>
                </c:ext>
              </c:extLst>
            </c:dLbl>
            <c:dLbl>
              <c:idx val="4"/>
              <c:layout>
                <c:manualLayout>
                  <c:x val="0.19825383075224115"/>
                  <c:y val="7.731604621642107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851084862576451"/>
                      <c:h val="8.61187126541582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BD0-424F-8C2A-0D7C5FC009FC}"/>
                </c:ext>
              </c:extLst>
            </c:dLbl>
            <c:dLbl>
              <c:idx val="5"/>
              <c:layout>
                <c:manualLayout>
                  <c:x val="-2.6838189133919464E-3"/>
                  <c:y val="-1.590360592141584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083249865607425"/>
                      <c:h val="0.1363448385557499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3BD0-424F-8C2A-0D7C5FC009F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'Ieņēmumi '!$B$2:$B$7</c:f>
              <c:strCache>
                <c:ptCount val="6"/>
                <c:pt idx="0">
                  <c:v>Nodokļu ieņēmumi</c:v>
                </c:pt>
                <c:pt idx="1">
                  <c:v>Nenodokļu ieņēmumi</c:v>
                </c:pt>
                <c:pt idx="2">
                  <c:v>Maksas pakalpojumi un citi pašu ieņēmumi</c:v>
                </c:pt>
                <c:pt idx="3">
                  <c:v>Ārvalstu finanšu palīdzība</c:v>
                </c:pt>
                <c:pt idx="4">
                  <c:v>Transferti</c:v>
                </c:pt>
                <c:pt idx="5">
                  <c:v>Ziedojumi un dāvinājumi</c:v>
                </c:pt>
              </c:strCache>
            </c:strRef>
          </c:cat>
          <c:val>
            <c:numRef>
              <c:f>'Ieņēmumi '!$W$2:$W$7</c:f>
              <c:numCache>
                <c:formatCode>_-* #\ ##0.0_-;\-* #\ ##0.0_-;_-* "-"??_-;_-@_-</c:formatCode>
                <c:ptCount val="6"/>
                <c:pt idx="0">
                  <c:v>58.410794531627488</c:v>
                </c:pt>
                <c:pt idx="1">
                  <c:v>2.6985059189476845</c:v>
                </c:pt>
                <c:pt idx="2">
                  <c:v>4.2007466756071885</c:v>
                </c:pt>
                <c:pt idx="3">
                  <c:v>0.17355325669963478</c:v>
                </c:pt>
                <c:pt idx="4">
                  <c:v>34.4</c:v>
                </c:pt>
                <c:pt idx="5">
                  <c:v>3.0097360485157879E-2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BD0-424F-8C2A-0D7C5FC009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nodokļu ieņēmumi uz 31.10.2025., </a:t>
            </a:r>
            <a:r>
              <a:rPr lang="lv-LV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nodokļu ieņēmumiem kopā*</a:t>
            </a:r>
          </a:p>
        </c:rich>
      </c:tx>
      <c:layout>
        <c:manualLayout>
          <c:xMode val="edge"/>
          <c:yMode val="edge"/>
          <c:x val="0.10477277443452997"/>
          <c:y val="1.91120534937109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15993510416534"/>
          <c:y val="0.16790616410829509"/>
          <c:w val="0.72611499558607651"/>
          <c:h val="0.51936332906784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EA0-48A5-97E7-ED737A145F3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EA0-48A5-97E7-ED737A145F3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5EA0-48A5-97E7-ED737A145F3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5EA0-48A5-97E7-ED737A145F37}"/>
              </c:ext>
            </c:extLst>
          </c:dPt>
          <c:dLbls>
            <c:dLbl>
              <c:idx val="0"/>
              <c:layout>
                <c:manualLayout>
                  <c:x val="-3.4957263979686785E-2"/>
                  <c:y val="0.2561811712457526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477035618524442"/>
                      <c:h val="0.155117984993405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EA0-48A5-97E7-ED737A145F37}"/>
                </c:ext>
              </c:extLst>
            </c:dLbl>
            <c:dLbl>
              <c:idx val="1"/>
              <c:layout>
                <c:manualLayout>
                  <c:x val="0.12910430842296136"/>
                  <c:y val="9.31959044197636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A0-48A5-97E7-ED737A145F37}"/>
                </c:ext>
              </c:extLst>
            </c:dLbl>
            <c:dLbl>
              <c:idx val="2"/>
              <c:layout>
                <c:manualLayout>
                  <c:x val="-5.3627128835498611E-2"/>
                  <c:y val="9.994977763138283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A0-48A5-97E7-ED737A145F37}"/>
                </c:ext>
              </c:extLst>
            </c:dLbl>
            <c:dLbl>
              <c:idx val="3"/>
              <c:layout>
                <c:manualLayout>
                  <c:x val="-9.9203448292765048E-2"/>
                  <c:y val="-4.75789937741798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A0-48A5-97E7-ED737A145F3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eparator>
</c:separator>
            <c:extLst>
              <c:ext xmlns:c15="http://schemas.microsoft.com/office/drawing/2012/chart" uri="{CE6537A1-D6FC-4f65-9D91-7224C49458BB}"/>
            </c:extLst>
          </c:dLbls>
          <c:cat>
            <c:strRef>
              <c:f>'Nodokļu ieņēmumi '!$B$2:$B$5</c:f>
              <c:strCache>
                <c:ptCount val="4"/>
                <c:pt idx="0">
                  <c:v>Iedzīvotāju ienākuma nodoklis</c:v>
                </c:pt>
                <c:pt idx="1">
                  <c:v>Nekustamā īpašuma nodoklis</c:v>
                </c:pt>
                <c:pt idx="2">
                  <c:v>Azartspēļu nodoklis</c:v>
                </c:pt>
                <c:pt idx="3">
                  <c:v>Dabas resursu nodoklis</c:v>
                </c:pt>
              </c:strCache>
            </c:strRef>
          </c:cat>
          <c:val>
            <c:numRef>
              <c:f>'Nodokļu ieņēmumi '!$W$2:$W$5</c:f>
              <c:numCache>
                <c:formatCode>0.0</c:formatCode>
                <c:ptCount val="4"/>
                <c:pt idx="0">
                  <c:v>88.535481664933812</c:v>
                </c:pt>
                <c:pt idx="1">
                  <c:v>10.69354369376765</c:v>
                </c:pt>
                <c:pt idx="2">
                  <c:v>6.6310380984417369E-2</c:v>
                </c:pt>
                <c:pt idx="3">
                  <c:v>0.704664260314119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A0-48A5-97E7-ED737A145F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lv-L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izdevumi sadalījumā pa funkcijām uz 31.10.2025.,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izdevumiem kopā*</a:t>
            </a:r>
          </a:p>
        </c:rich>
      </c:tx>
      <c:layout>
        <c:manualLayout>
          <c:xMode val="edge"/>
          <c:yMode val="edge"/>
          <c:x val="0.13893479386875768"/>
          <c:y val="2.972011988242204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24776799069576"/>
          <c:y val="0.24632791633424678"/>
          <c:w val="0.71248919371260788"/>
          <c:h val="0.50890068208558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E6B-4B82-B41D-19A85C27AC7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E6B-4B82-B41D-19A85C27AC7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E6B-4B82-B41D-19A85C27AC7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E6B-4B82-B41D-19A85C27AC7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0E6B-4B82-B41D-19A85C27AC7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0E6B-4B82-B41D-19A85C27AC72}"/>
              </c:ext>
            </c:extLst>
          </c:dPt>
          <c:dPt>
            <c:idx val="6"/>
            <c:bubble3D val="0"/>
            <c:spPr>
              <a:solidFill>
                <a:srgbClr val="FF33C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0E6B-4B82-B41D-19A85C27AC72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0E6B-4B82-B41D-19A85C27AC72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0E6B-4B82-B41D-19A85C27AC72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0E6B-4B82-B41D-19A85C27AC72}"/>
              </c:ext>
            </c:extLst>
          </c:dPt>
          <c:dLbls>
            <c:dLbl>
              <c:idx val="0"/>
              <c:layout>
                <c:manualLayout>
                  <c:x val="-3.8610639292058539E-2"/>
                  <c:y val="-4.6099141936160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6B-4B82-B41D-19A85C27AC72}"/>
                </c:ext>
              </c:extLst>
            </c:dLbl>
            <c:dLbl>
              <c:idx val="1"/>
              <c:layout>
                <c:manualLayout>
                  <c:x val="8.3910912965028478E-2"/>
                  <c:y val="-8.94661878009062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6B-4B82-B41D-19A85C27AC72}"/>
                </c:ext>
              </c:extLst>
            </c:dLbl>
            <c:dLbl>
              <c:idx val="2"/>
              <c:layout>
                <c:manualLayout>
                  <c:x val="8.7880469647177023E-2"/>
                  <c:y val="1.66854928474254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6B-4B82-B41D-19A85C27AC72}"/>
                </c:ext>
              </c:extLst>
            </c:dLbl>
            <c:dLbl>
              <c:idx val="4"/>
              <c:layout>
                <c:manualLayout>
                  <c:x val="4.7464799574922036E-2"/>
                  <c:y val="2.377703804770594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E6B-4B82-B41D-19A85C27AC72}"/>
                </c:ext>
              </c:extLst>
            </c:dLbl>
            <c:dLbl>
              <c:idx val="5"/>
              <c:layout>
                <c:manualLayout>
                  <c:x val="6.9283859315707907E-2"/>
                  <c:y val="5.0427566944830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E6B-4B82-B41D-19A85C27AC72}"/>
                </c:ext>
              </c:extLst>
            </c:dLbl>
            <c:dLbl>
              <c:idx val="6"/>
              <c:layout>
                <c:manualLayout>
                  <c:x val="1.9036742966957326E-2"/>
                  <c:y val="1.6786473638927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E6B-4B82-B41D-19A85C27AC72}"/>
                </c:ext>
              </c:extLst>
            </c:dLbl>
            <c:dLbl>
              <c:idx val="7"/>
              <c:layout>
                <c:manualLayout>
                  <c:x val="-0.10050186638213456"/>
                  <c:y val="6.91771070825944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E6B-4B82-B41D-19A85C27AC72}"/>
                </c:ext>
              </c:extLst>
            </c:dLbl>
            <c:dLbl>
              <c:idx val="8"/>
              <c:layout>
                <c:manualLayout>
                  <c:x val="0.18339007282792721"/>
                  <c:y val="-0.141863366295923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29692832764507"/>
                      <c:h val="0.139718015665796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E6B-4B82-B41D-19A85C27AC72}"/>
                </c:ext>
              </c:extLst>
            </c:dLbl>
            <c:dLbl>
              <c:idx val="9"/>
              <c:layout>
                <c:manualLayout>
                  <c:x val="2.16311205754465E-2"/>
                  <c:y val="-3.83135405334714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E6B-4B82-B41D-19A85C27AC7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pēc funkcijām '!$B$3:$B$12</c:f>
              <c:strCache>
                <c:ptCount val="10"/>
                <c:pt idx="0">
                  <c:v>Vispārējie valdības dienesti</c:v>
                </c:pt>
                <c:pt idx="1">
                  <c:v>Aizsardzība</c:v>
                </c:pt>
                <c:pt idx="2">
                  <c:v>Sabiedriskā kārtība un drošība</c:v>
                </c:pt>
                <c:pt idx="3">
                  <c:v>Ekonomiskā darbība</c:v>
                </c:pt>
                <c:pt idx="4">
                  <c:v>Vides aizsardzība</c:v>
                </c:pt>
                <c:pt idx="5">
                  <c:v>Teritoriju un mājokļu apsaimniekošana</c:v>
                </c:pt>
                <c:pt idx="6">
                  <c:v>Veselība</c:v>
                </c:pt>
                <c:pt idx="7">
                  <c:v>Atpūta, kultūra un reliģija</c:v>
                </c:pt>
                <c:pt idx="8">
                  <c:v>Izglītība</c:v>
                </c:pt>
                <c:pt idx="9">
                  <c:v>Sociālā aizsardzība</c:v>
                </c:pt>
              </c:strCache>
            </c:strRef>
          </c:cat>
          <c:val>
            <c:numRef>
              <c:f>'Izdevumi pēc funkcijām '!$L$3:$L$12</c:f>
              <c:numCache>
                <c:formatCode>#\ ##0.0</c:formatCode>
                <c:ptCount val="10"/>
                <c:pt idx="0">
                  <c:v>12.729751326417897</c:v>
                </c:pt>
                <c:pt idx="1">
                  <c:v>1.2553395595169853E-3</c:v>
                </c:pt>
                <c:pt idx="2">
                  <c:v>1.8</c:v>
                </c:pt>
                <c:pt idx="3">
                  <c:v>15.486145241752899</c:v>
                </c:pt>
                <c:pt idx="4">
                  <c:v>1.047203514442026</c:v>
                </c:pt>
                <c:pt idx="5">
                  <c:v>8.9988835436395433</c:v>
                </c:pt>
                <c:pt idx="6">
                  <c:v>0.40833319310328581</c:v>
                </c:pt>
                <c:pt idx="7">
                  <c:v>6.2920136978856274</c:v>
                </c:pt>
                <c:pt idx="8">
                  <c:v>41.035414144026582</c:v>
                </c:pt>
                <c:pt idx="9">
                  <c:v>12.163580287256309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E6B-4B82-B41D-19A85C27AC7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/>
              <a:t>Pašvaldību kopbudžeta faktiskie izdevumi uz 31.10.2025., </a:t>
            </a:r>
            <a:r>
              <a:rPr lang="lv-LV" sz="1200" b="0" i="1"/>
              <a:t>% no </a:t>
            </a:r>
          </a:p>
          <a:p>
            <a:pPr>
              <a:defRPr sz="1200"/>
            </a:pPr>
            <a:r>
              <a:rPr lang="lv-LV" sz="1200" b="0" i="1"/>
              <a:t>izdevumiem kopā*</a:t>
            </a:r>
          </a:p>
        </c:rich>
      </c:tx>
      <c:layout>
        <c:manualLayout>
          <c:xMode val="edge"/>
          <c:yMode val="edge"/>
          <c:x val="0.17746420419174103"/>
          <c:y val="9.965492510861035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838934793868779E-2"/>
          <c:y val="0.30110706834034873"/>
          <c:w val="0.81613940933547879"/>
          <c:h val="0.584038835168454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662-4F20-99C1-D3048DDD86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662-4F20-99C1-D3048DDD8628}"/>
              </c:ext>
            </c:extLst>
          </c:dPt>
          <c:dLbls>
            <c:dLbl>
              <c:idx val="0"/>
              <c:layout>
                <c:manualLayout>
                  <c:x val="0.1298808925384308"/>
                  <c:y val="-0.36946170193914746"/>
                </c:manualLayout>
              </c:layout>
              <c:tx>
                <c:rich>
                  <a:bodyPr/>
                  <a:lstStyle/>
                  <a:p>
                    <a:fld id="{423A2DD0-82E3-4A86-B06E-86662F24418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A3B42D8-66D7-4729-B189-CA30D01028D2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9180758142937"/>
                      <c:h val="0.150251210753467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662-4F20-99C1-D3048DDD8628}"/>
                </c:ext>
              </c:extLst>
            </c:dLbl>
            <c:dLbl>
              <c:idx val="1"/>
              <c:layout>
                <c:manualLayout>
                  <c:x val="5.8254951085278957E-2"/>
                  <c:y val="-1.1727925851994251E-2"/>
                </c:manualLayout>
              </c:layout>
              <c:tx>
                <c:rich>
                  <a:bodyPr/>
                  <a:lstStyle/>
                  <a:p>
                    <a:fld id="{B6C6CADC-3690-4577-8F14-817E3DCDEA2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9267EAD-3160-4A14-916F-16F8E361831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971016955522186"/>
                      <c:h val="0.106473815236614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662-4F20-99C1-D3048DDD862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miter lim="800000"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'!$B$3:$B$4</c:f>
              <c:strCache>
                <c:ptCount val="2"/>
                <c:pt idx="0">
                  <c:v>Uzturēšanas izdevumi</c:v>
                </c:pt>
                <c:pt idx="1">
                  <c:v>Kapitālie izdevumi</c:v>
                </c:pt>
              </c:strCache>
            </c:strRef>
          </c:cat>
          <c:val>
            <c:numRef>
              <c:f>'Izdevumi '!$V$3:$V$4</c:f>
              <c:numCache>
                <c:formatCode>#\ ##0.0</c:formatCode>
                <c:ptCount val="2"/>
                <c:pt idx="0">
                  <c:v>2783.2274769999999</c:v>
                </c:pt>
                <c:pt idx="1">
                  <c:v>487.72665499999999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62-4F20-99C1-D3048DDD86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0.59678</cdr:x>
      <cdr:y>0.95597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52372" y="3816453"/>
          <a:ext cx="2467758" cy="175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*Pašvaldību pamatbudžets un ziedojumi un dāvinājumi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0.39826</cdr:x>
      <cdr:y>0.94728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37403" y="3781754"/>
          <a:ext cx="3682727" cy="210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0.356</cdr:x>
      <cdr:y>0.95424</cdr:y>
    </cdr:from>
    <cdr:to>
      <cdr:x>0.99494</cdr:x>
      <cdr:y>0.98113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78767" y="3809555"/>
          <a:ext cx="3910395" cy="1073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0.47658</cdr:x>
      <cdr:y>0.94369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6732" y="3769822"/>
          <a:ext cx="3203398" cy="224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  <a:p xmlns:a="http://schemas.openxmlformats.org/drawingml/2006/main">
          <a:pPr algn="r"/>
          <a:endParaRPr lang="lv-LV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CECC-AB92-49A8-B522-E038002748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Novika</dc:creator>
  <cp:keywords/>
  <dc:description/>
  <cp:lastModifiedBy>Līga Rimšāne</cp:lastModifiedBy>
  <cp:revision>125</cp:revision>
  <dcterms:created xsi:type="dcterms:W3CDTF">2022-09-28T09:53:00Z</dcterms:created>
  <dcterms:modified xsi:type="dcterms:W3CDTF">2025-11-27T13:14:00Z</dcterms:modified>
</cp:coreProperties>
</file>