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5EBB5" w14:textId="58D452F3" w:rsidR="004F4B3D" w:rsidRPr="00B76528" w:rsidRDefault="0038181E" w:rsidP="007A2C9E">
      <w:pPr>
        <w:pStyle w:val="Heading1"/>
        <w:numPr>
          <w:ilvl w:val="0"/>
          <w:numId w:val="0"/>
        </w:numPr>
      </w:pPr>
      <w:bookmarkStart w:id="0" w:name="_Toc481506599"/>
      <w:r>
        <w:t>3. pielikums</w:t>
      </w:r>
      <w:r w:rsidR="004F4B3D" w:rsidRPr="00B76528">
        <w:t xml:space="preserve"> – Piemērs </w:t>
      </w:r>
      <w:r w:rsidR="004F4B3D" w:rsidRPr="00B76528">
        <w:t xml:space="preserve">revīzijas komitejas </w:t>
      </w:r>
      <w:r w:rsidR="00366574">
        <w:t xml:space="preserve">sēdes </w:t>
      </w:r>
      <w:r w:rsidR="004F4B3D" w:rsidRPr="00B76528">
        <w:t xml:space="preserve">darba kārtības </w:t>
      </w:r>
      <w:r w:rsidR="00E5262E">
        <w:t>jautājumiem</w:t>
      </w:r>
      <w:bookmarkEnd w:id="0"/>
    </w:p>
    <w:p w14:paraId="74707091" w14:textId="7C24A5D9" w:rsidR="00BD0029" w:rsidRPr="00B76528" w:rsidRDefault="00BD0029" w:rsidP="00BD0029">
      <w:pPr>
        <w:pStyle w:val="BodyText"/>
        <w:rPr>
          <w:lang w:eastAsia="de-DE"/>
        </w:rPr>
      </w:pPr>
      <w:r w:rsidRPr="00B76528">
        <w:rPr>
          <w:lang w:eastAsia="de-DE"/>
        </w:rPr>
        <w:t xml:space="preserve">Šis </w:t>
      </w:r>
      <w:r>
        <w:rPr>
          <w:lang w:eastAsia="de-DE"/>
        </w:rPr>
        <w:t xml:space="preserve">piemērs </w:t>
      </w:r>
      <w:r w:rsidRPr="00B76528">
        <w:rPr>
          <w:lang w:eastAsia="de-DE"/>
        </w:rPr>
        <w:t>revīzijas komitejas</w:t>
      </w:r>
      <w:r>
        <w:rPr>
          <w:lang w:eastAsia="de-DE"/>
        </w:rPr>
        <w:t xml:space="preserve"> </w:t>
      </w:r>
      <w:r w:rsidR="00366574">
        <w:rPr>
          <w:lang w:eastAsia="de-DE"/>
        </w:rPr>
        <w:t xml:space="preserve">sēdes </w:t>
      </w:r>
      <w:r>
        <w:rPr>
          <w:lang w:eastAsia="de-DE"/>
        </w:rPr>
        <w:t xml:space="preserve">darba kārtības jautājumu sarakstam </w:t>
      </w:r>
      <w:r w:rsidRPr="00B76528">
        <w:rPr>
          <w:lang w:eastAsia="de-DE"/>
        </w:rPr>
        <w:t>var tik</w:t>
      </w:r>
      <w:r w:rsidR="006333CC">
        <w:rPr>
          <w:lang w:eastAsia="de-DE"/>
        </w:rPr>
        <w:t>t</w:t>
      </w:r>
      <w:r w:rsidRPr="00B76528">
        <w:rPr>
          <w:lang w:eastAsia="de-DE"/>
        </w:rPr>
        <w:t xml:space="preserve"> izmantots, lai izveidotu katras konkrētās komitejas </w:t>
      </w:r>
      <w:r>
        <w:rPr>
          <w:lang w:eastAsia="de-DE"/>
        </w:rPr>
        <w:t>sēd</w:t>
      </w:r>
      <w:r w:rsidRPr="00B76528">
        <w:rPr>
          <w:lang w:eastAsia="de-DE"/>
        </w:rPr>
        <w:t>es dar</w:t>
      </w:r>
      <w:r>
        <w:rPr>
          <w:lang w:eastAsia="de-DE"/>
        </w:rPr>
        <w:t xml:space="preserve">ba kārtību. </w:t>
      </w:r>
      <w:r w:rsidR="00E0684E">
        <w:rPr>
          <w:lang w:eastAsia="de-DE"/>
        </w:rPr>
        <w:t>Šo p</w:t>
      </w:r>
      <w:r w:rsidR="0034222D">
        <w:rPr>
          <w:lang w:eastAsia="de-DE"/>
        </w:rPr>
        <w:t>araugu</w:t>
      </w:r>
      <w:r>
        <w:rPr>
          <w:lang w:eastAsia="de-DE"/>
        </w:rPr>
        <w:t xml:space="preserve"> </w:t>
      </w:r>
      <w:r w:rsidRPr="00B76528">
        <w:rPr>
          <w:lang w:eastAsia="de-DE"/>
        </w:rPr>
        <w:t>katra konkrētā sabiedrība</w:t>
      </w:r>
      <w:r>
        <w:rPr>
          <w:lang w:eastAsia="de-DE"/>
        </w:rPr>
        <w:t xml:space="preserve"> pielāgo </w:t>
      </w:r>
      <w:r w:rsidR="008E3E4F">
        <w:rPr>
          <w:lang w:eastAsia="de-DE"/>
        </w:rPr>
        <w:t>savai situācijai atbilstoši konkrētās sabiedrības revīzijas komitejas noteiktajiem</w:t>
      </w:r>
      <w:r w:rsidR="00700023">
        <w:rPr>
          <w:lang w:eastAsia="de-DE"/>
        </w:rPr>
        <w:t xml:space="preserve"> (saskaņā ar normatīvajiem aktiem un revīzijas komitejas nolikumu)</w:t>
      </w:r>
      <w:r w:rsidR="008E3E4F">
        <w:rPr>
          <w:lang w:eastAsia="de-DE"/>
        </w:rPr>
        <w:t xml:space="preserve"> uzdevumiem</w:t>
      </w:r>
      <w:r w:rsidRPr="00B76528">
        <w:rPr>
          <w:lang w:eastAsia="de-DE"/>
        </w:rPr>
        <w:t>.</w:t>
      </w:r>
    </w:p>
    <w:p w14:paraId="189B6795" w14:textId="77777777" w:rsidR="004F4B3D" w:rsidRPr="00F15CAF" w:rsidRDefault="004F4B3D" w:rsidP="008B0F03">
      <w:pPr>
        <w:pStyle w:val="AppendixHeading2"/>
      </w:pPr>
      <w:r w:rsidRPr="00F15CAF">
        <w:t xml:space="preserve">Risku </w:t>
      </w:r>
      <w:r w:rsidRPr="008B0F03">
        <w:t>vadība</w:t>
      </w:r>
      <w:r w:rsidRPr="00F15CAF">
        <w:t>:</w:t>
      </w:r>
    </w:p>
    <w:p w14:paraId="1CE1912E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risku vadības procesi un to kontrole (kā minimums – attiecībā uz </w:t>
      </w:r>
      <w:r w:rsidR="00C83E04">
        <w:rPr>
          <w:color w:val="222222"/>
          <w:szCs w:val="24"/>
        </w:rPr>
        <w:t>gada pārska</w:t>
      </w:r>
      <w:r w:rsidRPr="000D4F52">
        <w:rPr>
          <w:color w:val="222222"/>
          <w:szCs w:val="24"/>
        </w:rPr>
        <w:t>tu sagatavošanas riskiem);</w:t>
      </w:r>
    </w:p>
    <w:p w14:paraId="148B4138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operatīvie pārskati;</w:t>
      </w:r>
    </w:p>
    <w:p w14:paraId="3D51BAF7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budžeta pārskati;</w:t>
      </w:r>
    </w:p>
    <w:p w14:paraId="037E635C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nozares un tirgus jaunumi;</w:t>
      </w:r>
    </w:p>
    <w:p w14:paraId="22B67ACB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plānotie finanšu rezultāti;</w:t>
      </w:r>
    </w:p>
    <w:p w14:paraId="4D918454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informācijas tehnoloģiju izmaiņas;</w:t>
      </w:r>
    </w:p>
    <w:p w14:paraId="628E6866" w14:textId="77777777" w:rsidR="004F4B3D" w:rsidRPr="000D4F52" w:rsidRDefault="00244F0A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normatīvo aktu</w:t>
      </w:r>
      <w:r w:rsidR="004F4B3D" w:rsidRPr="000D4F52">
        <w:rPr>
          <w:color w:val="222222"/>
          <w:szCs w:val="24"/>
        </w:rPr>
        <w:t xml:space="preserve"> izmaiņas;</w:t>
      </w:r>
    </w:p>
    <w:p w14:paraId="0C4801C0" w14:textId="3103EA91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izpratne par </w:t>
      </w:r>
      <w:r w:rsidR="008E3E4F">
        <w:rPr>
          <w:color w:val="222222"/>
          <w:szCs w:val="24"/>
        </w:rPr>
        <w:t xml:space="preserve">sabiedrības </w:t>
      </w:r>
      <w:r w:rsidRPr="000D4F52">
        <w:rPr>
          <w:color w:val="222222"/>
          <w:szCs w:val="24"/>
        </w:rPr>
        <w:t>vadības atalgojuma programmām;</w:t>
      </w:r>
    </w:p>
    <w:p w14:paraId="4177DD6B" w14:textId="64B5F350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individuālās </w:t>
      </w:r>
      <w:r w:rsidR="00521D5D">
        <w:rPr>
          <w:color w:val="222222"/>
          <w:szCs w:val="24"/>
        </w:rPr>
        <w:t>sanāksmes</w:t>
      </w:r>
      <w:r w:rsidR="00521D5D" w:rsidRPr="000D4F52">
        <w:rPr>
          <w:color w:val="222222"/>
          <w:szCs w:val="24"/>
        </w:rPr>
        <w:t xml:space="preserve"> </w:t>
      </w:r>
      <w:r w:rsidRPr="000D4F52">
        <w:rPr>
          <w:color w:val="222222"/>
          <w:szCs w:val="24"/>
        </w:rPr>
        <w:t>ar sabiedrības vadību;</w:t>
      </w:r>
    </w:p>
    <w:p w14:paraId="2E763454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jautājumi, kas saistīti ar sabiedrības esošajiem un potenciālajiem jaunajiem riskiem.</w:t>
      </w:r>
    </w:p>
    <w:p w14:paraId="07C247EC" w14:textId="3FC0C703" w:rsidR="004F4B3D" w:rsidRPr="000D4F52" w:rsidRDefault="004F4B3D" w:rsidP="00252880">
      <w:pPr>
        <w:pStyle w:val="AppendixHeading2"/>
        <w:jc w:val="both"/>
      </w:pPr>
      <w:r w:rsidRPr="000D4F52">
        <w:t>Procesu, kas saistīti ar sabiedrības iekšējās kontroles</w:t>
      </w:r>
      <w:r w:rsidR="007A6D00">
        <w:t xml:space="preserve"> sistēmas</w:t>
      </w:r>
      <w:r w:rsidRPr="000D4F52">
        <w:t xml:space="preserve"> novērtēšanu</w:t>
      </w:r>
      <w:r w:rsidR="00E0165F">
        <w:t xml:space="preserve"> </w:t>
      </w:r>
      <w:r w:rsidR="00E0165F" w:rsidRPr="00252880">
        <w:t>[ciktāl tas attiecas uz gada pārskatu ticamības un objektivitātes nodrošināšanu]</w:t>
      </w:r>
      <w:r w:rsidRPr="000D4F52">
        <w:t>:</w:t>
      </w:r>
    </w:p>
    <w:p w14:paraId="434DCE33" w14:textId="58024FAA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atbilstība ētikas </w:t>
      </w:r>
      <w:r w:rsidR="001828AD">
        <w:rPr>
          <w:color w:val="222222"/>
          <w:szCs w:val="24"/>
        </w:rPr>
        <w:t>principiem (tie var būt vispārpieņemtie vai sabiedrības iekšējie noteiktais ētikas kodekss)</w:t>
      </w:r>
      <w:r w:rsidRPr="000D4F52">
        <w:rPr>
          <w:color w:val="222222"/>
          <w:szCs w:val="24"/>
        </w:rPr>
        <w:t>;</w:t>
      </w:r>
    </w:p>
    <w:p w14:paraId="1AEC4D7A" w14:textId="0B0AC8AC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kontroles politika un procedūras (tai skaitā kontroles, kas attiecās uz ieņēmum</w:t>
      </w:r>
      <w:r w:rsidR="002F1603">
        <w:rPr>
          <w:color w:val="222222"/>
          <w:szCs w:val="24"/>
        </w:rPr>
        <w:t>u</w:t>
      </w:r>
      <w:r w:rsidRPr="000D4F52">
        <w:rPr>
          <w:color w:val="222222"/>
          <w:szCs w:val="24"/>
        </w:rPr>
        <w:t xml:space="preserve"> atzīšanu un krāpniecības riski</w:t>
      </w:r>
      <w:r w:rsidR="006333CC">
        <w:rPr>
          <w:color w:val="222222"/>
          <w:szCs w:val="24"/>
        </w:rPr>
        <w:t>em</w:t>
      </w:r>
      <w:r w:rsidRPr="000D4F52">
        <w:rPr>
          <w:color w:val="222222"/>
          <w:szCs w:val="24"/>
        </w:rPr>
        <w:t>);</w:t>
      </w:r>
    </w:p>
    <w:p w14:paraId="7664F7B7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sabiedrības vadības veiktais ārpakalpojumu sniedzēju novērtējums;</w:t>
      </w:r>
    </w:p>
    <w:p w14:paraId="1A8022BD" w14:textId="3F3D6D9A" w:rsidR="004F4B3D" w:rsidRPr="000D4F52" w:rsidRDefault="009F2254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lastRenderedPageBreak/>
        <w:t>i</w:t>
      </w:r>
      <w:r w:rsidR="00E0684E">
        <w:rPr>
          <w:color w:val="222222"/>
          <w:szCs w:val="24"/>
        </w:rPr>
        <w:t>ekšējās revīzijas funkcijas</w:t>
      </w:r>
      <w:r w:rsidR="004F4B3D" w:rsidRPr="000D4F52">
        <w:rPr>
          <w:color w:val="222222"/>
          <w:szCs w:val="24"/>
        </w:rPr>
        <w:t xml:space="preserve"> un </w:t>
      </w:r>
      <w:r>
        <w:rPr>
          <w:color w:val="222222"/>
          <w:szCs w:val="24"/>
        </w:rPr>
        <w:t>revident</w:t>
      </w:r>
      <w:r w:rsidR="004F4B3D" w:rsidRPr="000D4F52">
        <w:rPr>
          <w:color w:val="222222"/>
          <w:szCs w:val="24"/>
        </w:rPr>
        <w:t>a novērojumi un ieteikumi attiecībā uz iekšējās kontroles sistēmas efektivitāti;</w:t>
      </w:r>
    </w:p>
    <w:p w14:paraId="40C17EDB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atbilstība specifiskiem nozari regulējošiem normatīvajiem aktiem.</w:t>
      </w:r>
    </w:p>
    <w:p w14:paraId="5A2C7B5D" w14:textId="77777777" w:rsidR="004F4B3D" w:rsidRPr="000D4F52" w:rsidRDefault="004F4B3D" w:rsidP="008B0F03">
      <w:pPr>
        <w:pStyle w:val="AppendixHeading2"/>
      </w:pPr>
      <w:r w:rsidRPr="000D4F52">
        <w:t>Sabiedrības vadības gatavotie pārskati:</w:t>
      </w:r>
    </w:p>
    <w:p w14:paraId="77857686" w14:textId="77777777" w:rsidR="004F4B3D" w:rsidRPr="000D4F52" w:rsidRDefault="00C83E04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gada pārska</w:t>
      </w:r>
      <w:r w:rsidR="004F4B3D" w:rsidRPr="000D4F52">
        <w:rPr>
          <w:color w:val="222222"/>
          <w:szCs w:val="24"/>
        </w:rPr>
        <w:t>ti;</w:t>
      </w:r>
    </w:p>
    <w:p w14:paraId="475ACDB6" w14:textId="56F63059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periodiskie pārskati;</w:t>
      </w:r>
    </w:p>
    <w:p w14:paraId="019290CB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vadības gada/ceturkšņa pārskati par finanšu rezultātiem;</w:t>
      </w:r>
    </w:p>
    <w:p w14:paraId="6EC96EC5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būtiskākās grāmatvedības politikas;</w:t>
      </w:r>
    </w:p>
    <w:p w14:paraId="40AB7028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būtiski un neparasti darījumi un grāmatvedības aplēses attiecībā uz šādu darījumu grāmatošanu;</w:t>
      </w:r>
    </w:p>
    <w:p w14:paraId="0BFA85D4" w14:textId="2363B600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BB6965">
        <w:rPr>
          <w:color w:val="222222"/>
          <w:szCs w:val="24"/>
        </w:rPr>
        <w:t xml:space="preserve">sabiedrības </w:t>
      </w:r>
      <w:r w:rsidR="00C70A7A" w:rsidRPr="00BB6965">
        <w:rPr>
          <w:color w:val="222222"/>
          <w:szCs w:val="24"/>
        </w:rPr>
        <w:t>ziņojumi</w:t>
      </w:r>
      <w:r w:rsidR="00BB6965">
        <w:rPr>
          <w:color w:val="222222"/>
          <w:szCs w:val="24"/>
        </w:rPr>
        <w:t xml:space="preserve"> par izmaiņām</w:t>
      </w:r>
      <w:r w:rsidR="00C70A7A" w:rsidRPr="000D4F52">
        <w:rPr>
          <w:color w:val="222222"/>
          <w:szCs w:val="24"/>
        </w:rPr>
        <w:t xml:space="preserve"> </w:t>
      </w:r>
      <w:r w:rsidR="000F7A64">
        <w:rPr>
          <w:color w:val="222222"/>
          <w:szCs w:val="24"/>
        </w:rPr>
        <w:t>revīzijas</w:t>
      </w:r>
      <w:r w:rsidRPr="000D4F52">
        <w:rPr>
          <w:color w:val="222222"/>
          <w:szCs w:val="24"/>
        </w:rPr>
        <w:t xml:space="preserve">, grāmatvedības, </w:t>
      </w:r>
      <w:r w:rsidR="00BB6965">
        <w:rPr>
          <w:color w:val="222222"/>
          <w:szCs w:val="24"/>
        </w:rPr>
        <w:t>informācijas atklāšanas</w:t>
      </w:r>
      <w:r w:rsidR="00BB6965" w:rsidRPr="000D4F52">
        <w:rPr>
          <w:color w:val="222222"/>
          <w:szCs w:val="24"/>
        </w:rPr>
        <w:t xml:space="preserve"> </w:t>
      </w:r>
      <w:r w:rsidRPr="000D4F52">
        <w:rPr>
          <w:color w:val="222222"/>
          <w:szCs w:val="24"/>
        </w:rPr>
        <w:t>un nodokļu jautājumos;</w:t>
      </w:r>
    </w:p>
    <w:p w14:paraId="24ECBA95" w14:textId="1E629253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sanāksmes ar </w:t>
      </w:r>
      <w:r w:rsidR="00C70A7A">
        <w:rPr>
          <w:color w:val="222222"/>
          <w:szCs w:val="24"/>
        </w:rPr>
        <w:t>sabiedrības</w:t>
      </w:r>
      <w:r w:rsidR="00C70A7A" w:rsidRPr="000D4F52">
        <w:rPr>
          <w:color w:val="222222"/>
          <w:szCs w:val="24"/>
        </w:rPr>
        <w:t xml:space="preserve"> </w:t>
      </w:r>
      <w:r w:rsidRPr="000D4F52">
        <w:rPr>
          <w:color w:val="222222"/>
          <w:szCs w:val="24"/>
        </w:rPr>
        <w:t>vadību</w:t>
      </w:r>
      <w:r w:rsidRPr="000D4F52">
        <w:rPr>
          <w:color w:val="222222"/>
          <w:szCs w:val="24"/>
        </w:rPr>
        <w:t>;</w:t>
      </w:r>
    </w:p>
    <w:p w14:paraId="28BEB22F" w14:textId="3DE4E7BE" w:rsidR="004F4B3D" w:rsidRPr="000D4F52" w:rsidRDefault="00C70A7A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potenciālajiem</w:t>
      </w:r>
      <w:r w:rsidR="004F4B3D" w:rsidRPr="000D4F52">
        <w:rPr>
          <w:color w:val="222222"/>
          <w:szCs w:val="24"/>
        </w:rPr>
        <w:t xml:space="preserve"> </w:t>
      </w:r>
      <w:r w:rsidR="0089141E">
        <w:rPr>
          <w:color w:val="222222"/>
          <w:szCs w:val="24"/>
        </w:rPr>
        <w:t>dalībniekiem</w:t>
      </w:r>
      <w:r w:rsidR="00521D5D">
        <w:rPr>
          <w:color w:val="222222"/>
          <w:szCs w:val="24"/>
        </w:rPr>
        <w:t xml:space="preserve"> </w:t>
      </w:r>
      <w:r>
        <w:rPr>
          <w:color w:val="222222"/>
          <w:szCs w:val="24"/>
        </w:rPr>
        <w:t>gatavotās</w:t>
      </w:r>
      <w:r w:rsidR="004F4B3D" w:rsidRPr="000D4F52">
        <w:rPr>
          <w:color w:val="222222"/>
          <w:szCs w:val="24"/>
        </w:rPr>
        <w:t xml:space="preserve"> </w:t>
      </w:r>
      <w:r w:rsidR="001828AD">
        <w:rPr>
          <w:color w:val="222222"/>
          <w:szCs w:val="24"/>
        </w:rPr>
        <w:t xml:space="preserve">nākotnes </w:t>
      </w:r>
      <w:r w:rsidR="00521D5D">
        <w:rPr>
          <w:color w:val="222222"/>
          <w:szCs w:val="24"/>
        </w:rPr>
        <w:t xml:space="preserve">finanšu </w:t>
      </w:r>
      <w:r w:rsidR="001828AD">
        <w:rPr>
          <w:color w:val="222222"/>
          <w:szCs w:val="24"/>
        </w:rPr>
        <w:t xml:space="preserve">prognozes </w:t>
      </w:r>
      <w:r>
        <w:rPr>
          <w:color w:val="222222"/>
          <w:szCs w:val="24"/>
        </w:rPr>
        <w:t xml:space="preserve">un </w:t>
      </w:r>
      <w:r w:rsidR="004F4B3D" w:rsidRPr="000D4F52">
        <w:rPr>
          <w:color w:val="222222"/>
          <w:szCs w:val="24"/>
        </w:rPr>
        <w:t>prezentācijas.</w:t>
      </w:r>
    </w:p>
    <w:p w14:paraId="36C67690" w14:textId="32A27567" w:rsidR="004F4B3D" w:rsidRPr="000D4F52" w:rsidRDefault="004F4B3D" w:rsidP="008B0F03">
      <w:pPr>
        <w:pStyle w:val="AppendixHeading2"/>
      </w:pPr>
      <w:r w:rsidRPr="001828AD">
        <w:t>Iekšējā</w:t>
      </w:r>
      <w:r w:rsidR="000F7A64" w:rsidRPr="001828AD">
        <w:t>s</w:t>
      </w:r>
      <w:r w:rsidRPr="001828AD">
        <w:t xml:space="preserve"> </w:t>
      </w:r>
      <w:r w:rsidR="000F7A64" w:rsidRPr="001828AD">
        <w:t>revīzijas</w:t>
      </w:r>
      <w:r w:rsidR="00E0165F">
        <w:t xml:space="preserve"> funkcijas</w:t>
      </w:r>
      <w:r w:rsidR="000F7A64" w:rsidRPr="001828AD">
        <w:t xml:space="preserve"> </w:t>
      </w:r>
      <w:r w:rsidRPr="001828AD">
        <w:t>un</w:t>
      </w:r>
      <w:r w:rsidRPr="000D4F52">
        <w:t xml:space="preserve"> </w:t>
      </w:r>
      <w:r w:rsidR="009F2254">
        <w:t>revident</w:t>
      </w:r>
      <w:r w:rsidRPr="000D4F52">
        <w:t xml:space="preserve">a </w:t>
      </w:r>
      <w:r w:rsidR="00C70A7A">
        <w:t>darbības</w:t>
      </w:r>
      <w:r w:rsidR="00C70A7A" w:rsidRPr="000D4F52">
        <w:t xml:space="preserve"> </w:t>
      </w:r>
      <w:r w:rsidRPr="000D4F52">
        <w:t>novērtējums</w:t>
      </w:r>
    </w:p>
    <w:p w14:paraId="1AB10446" w14:textId="77777777" w:rsidR="004F4B3D" w:rsidRPr="000D4F52" w:rsidRDefault="004F4B3D" w:rsidP="004F4B3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D4F52">
        <w:rPr>
          <w:rFonts w:ascii="Times New Roman" w:hAnsi="Times New Roman"/>
          <w:sz w:val="24"/>
          <w:szCs w:val="24"/>
        </w:rPr>
        <w:t>Revidents:</w:t>
      </w:r>
    </w:p>
    <w:p w14:paraId="13FDB6D1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revīzijas pakalpojumu līgums;</w:t>
      </w:r>
    </w:p>
    <w:p w14:paraId="075B2B0C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revīzijas komanda;</w:t>
      </w:r>
    </w:p>
    <w:p w14:paraId="4F8F2AE6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revidenta neatkarības apstiprinājuma vēstule;</w:t>
      </w:r>
    </w:p>
    <w:p w14:paraId="426D9498" w14:textId="1D7EBCB3" w:rsidR="004F4B3D" w:rsidRPr="000D4F52" w:rsidRDefault="002F1603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apzināt</w:t>
      </w:r>
      <w:r w:rsidRPr="000D4F52">
        <w:rPr>
          <w:color w:val="222222"/>
          <w:szCs w:val="24"/>
        </w:rPr>
        <w:t xml:space="preserve"> </w:t>
      </w:r>
      <w:r w:rsidR="004F4B3D" w:rsidRPr="000D4F52">
        <w:rPr>
          <w:color w:val="222222"/>
          <w:szCs w:val="24"/>
        </w:rPr>
        <w:t xml:space="preserve">būtiskākos ar </w:t>
      </w:r>
      <w:r w:rsidR="00521D5D">
        <w:rPr>
          <w:color w:val="222222"/>
          <w:szCs w:val="24"/>
        </w:rPr>
        <w:t>gada pārskata</w:t>
      </w:r>
      <w:r w:rsidR="00C70A7A">
        <w:rPr>
          <w:color w:val="222222"/>
          <w:szCs w:val="24"/>
        </w:rPr>
        <w:t xml:space="preserve"> </w:t>
      </w:r>
      <w:r w:rsidR="004F4B3D" w:rsidRPr="000D4F52">
        <w:rPr>
          <w:color w:val="222222"/>
          <w:szCs w:val="24"/>
        </w:rPr>
        <w:t xml:space="preserve">revīziju nesaistītos pakalpojumus, ko </w:t>
      </w:r>
      <w:r w:rsidR="009F2254">
        <w:rPr>
          <w:color w:val="222222"/>
          <w:szCs w:val="24"/>
        </w:rPr>
        <w:t>revident</w:t>
      </w:r>
      <w:r w:rsidR="004F4B3D" w:rsidRPr="000D4F52">
        <w:rPr>
          <w:color w:val="222222"/>
          <w:szCs w:val="24"/>
        </w:rPr>
        <w:t>s varētu sniegt;</w:t>
      </w:r>
    </w:p>
    <w:p w14:paraId="00EA594C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revīzijas apjoms, procedūras un laika plānošana;</w:t>
      </w:r>
    </w:p>
    <w:p w14:paraId="3970766D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revīzijas rezultāti;</w:t>
      </w:r>
    </w:p>
    <w:p w14:paraId="2A7C07D2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revīzijas ziņojumi;</w:t>
      </w:r>
    </w:p>
    <w:p w14:paraId="7344C885" w14:textId="2219CF0F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tikšanās ar </w:t>
      </w:r>
      <w:r w:rsidR="009F2254">
        <w:rPr>
          <w:color w:val="222222"/>
          <w:szCs w:val="24"/>
        </w:rPr>
        <w:t>revident</w:t>
      </w:r>
      <w:r w:rsidRPr="000D4F52">
        <w:rPr>
          <w:color w:val="222222"/>
          <w:szCs w:val="24"/>
        </w:rPr>
        <w:t>u;</w:t>
      </w:r>
    </w:p>
    <w:p w14:paraId="30CD903A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vadības rīcība attiecībā uz revīzijas rezultātiem;</w:t>
      </w:r>
    </w:p>
    <w:p w14:paraId="5922C8ED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lastRenderedPageBreak/>
        <w:t>novērtēt revīzijas efektivitāti;</w:t>
      </w:r>
    </w:p>
    <w:p w14:paraId="26830D5B" w14:textId="5329367C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izskatīt </w:t>
      </w:r>
      <w:r w:rsidR="009F2254">
        <w:rPr>
          <w:color w:val="222222"/>
          <w:szCs w:val="24"/>
        </w:rPr>
        <w:t>revident</w:t>
      </w:r>
      <w:r w:rsidRPr="000D4F52">
        <w:rPr>
          <w:color w:val="222222"/>
          <w:szCs w:val="24"/>
        </w:rPr>
        <w:t>a ieteikumu atbilstību;</w:t>
      </w:r>
    </w:p>
    <w:p w14:paraId="0CA42D0F" w14:textId="6F1C0A30" w:rsidR="004F4B3D" w:rsidRPr="000D4F52" w:rsidRDefault="009F2254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a</w:t>
      </w:r>
      <w:r w:rsidR="002F1603">
        <w:rPr>
          <w:color w:val="222222"/>
          <w:szCs w:val="24"/>
        </w:rPr>
        <w:t>tbildīgā revidenta</w:t>
      </w:r>
      <w:r w:rsidR="004F4B3D" w:rsidRPr="000D4F52">
        <w:rPr>
          <w:color w:val="222222"/>
          <w:szCs w:val="24"/>
        </w:rPr>
        <w:t xml:space="preserve"> pēctecība.</w:t>
      </w:r>
    </w:p>
    <w:p w14:paraId="5EB2DD5C" w14:textId="6BBCC97B" w:rsidR="004F4B3D" w:rsidRPr="00431826" w:rsidRDefault="004F4B3D" w:rsidP="00BB6965">
      <w:pPr>
        <w:spacing w:after="160" w:line="259" w:lineRule="auto"/>
      </w:pPr>
      <w:r w:rsidRPr="000D4F52">
        <w:rPr>
          <w:rFonts w:ascii="Times New Roman" w:hAnsi="Times New Roman"/>
          <w:sz w:val="24"/>
          <w:szCs w:val="24"/>
        </w:rPr>
        <w:t>Iekšēj</w:t>
      </w:r>
      <w:r w:rsidR="00C70A7A">
        <w:rPr>
          <w:rFonts w:ascii="Times New Roman" w:hAnsi="Times New Roman"/>
          <w:sz w:val="24"/>
          <w:szCs w:val="24"/>
        </w:rPr>
        <w:t>ā</w:t>
      </w:r>
      <w:r w:rsidR="000F7A64">
        <w:rPr>
          <w:rFonts w:ascii="Times New Roman" w:hAnsi="Times New Roman"/>
          <w:sz w:val="24"/>
          <w:szCs w:val="24"/>
        </w:rPr>
        <w:t>s</w:t>
      </w:r>
      <w:r w:rsidR="00C70A7A">
        <w:rPr>
          <w:rFonts w:ascii="Times New Roman" w:hAnsi="Times New Roman"/>
          <w:sz w:val="24"/>
          <w:szCs w:val="24"/>
        </w:rPr>
        <w:t xml:space="preserve"> </w:t>
      </w:r>
      <w:r w:rsidR="000F7A64">
        <w:rPr>
          <w:rFonts w:ascii="Times New Roman" w:hAnsi="Times New Roman"/>
          <w:sz w:val="24"/>
          <w:szCs w:val="24"/>
        </w:rPr>
        <w:t xml:space="preserve">revīzijas </w:t>
      </w:r>
      <w:r w:rsidR="00C70A7A">
        <w:rPr>
          <w:rFonts w:ascii="Times New Roman" w:hAnsi="Times New Roman"/>
          <w:sz w:val="24"/>
          <w:szCs w:val="24"/>
        </w:rPr>
        <w:t>funkcija</w:t>
      </w:r>
      <w:r w:rsidR="00E0165F">
        <w:rPr>
          <w:rFonts w:ascii="Times New Roman" w:hAnsi="Times New Roman"/>
          <w:sz w:val="24"/>
          <w:szCs w:val="24"/>
        </w:rPr>
        <w:t xml:space="preserve"> [</w:t>
      </w:r>
      <w:r w:rsidR="00E0165F" w:rsidRPr="00E0165F">
        <w:rPr>
          <w:rFonts w:ascii="Times New Roman" w:hAnsi="Times New Roman"/>
          <w:sz w:val="24"/>
          <w:szCs w:val="24"/>
        </w:rPr>
        <w:t xml:space="preserve">ciktāl tas attiecas uz gada pārskatu ticamības un </w:t>
      </w:r>
      <w:r w:rsidR="00E0165F" w:rsidRPr="00E0165F">
        <w:rPr>
          <w:rFonts w:ascii="Times New Roman" w:hAnsi="Times New Roman"/>
          <w:sz w:val="24"/>
          <w:szCs w:val="24"/>
        </w:rPr>
        <w:t>objektivitātes nodrošināšanu</w:t>
      </w:r>
      <w:r w:rsidR="00E0165F">
        <w:rPr>
          <w:rFonts w:ascii="Times New Roman" w:hAnsi="Times New Roman"/>
          <w:sz w:val="24"/>
          <w:szCs w:val="24"/>
        </w:rPr>
        <w:t>]</w:t>
      </w:r>
      <w:r w:rsidRPr="000D4F52">
        <w:rPr>
          <w:rFonts w:ascii="Times New Roman" w:hAnsi="Times New Roman"/>
          <w:sz w:val="24"/>
          <w:szCs w:val="24"/>
        </w:rPr>
        <w:t>:</w:t>
      </w:r>
    </w:p>
    <w:p w14:paraId="0EE3012B" w14:textId="7139C6D9" w:rsidR="004F4B3D" w:rsidRPr="00431826" w:rsidRDefault="0089141E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i</w:t>
      </w:r>
      <w:r w:rsidR="008676AC" w:rsidRPr="00431826">
        <w:rPr>
          <w:color w:val="222222"/>
          <w:szCs w:val="24"/>
        </w:rPr>
        <w:t xml:space="preserve">ekšējā </w:t>
      </w:r>
      <w:r w:rsidR="00431826" w:rsidRPr="00431826">
        <w:rPr>
          <w:color w:val="222222"/>
          <w:szCs w:val="24"/>
        </w:rPr>
        <w:t>revīzijas</w:t>
      </w:r>
      <w:r w:rsidR="00E0165F">
        <w:rPr>
          <w:color w:val="222222"/>
          <w:szCs w:val="24"/>
        </w:rPr>
        <w:t xml:space="preserve"> funkcijas</w:t>
      </w:r>
      <w:r w:rsidR="008676AC" w:rsidRPr="00431826">
        <w:rPr>
          <w:color w:val="222222"/>
          <w:szCs w:val="24"/>
        </w:rPr>
        <w:t xml:space="preserve"> </w:t>
      </w:r>
      <w:r w:rsidR="004F4B3D" w:rsidRPr="00431826">
        <w:rPr>
          <w:color w:val="222222"/>
          <w:szCs w:val="24"/>
        </w:rPr>
        <w:t>pilnvaras un mērķi;</w:t>
      </w:r>
    </w:p>
    <w:p w14:paraId="35B093EE" w14:textId="6CAE63FB" w:rsidR="004F4B3D" w:rsidRPr="00431826" w:rsidRDefault="0089141E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>
        <w:rPr>
          <w:color w:val="222222"/>
          <w:szCs w:val="24"/>
        </w:rPr>
        <w:t>i</w:t>
      </w:r>
      <w:r w:rsidR="004F4B3D" w:rsidRPr="00431826">
        <w:rPr>
          <w:color w:val="222222"/>
          <w:szCs w:val="24"/>
        </w:rPr>
        <w:t>ekšējā</w:t>
      </w:r>
      <w:r w:rsidR="00431826" w:rsidRPr="00431826">
        <w:rPr>
          <w:color w:val="222222"/>
          <w:szCs w:val="24"/>
        </w:rPr>
        <w:t>s</w:t>
      </w:r>
      <w:r w:rsidR="004F4B3D" w:rsidRPr="00431826">
        <w:rPr>
          <w:color w:val="222222"/>
          <w:szCs w:val="24"/>
        </w:rPr>
        <w:t xml:space="preserve"> </w:t>
      </w:r>
      <w:r w:rsidR="00431826" w:rsidRPr="00431826">
        <w:rPr>
          <w:color w:val="222222"/>
          <w:szCs w:val="24"/>
        </w:rPr>
        <w:t xml:space="preserve">revīzijas </w:t>
      </w:r>
      <w:r w:rsidR="002F1603" w:rsidRPr="00431826">
        <w:rPr>
          <w:color w:val="222222"/>
          <w:szCs w:val="24"/>
        </w:rPr>
        <w:t>funkcijas</w:t>
      </w:r>
      <w:r w:rsidR="004F4B3D" w:rsidRPr="00431826">
        <w:rPr>
          <w:color w:val="222222"/>
          <w:szCs w:val="24"/>
        </w:rPr>
        <w:t xml:space="preserve"> vadītāja izvēle un atalgojuma noteikšana;</w:t>
      </w:r>
    </w:p>
    <w:p w14:paraId="5227EBF9" w14:textId="77777777" w:rsidR="004F4B3D" w:rsidRPr="00431826" w:rsidRDefault="004F4B3D" w:rsidP="00825E14">
      <w:pPr>
        <w:pStyle w:val="ListBullet"/>
        <w:rPr>
          <w:szCs w:val="24"/>
        </w:rPr>
      </w:pPr>
      <w:r w:rsidRPr="00431826">
        <w:rPr>
          <w:szCs w:val="24"/>
        </w:rPr>
        <w:t>budžets, personāls un resursi;</w:t>
      </w:r>
    </w:p>
    <w:p w14:paraId="6094997B" w14:textId="77777777" w:rsidR="004F4B3D" w:rsidRPr="00431826" w:rsidRDefault="004F4B3D" w:rsidP="00825E14">
      <w:pPr>
        <w:pStyle w:val="ListBullet"/>
        <w:rPr>
          <w:szCs w:val="24"/>
        </w:rPr>
      </w:pPr>
      <w:r w:rsidRPr="00431826">
        <w:rPr>
          <w:szCs w:val="24"/>
        </w:rPr>
        <w:t>apjoms, procedūras un laika grafiks;</w:t>
      </w:r>
    </w:p>
    <w:p w14:paraId="3FD0DE59" w14:textId="7A9296C5" w:rsidR="004F4B3D" w:rsidRPr="00431826" w:rsidRDefault="009F2254" w:rsidP="00825E14">
      <w:pPr>
        <w:pStyle w:val="ListBullet"/>
        <w:rPr>
          <w:szCs w:val="24"/>
        </w:rPr>
      </w:pPr>
      <w:r>
        <w:rPr>
          <w:szCs w:val="24"/>
        </w:rPr>
        <w:t>i</w:t>
      </w:r>
      <w:r w:rsidR="00B36999" w:rsidRPr="00145DBC">
        <w:rPr>
          <w:szCs w:val="24"/>
        </w:rPr>
        <w:t>ekšējās revīzijas</w:t>
      </w:r>
      <w:r w:rsidR="00E0684E">
        <w:rPr>
          <w:szCs w:val="24"/>
        </w:rPr>
        <w:t xml:space="preserve"> funkcijas darba </w:t>
      </w:r>
      <w:r w:rsidR="004F4B3D" w:rsidRPr="00431826">
        <w:rPr>
          <w:szCs w:val="24"/>
        </w:rPr>
        <w:t>rezultāti;</w:t>
      </w:r>
    </w:p>
    <w:p w14:paraId="4AEECDEE" w14:textId="64AF0052" w:rsidR="004F4B3D" w:rsidRPr="00431826" w:rsidRDefault="009F2254" w:rsidP="00825E14">
      <w:pPr>
        <w:pStyle w:val="ListBullet"/>
        <w:rPr>
          <w:szCs w:val="24"/>
        </w:rPr>
      </w:pPr>
      <w:r>
        <w:rPr>
          <w:szCs w:val="24"/>
        </w:rPr>
        <w:t>i</w:t>
      </w:r>
      <w:r w:rsidR="00B36999" w:rsidRPr="00145DBC">
        <w:rPr>
          <w:szCs w:val="24"/>
        </w:rPr>
        <w:t xml:space="preserve">ekšējās revīzijas </w:t>
      </w:r>
      <w:r w:rsidR="00E0684E">
        <w:rPr>
          <w:szCs w:val="24"/>
        </w:rPr>
        <w:t xml:space="preserve">funkcijas </w:t>
      </w:r>
      <w:r w:rsidR="004F4B3D" w:rsidRPr="00431826">
        <w:rPr>
          <w:szCs w:val="24"/>
        </w:rPr>
        <w:t>ziņojumi;</w:t>
      </w:r>
    </w:p>
    <w:p w14:paraId="465EF5E2" w14:textId="28AC3444" w:rsidR="004F4B3D" w:rsidRPr="00431826" w:rsidRDefault="004F4B3D" w:rsidP="00825E14">
      <w:pPr>
        <w:pStyle w:val="ListBullet"/>
        <w:rPr>
          <w:szCs w:val="24"/>
        </w:rPr>
      </w:pPr>
      <w:r w:rsidRPr="00431826">
        <w:rPr>
          <w:szCs w:val="24"/>
        </w:rPr>
        <w:t xml:space="preserve">tikšanās ar </w:t>
      </w:r>
      <w:r w:rsidR="009F2254">
        <w:rPr>
          <w:szCs w:val="24"/>
        </w:rPr>
        <w:t>i</w:t>
      </w:r>
      <w:r w:rsidRPr="00431826">
        <w:rPr>
          <w:szCs w:val="24"/>
        </w:rPr>
        <w:t xml:space="preserve">ekšējo </w:t>
      </w:r>
      <w:r w:rsidR="00B36999" w:rsidRPr="00145DBC">
        <w:rPr>
          <w:szCs w:val="24"/>
        </w:rPr>
        <w:t>revidentu</w:t>
      </w:r>
      <w:r w:rsidRPr="00E0165F">
        <w:rPr>
          <w:szCs w:val="24"/>
        </w:rPr>
        <w:t>;</w:t>
      </w:r>
    </w:p>
    <w:p w14:paraId="440BB173" w14:textId="715DCC72" w:rsidR="004F4B3D" w:rsidRPr="00431826" w:rsidRDefault="004F4B3D" w:rsidP="00825E14">
      <w:pPr>
        <w:pStyle w:val="ListBullet"/>
        <w:rPr>
          <w:szCs w:val="24"/>
        </w:rPr>
      </w:pPr>
      <w:r w:rsidRPr="000D4F52">
        <w:rPr>
          <w:szCs w:val="24"/>
        </w:rPr>
        <w:t xml:space="preserve">vadības rīcība attiecībā </w:t>
      </w:r>
      <w:r w:rsidR="00252880">
        <w:rPr>
          <w:szCs w:val="24"/>
        </w:rPr>
        <w:t xml:space="preserve">uz </w:t>
      </w:r>
      <w:r w:rsidR="009F2254">
        <w:rPr>
          <w:szCs w:val="24"/>
        </w:rPr>
        <w:t>i</w:t>
      </w:r>
      <w:r w:rsidR="00B36999">
        <w:rPr>
          <w:szCs w:val="24"/>
        </w:rPr>
        <w:t xml:space="preserve">ekšējās </w:t>
      </w:r>
      <w:r w:rsidR="00B36999" w:rsidRPr="00431826">
        <w:rPr>
          <w:szCs w:val="24"/>
        </w:rPr>
        <w:t>revīzijas</w:t>
      </w:r>
      <w:r w:rsidR="00252880">
        <w:rPr>
          <w:szCs w:val="24"/>
        </w:rPr>
        <w:t xml:space="preserve"> funkcijas darba</w:t>
      </w:r>
      <w:r w:rsidR="00B36999" w:rsidRPr="00431826">
        <w:rPr>
          <w:szCs w:val="24"/>
        </w:rPr>
        <w:t xml:space="preserve"> </w:t>
      </w:r>
      <w:r w:rsidRPr="00431826">
        <w:rPr>
          <w:szCs w:val="24"/>
        </w:rPr>
        <w:t>rezultātiem;</w:t>
      </w:r>
    </w:p>
    <w:p w14:paraId="2B2AC67D" w14:textId="77777777" w:rsidR="00A252C0" w:rsidRDefault="004F4B3D" w:rsidP="00825E14">
      <w:pPr>
        <w:pStyle w:val="ListBullet"/>
        <w:rPr>
          <w:szCs w:val="24"/>
        </w:rPr>
      </w:pPr>
      <w:r w:rsidRPr="00431826">
        <w:rPr>
          <w:szCs w:val="24"/>
        </w:rPr>
        <w:t xml:space="preserve">novērtēt </w:t>
      </w:r>
      <w:r w:rsidR="009F2254">
        <w:rPr>
          <w:szCs w:val="24"/>
        </w:rPr>
        <w:t>i</w:t>
      </w:r>
      <w:r w:rsidR="009F2254" w:rsidRPr="00431826">
        <w:rPr>
          <w:szCs w:val="24"/>
        </w:rPr>
        <w:t>ekšējā</w:t>
      </w:r>
      <w:r w:rsidR="009F2254" w:rsidRPr="00145DBC">
        <w:rPr>
          <w:szCs w:val="24"/>
        </w:rPr>
        <w:t xml:space="preserve">s </w:t>
      </w:r>
      <w:r w:rsidR="00B36999" w:rsidRPr="00145DBC">
        <w:rPr>
          <w:szCs w:val="24"/>
        </w:rPr>
        <w:t>revīzijas</w:t>
      </w:r>
      <w:r w:rsidR="00252880">
        <w:rPr>
          <w:szCs w:val="24"/>
        </w:rPr>
        <w:t xml:space="preserve"> funkcijas</w:t>
      </w:r>
      <w:r w:rsidRPr="00252880">
        <w:rPr>
          <w:szCs w:val="24"/>
        </w:rPr>
        <w:t xml:space="preserve"> </w:t>
      </w:r>
      <w:r w:rsidRPr="00431826">
        <w:rPr>
          <w:szCs w:val="24"/>
        </w:rPr>
        <w:t>efektivitāti</w:t>
      </w:r>
      <w:r w:rsidR="00A252C0">
        <w:rPr>
          <w:szCs w:val="24"/>
        </w:rPr>
        <w:t>;</w:t>
      </w:r>
    </w:p>
    <w:p w14:paraId="0FA35429" w14:textId="51B8B8BC" w:rsidR="004F4B3D" w:rsidRPr="000D4F52" w:rsidRDefault="00A252C0" w:rsidP="00825E14">
      <w:pPr>
        <w:pStyle w:val="ListBullet"/>
        <w:rPr>
          <w:szCs w:val="24"/>
        </w:rPr>
      </w:pPr>
      <w:r>
        <w:rPr>
          <w:color w:val="222222"/>
          <w:szCs w:val="24"/>
        </w:rPr>
        <w:t xml:space="preserve">ja sabiedrībā nav izveidota iekšējās revīzijas funkcija, </w:t>
      </w:r>
      <w:r w:rsidRPr="00431826">
        <w:rPr>
          <w:color w:val="222222"/>
          <w:szCs w:val="24"/>
        </w:rPr>
        <w:t xml:space="preserve">izvērtēt </w:t>
      </w:r>
      <w:r>
        <w:rPr>
          <w:color w:val="222222"/>
          <w:szCs w:val="24"/>
        </w:rPr>
        <w:t xml:space="preserve">tās </w:t>
      </w:r>
      <w:r w:rsidRPr="00431826">
        <w:rPr>
          <w:color w:val="222222"/>
          <w:szCs w:val="24"/>
        </w:rPr>
        <w:t>nepieciešamību</w:t>
      </w:r>
      <w:r>
        <w:rPr>
          <w:color w:val="222222"/>
          <w:szCs w:val="24"/>
        </w:rPr>
        <w:t>.</w:t>
      </w:r>
    </w:p>
    <w:p w14:paraId="07E05209" w14:textId="46E1C966" w:rsidR="004F4B3D" w:rsidRPr="000D4F52" w:rsidRDefault="004F4B3D" w:rsidP="008B0F03">
      <w:pPr>
        <w:pStyle w:val="AppendixHeading2"/>
      </w:pPr>
      <w:r w:rsidRPr="000D4F52">
        <w:t xml:space="preserve">Revīzijas komitejas </w:t>
      </w:r>
      <w:r w:rsidR="00BD61E3">
        <w:t>darbība</w:t>
      </w:r>
      <w:r w:rsidRPr="000D4F52">
        <w:t>:</w:t>
      </w:r>
    </w:p>
    <w:p w14:paraId="43B7CC08" w14:textId="77777777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>nolikums;</w:t>
      </w:r>
    </w:p>
    <w:p w14:paraId="7D1B218C" w14:textId="5EF82246" w:rsidR="004F4B3D" w:rsidRPr="000D4F52" w:rsidRDefault="004F4B3D" w:rsidP="001351C7">
      <w:pPr>
        <w:pStyle w:val="BodyText"/>
        <w:numPr>
          <w:ilvl w:val="0"/>
          <w:numId w:val="49"/>
        </w:numPr>
        <w:rPr>
          <w:color w:val="222222"/>
          <w:szCs w:val="24"/>
        </w:rPr>
      </w:pPr>
      <w:r w:rsidRPr="000D4F52">
        <w:rPr>
          <w:color w:val="222222"/>
          <w:szCs w:val="24"/>
        </w:rPr>
        <w:t xml:space="preserve">novērtēt </w:t>
      </w:r>
      <w:r w:rsidR="00B36999">
        <w:rPr>
          <w:color w:val="222222"/>
          <w:szCs w:val="24"/>
        </w:rPr>
        <w:t>revīzijas</w:t>
      </w:r>
      <w:r w:rsidR="00B36999" w:rsidRPr="000D4F52">
        <w:rPr>
          <w:color w:val="222222"/>
          <w:szCs w:val="24"/>
        </w:rPr>
        <w:t xml:space="preserve"> </w:t>
      </w:r>
      <w:r w:rsidRPr="000D4F52">
        <w:rPr>
          <w:color w:val="222222"/>
          <w:szCs w:val="24"/>
        </w:rPr>
        <w:t>komitejas sniegumu</w:t>
      </w:r>
      <w:r w:rsidR="00BD61E3">
        <w:rPr>
          <w:color w:val="222222"/>
          <w:szCs w:val="24"/>
        </w:rPr>
        <w:t xml:space="preserve"> (revīzijas komitejas darbības efektivitātes novērtējums)</w:t>
      </w:r>
      <w:r w:rsidRPr="000D4F52">
        <w:rPr>
          <w:color w:val="222222"/>
          <w:szCs w:val="24"/>
        </w:rPr>
        <w:t>.</w:t>
      </w:r>
    </w:p>
    <w:p w14:paraId="14E3057A" w14:textId="77777777" w:rsidR="004F4B3D" w:rsidRPr="00B76528" w:rsidRDefault="004F4B3D" w:rsidP="004F4B3D">
      <w:pPr>
        <w:spacing w:before="130" w:after="130"/>
        <w:jc w:val="both"/>
      </w:pPr>
      <w:bookmarkStart w:id="1" w:name="_GoBack"/>
      <w:bookmarkEnd w:id="1"/>
    </w:p>
    <w:sectPr w:rsidR="004F4B3D" w:rsidRPr="00B76528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1A42" w14:textId="77777777" w:rsidR="00952E2A" w:rsidRDefault="00952E2A">
      <w:r>
        <w:separator/>
      </w:r>
    </w:p>
  </w:endnote>
  <w:endnote w:type="continuationSeparator" w:id="0">
    <w:p w14:paraId="22298117" w14:textId="77777777" w:rsidR="00952E2A" w:rsidRDefault="0095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D65EF" w14:textId="77777777" w:rsidR="00B143A8" w:rsidRDefault="00126D6D">
        <w:pPr>
          <w:pStyle w:val="Footer"/>
          <w:jc w:val="right"/>
        </w:pPr>
        <w:r>
          <w:fldChar w:fldCharType="begin"/>
        </w:r>
        <w:r w:rsidR="00B143A8">
          <w:instrText xml:space="preserve"> PAGE   \* MERGEFORMAT </w:instrText>
        </w:r>
        <w:r>
          <w:fldChar w:fldCharType="separate"/>
        </w:r>
        <w:r w:rsidR="00940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C5DB0" w14:textId="77777777" w:rsidR="00B143A8" w:rsidRDefault="00B1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AB35" w14:textId="77777777" w:rsidR="00952E2A" w:rsidRDefault="00952E2A">
      <w:r>
        <w:separator/>
      </w:r>
    </w:p>
  </w:footnote>
  <w:footnote w:type="continuationSeparator" w:id="0">
    <w:p w14:paraId="6F42FA69" w14:textId="77777777" w:rsidR="00952E2A" w:rsidRDefault="00952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4FE26" w14:textId="77777777" w:rsidR="00B143A8" w:rsidRDefault="00B14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0376FD7"/>
    <w:multiLevelType w:val="singleLevel"/>
    <w:tmpl w:val="0ADCFEE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584"/>
    <w:multiLevelType w:val="singleLevel"/>
    <w:tmpl w:val="C7161C6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04C360EB"/>
    <w:multiLevelType w:val="singleLevel"/>
    <w:tmpl w:val="CA140CC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06ED6B06"/>
    <w:multiLevelType w:val="singleLevel"/>
    <w:tmpl w:val="5448C52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0B487F7D"/>
    <w:multiLevelType w:val="singleLevel"/>
    <w:tmpl w:val="DCFC2A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0EA04363"/>
    <w:multiLevelType w:val="singleLevel"/>
    <w:tmpl w:val="91EEF03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0F876562"/>
    <w:multiLevelType w:val="multilevel"/>
    <w:tmpl w:val="92623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1433E"/>
    <w:multiLevelType w:val="singleLevel"/>
    <w:tmpl w:val="EFE4B9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135608A2"/>
    <w:multiLevelType w:val="singleLevel"/>
    <w:tmpl w:val="BA5861E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1386372F"/>
    <w:multiLevelType w:val="singleLevel"/>
    <w:tmpl w:val="B6E051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15077537"/>
    <w:multiLevelType w:val="singleLevel"/>
    <w:tmpl w:val="5704AC4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D71392"/>
    <w:multiLevelType w:val="singleLevel"/>
    <w:tmpl w:val="3DE841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18FD5552"/>
    <w:multiLevelType w:val="singleLevel"/>
    <w:tmpl w:val="93D608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19A21A4E"/>
    <w:multiLevelType w:val="singleLevel"/>
    <w:tmpl w:val="E34202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1D8F29D8"/>
    <w:multiLevelType w:val="hybridMultilevel"/>
    <w:tmpl w:val="7E7A89C8"/>
    <w:lvl w:ilvl="0" w:tplc="483A6B5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82C79"/>
    <w:multiLevelType w:val="singleLevel"/>
    <w:tmpl w:val="CB0065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1E3B67B4"/>
    <w:multiLevelType w:val="singleLevel"/>
    <w:tmpl w:val="DDD60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1EBA6C14"/>
    <w:multiLevelType w:val="singleLevel"/>
    <w:tmpl w:val="0400BF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1F176E7B"/>
    <w:multiLevelType w:val="singleLevel"/>
    <w:tmpl w:val="0B08A98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24186908"/>
    <w:multiLevelType w:val="singleLevel"/>
    <w:tmpl w:val="FD6A549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4" w15:restartNumberingAfterBreak="0">
    <w:nsid w:val="249364E5"/>
    <w:multiLevelType w:val="singleLevel"/>
    <w:tmpl w:val="F7A87C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250F7BE4"/>
    <w:multiLevelType w:val="singleLevel"/>
    <w:tmpl w:val="EEA24A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26F24968"/>
    <w:multiLevelType w:val="singleLevel"/>
    <w:tmpl w:val="E6609D2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27DC5042"/>
    <w:multiLevelType w:val="singleLevel"/>
    <w:tmpl w:val="45449E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2B8D69AC"/>
    <w:multiLevelType w:val="hybridMultilevel"/>
    <w:tmpl w:val="58F662AE"/>
    <w:lvl w:ilvl="0" w:tplc="3FF06FAE">
      <w:start w:val="1"/>
      <w:numFmt w:val="bullet"/>
      <w:lvlText w:val="•"/>
      <w:lvlJc w:val="left"/>
      <w:pPr>
        <w:ind w:left="361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D15A2758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9D1230DC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F912AF00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0EC620BC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3D8A57CA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35428AD0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C45EC93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082E3068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29" w15:restartNumberingAfterBreak="0">
    <w:nsid w:val="2BA21499"/>
    <w:multiLevelType w:val="singleLevel"/>
    <w:tmpl w:val="687AB00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2CFA1E82"/>
    <w:multiLevelType w:val="singleLevel"/>
    <w:tmpl w:val="2CDC40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2D042FB2"/>
    <w:multiLevelType w:val="singleLevel"/>
    <w:tmpl w:val="2D267F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2" w15:restartNumberingAfterBreak="0">
    <w:nsid w:val="2F0A440C"/>
    <w:multiLevelType w:val="singleLevel"/>
    <w:tmpl w:val="492EF5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3" w15:restartNumberingAfterBreak="0">
    <w:nsid w:val="2F371DB3"/>
    <w:multiLevelType w:val="singleLevel"/>
    <w:tmpl w:val="58CA97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4" w15:restartNumberingAfterBreak="0">
    <w:nsid w:val="34560F2A"/>
    <w:multiLevelType w:val="singleLevel"/>
    <w:tmpl w:val="5D5C19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5" w15:restartNumberingAfterBreak="0">
    <w:nsid w:val="377C43E8"/>
    <w:multiLevelType w:val="singleLevel"/>
    <w:tmpl w:val="CB7A88E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6" w15:restartNumberingAfterBreak="0">
    <w:nsid w:val="379E644B"/>
    <w:multiLevelType w:val="singleLevel"/>
    <w:tmpl w:val="0A5A70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7" w15:restartNumberingAfterBreak="0">
    <w:nsid w:val="37DE030E"/>
    <w:multiLevelType w:val="hybridMultilevel"/>
    <w:tmpl w:val="CF00CF0E"/>
    <w:lvl w:ilvl="0" w:tplc="07DA8F5A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F412E79E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5A0E44F8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6B308D2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A2AC1B7A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7FBCDDF2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2982ECBA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2EA01EF6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B8A76B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38" w15:restartNumberingAfterBreak="0">
    <w:nsid w:val="39F078B6"/>
    <w:multiLevelType w:val="singleLevel"/>
    <w:tmpl w:val="CE5AF6F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9" w15:restartNumberingAfterBreak="0">
    <w:nsid w:val="3A243A79"/>
    <w:multiLevelType w:val="singleLevel"/>
    <w:tmpl w:val="616E57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0" w15:restartNumberingAfterBreak="0">
    <w:nsid w:val="3A3829A6"/>
    <w:multiLevelType w:val="singleLevel"/>
    <w:tmpl w:val="3D763AC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1" w15:restartNumberingAfterBreak="0">
    <w:nsid w:val="3B892B35"/>
    <w:multiLevelType w:val="multilevel"/>
    <w:tmpl w:val="B1A0DE0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3CF30856"/>
    <w:multiLevelType w:val="hybridMultilevel"/>
    <w:tmpl w:val="EE1E8C3A"/>
    <w:lvl w:ilvl="0" w:tplc="32B243D8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01DE221C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D1925A14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566B57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44B09036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DE088414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6E97CC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D2C2F12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15A742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43" w15:restartNumberingAfterBreak="0">
    <w:nsid w:val="3CF673FD"/>
    <w:multiLevelType w:val="singleLevel"/>
    <w:tmpl w:val="10CCBAF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45" w15:restartNumberingAfterBreak="0">
    <w:nsid w:val="3E23798F"/>
    <w:multiLevelType w:val="singleLevel"/>
    <w:tmpl w:val="7AF6C27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3EFE50C7"/>
    <w:multiLevelType w:val="singleLevel"/>
    <w:tmpl w:val="7C8ECB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7" w15:restartNumberingAfterBreak="0">
    <w:nsid w:val="41657340"/>
    <w:multiLevelType w:val="singleLevel"/>
    <w:tmpl w:val="D7383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425D2633"/>
    <w:multiLevelType w:val="singleLevel"/>
    <w:tmpl w:val="A52047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9" w15:restartNumberingAfterBreak="0">
    <w:nsid w:val="427B3923"/>
    <w:multiLevelType w:val="singleLevel"/>
    <w:tmpl w:val="BEF203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0" w15:restartNumberingAfterBreak="0">
    <w:nsid w:val="43BC45C2"/>
    <w:multiLevelType w:val="singleLevel"/>
    <w:tmpl w:val="F2F42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1" w15:restartNumberingAfterBreak="0">
    <w:nsid w:val="44D84997"/>
    <w:multiLevelType w:val="singleLevel"/>
    <w:tmpl w:val="3378086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2" w15:restartNumberingAfterBreak="0">
    <w:nsid w:val="491D13B3"/>
    <w:multiLevelType w:val="multilevel"/>
    <w:tmpl w:val="411AF13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3" w15:restartNumberingAfterBreak="0">
    <w:nsid w:val="4A9B682F"/>
    <w:multiLevelType w:val="singleLevel"/>
    <w:tmpl w:val="EAA8F4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4" w15:restartNumberingAfterBreak="0">
    <w:nsid w:val="4C9704EF"/>
    <w:multiLevelType w:val="singleLevel"/>
    <w:tmpl w:val="5E566D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5" w15:restartNumberingAfterBreak="0">
    <w:nsid w:val="4D667836"/>
    <w:multiLevelType w:val="singleLevel"/>
    <w:tmpl w:val="39000E5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6" w15:restartNumberingAfterBreak="0">
    <w:nsid w:val="5018745A"/>
    <w:multiLevelType w:val="singleLevel"/>
    <w:tmpl w:val="3FCAAD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7" w15:restartNumberingAfterBreak="0">
    <w:nsid w:val="511B2CED"/>
    <w:multiLevelType w:val="hybridMultilevel"/>
    <w:tmpl w:val="935A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4019D7"/>
    <w:multiLevelType w:val="singleLevel"/>
    <w:tmpl w:val="D71251C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9" w15:restartNumberingAfterBreak="0">
    <w:nsid w:val="5279349E"/>
    <w:multiLevelType w:val="multilevel"/>
    <w:tmpl w:val="6AC695D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0" w15:restartNumberingAfterBreak="0">
    <w:nsid w:val="55515D17"/>
    <w:multiLevelType w:val="singleLevel"/>
    <w:tmpl w:val="1CD69F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1" w15:restartNumberingAfterBreak="0">
    <w:nsid w:val="586D21FE"/>
    <w:multiLevelType w:val="singleLevel"/>
    <w:tmpl w:val="594897D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2" w15:restartNumberingAfterBreak="0">
    <w:nsid w:val="58C12AEE"/>
    <w:multiLevelType w:val="singleLevel"/>
    <w:tmpl w:val="18AE20F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3" w15:restartNumberingAfterBreak="0">
    <w:nsid w:val="5A675A63"/>
    <w:multiLevelType w:val="singleLevel"/>
    <w:tmpl w:val="A5540A3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4" w15:restartNumberingAfterBreak="0">
    <w:nsid w:val="5F367450"/>
    <w:multiLevelType w:val="singleLevel"/>
    <w:tmpl w:val="BBC4CB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5" w15:restartNumberingAfterBreak="0">
    <w:nsid w:val="6098799F"/>
    <w:multiLevelType w:val="singleLevel"/>
    <w:tmpl w:val="28523B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6" w15:restartNumberingAfterBreak="0">
    <w:nsid w:val="649F7B06"/>
    <w:multiLevelType w:val="singleLevel"/>
    <w:tmpl w:val="5BCAF1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7" w15:restartNumberingAfterBreak="0">
    <w:nsid w:val="685D123C"/>
    <w:multiLevelType w:val="singleLevel"/>
    <w:tmpl w:val="14A8F50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8" w15:restartNumberingAfterBreak="0">
    <w:nsid w:val="6902500A"/>
    <w:multiLevelType w:val="singleLevel"/>
    <w:tmpl w:val="ED569D6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9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70" w15:restartNumberingAfterBreak="0">
    <w:nsid w:val="6CFF3511"/>
    <w:multiLevelType w:val="singleLevel"/>
    <w:tmpl w:val="EF4268D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1" w15:restartNumberingAfterBreak="0">
    <w:nsid w:val="6D941F57"/>
    <w:multiLevelType w:val="singleLevel"/>
    <w:tmpl w:val="AB8C9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2" w15:restartNumberingAfterBreak="0">
    <w:nsid w:val="6DAA6FC6"/>
    <w:multiLevelType w:val="singleLevel"/>
    <w:tmpl w:val="065092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3" w15:restartNumberingAfterBreak="0">
    <w:nsid w:val="6F5021B3"/>
    <w:multiLevelType w:val="singleLevel"/>
    <w:tmpl w:val="67A801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4" w15:restartNumberingAfterBreak="0">
    <w:nsid w:val="71FD425D"/>
    <w:multiLevelType w:val="singleLevel"/>
    <w:tmpl w:val="2BE8D11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5" w15:restartNumberingAfterBreak="0">
    <w:nsid w:val="73B24A92"/>
    <w:multiLevelType w:val="singleLevel"/>
    <w:tmpl w:val="413023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6" w15:restartNumberingAfterBreak="0">
    <w:nsid w:val="75C5674F"/>
    <w:multiLevelType w:val="singleLevel"/>
    <w:tmpl w:val="3B2A209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7" w15:restartNumberingAfterBreak="0">
    <w:nsid w:val="76EF0762"/>
    <w:multiLevelType w:val="hybridMultilevel"/>
    <w:tmpl w:val="C3ECC400"/>
    <w:lvl w:ilvl="0" w:tplc="0809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38553A"/>
    <w:multiLevelType w:val="hybridMultilevel"/>
    <w:tmpl w:val="1E40C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93499"/>
    <w:multiLevelType w:val="singleLevel"/>
    <w:tmpl w:val="D2E42C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0" w15:restartNumberingAfterBreak="0">
    <w:nsid w:val="7EAC6AFD"/>
    <w:multiLevelType w:val="singleLevel"/>
    <w:tmpl w:val="8F30A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1" w15:restartNumberingAfterBreak="0">
    <w:nsid w:val="7EB94818"/>
    <w:multiLevelType w:val="singleLevel"/>
    <w:tmpl w:val="030A17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63"/>
  </w:num>
  <w:num w:numId="5">
    <w:abstractNumId w:val="56"/>
  </w:num>
  <w:num w:numId="6">
    <w:abstractNumId w:val="20"/>
  </w:num>
  <w:num w:numId="7">
    <w:abstractNumId w:val="50"/>
  </w:num>
  <w:num w:numId="8">
    <w:abstractNumId w:val="29"/>
  </w:num>
  <w:num w:numId="9">
    <w:abstractNumId w:val="21"/>
  </w:num>
  <w:num w:numId="10">
    <w:abstractNumId w:val="16"/>
  </w:num>
  <w:num w:numId="11">
    <w:abstractNumId w:val="64"/>
  </w:num>
  <w:num w:numId="12">
    <w:abstractNumId w:val="53"/>
  </w:num>
  <w:num w:numId="13">
    <w:abstractNumId w:val="72"/>
  </w:num>
  <w:num w:numId="14">
    <w:abstractNumId w:val="75"/>
  </w:num>
  <w:num w:numId="15">
    <w:abstractNumId w:val="4"/>
  </w:num>
  <w:num w:numId="16">
    <w:abstractNumId w:val="48"/>
  </w:num>
  <w:num w:numId="17">
    <w:abstractNumId w:val="49"/>
  </w:num>
  <w:num w:numId="18">
    <w:abstractNumId w:val="30"/>
  </w:num>
  <w:num w:numId="19">
    <w:abstractNumId w:val="26"/>
  </w:num>
  <w:num w:numId="20">
    <w:abstractNumId w:val="12"/>
  </w:num>
  <w:num w:numId="21">
    <w:abstractNumId w:val="46"/>
  </w:num>
  <w:num w:numId="22">
    <w:abstractNumId w:val="71"/>
  </w:num>
  <w:num w:numId="23">
    <w:abstractNumId w:val="76"/>
  </w:num>
  <w:num w:numId="24">
    <w:abstractNumId w:val="6"/>
  </w:num>
  <w:num w:numId="25">
    <w:abstractNumId w:val="54"/>
  </w:num>
  <w:num w:numId="26">
    <w:abstractNumId w:val="25"/>
  </w:num>
  <w:num w:numId="27">
    <w:abstractNumId w:val="19"/>
  </w:num>
  <w:num w:numId="28">
    <w:abstractNumId w:val="2"/>
  </w:num>
  <w:num w:numId="29">
    <w:abstractNumId w:val="80"/>
  </w:num>
  <w:num w:numId="30">
    <w:abstractNumId w:val="60"/>
  </w:num>
  <w:num w:numId="31">
    <w:abstractNumId w:val="67"/>
  </w:num>
  <w:num w:numId="32">
    <w:abstractNumId w:val="31"/>
  </w:num>
  <w:num w:numId="33">
    <w:abstractNumId w:val="66"/>
  </w:num>
  <w:num w:numId="34">
    <w:abstractNumId w:val="61"/>
  </w:num>
  <w:num w:numId="35">
    <w:abstractNumId w:val="55"/>
  </w:num>
  <w:num w:numId="36">
    <w:abstractNumId w:val="35"/>
  </w:num>
  <w:num w:numId="37">
    <w:abstractNumId w:val="45"/>
  </w:num>
  <w:num w:numId="38">
    <w:abstractNumId w:val="15"/>
  </w:num>
  <w:num w:numId="39">
    <w:abstractNumId w:val="36"/>
  </w:num>
  <w:num w:numId="40">
    <w:abstractNumId w:val="73"/>
  </w:num>
  <w:num w:numId="41">
    <w:abstractNumId w:val="24"/>
  </w:num>
  <w:num w:numId="42">
    <w:abstractNumId w:val="62"/>
  </w:num>
  <w:num w:numId="43">
    <w:abstractNumId w:val="17"/>
  </w:num>
  <w:num w:numId="44">
    <w:abstractNumId w:val="8"/>
  </w:num>
  <w:num w:numId="45">
    <w:abstractNumId w:val="10"/>
  </w:num>
  <w:num w:numId="46">
    <w:abstractNumId w:val="5"/>
  </w:num>
  <w:num w:numId="47">
    <w:abstractNumId w:val="34"/>
  </w:num>
  <w:num w:numId="48">
    <w:abstractNumId w:val="27"/>
  </w:num>
  <w:num w:numId="49">
    <w:abstractNumId w:val="58"/>
  </w:num>
  <w:num w:numId="50">
    <w:abstractNumId w:val="14"/>
  </w:num>
  <w:num w:numId="51">
    <w:abstractNumId w:val="9"/>
  </w:num>
  <w:num w:numId="52">
    <w:abstractNumId w:val="44"/>
  </w:num>
  <w:num w:numId="53">
    <w:abstractNumId w:val="3"/>
  </w:num>
  <w:num w:numId="54">
    <w:abstractNumId w:val="69"/>
  </w:num>
  <w:num w:numId="55">
    <w:abstractNumId w:val="1"/>
  </w:num>
  <w:num w:numId="56">
    <w:abstractNumId w:val="0"/>
  </w:num>
  <w:num w:numId="57">
    <w:abstractNumId w:val="38"/>
  </w:num>
  <w:num w:numId="58">
    <w:abstractNumId w:val="13"/>
  </w:num>
  <w:num w:numId="59">
    <w:abstractNumId w:val="78"/>
  </w:num>
  <w:num w:numId="60">
    <w:abstractNumId w:val="57"/>
  </w:num>
  <w:num w:numId="61">
    <w:abstractNumId w:val="28"/>
  </w:num>
  <w:num w:numId="62">
    <w:abstractNumId w:val="42"/>
  </w:num>
  <w:num w:numId="63">
    <w:abstractNumId w:val="37"/>
  </w:num>
  <w:num w:numId="64">
    <w:abstractNumId w:val="81"/>
  </w:num>
  <w:num w:numId="65">
    <w:abstractNumId w:val="51"/>
  </w:num>
  <w:num w:numId="66">
    <w:abstractNumId w:val="32"/>
  </w:num>
  <w:num w:numId="67">
    <w:abstractNumId w:val="47"/>
  </w:num>
  <w:num w:numId="68">
    <w:abstractNumId w:val="23"/>
  </w:num>
  <w:num w:numId="69">
    <w:abstractNumId w:val="43"/>
  </w:num>
  <w:num w:numId="70">
    <w:abstractNumId w:val="11"/>
  </w:num>
  <w:num w:numId="71">
    <w:abstractNumId w:val="70"/>
  </w:num>
  <w:num w:numId="72">
    <w:abstractNumId w:val="22"/>
  </w:num>
  <w:num w:numId="73">
    <w:abstractNumId w:val="33"/>
  </w:num>
  <w:num w:numId="74">
    <w:abstractNumId w:val="79"/>
  </w:num>
  <w:num w:numId="75">
    <w:abstractNumId w:val="3"/>
  </w:num>
  <w:num w:numId="76">
    <w:abstractNumId w:val="65"/>
  </w:num>
  <w:num w:numId="77">
    <w:abstractNumId w:val="59"/>
  </w:num>
  <w:num w:numId="78">
    <w:abstractNumId w:val="74"/>
  </w:num>
  <w:num w:numId="79">
    <w:abstractNumId w:val="52"/>
  </w:num>
  <w:num w:numId="80">
    <w:abstractNumId w:val="41"/>
  </w:num>
  <w:num w:numId="81">
    <w:abstractNumId w:val="18"/>
  </w:num>
  <w:num w:numId="82">
    <w:abstractNumId w:val="77"/>
  </w:num>
  <w:num w:numId="8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279F"/>
    <w:rsid w:val="00023328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A64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5821"/>
    <w:rsid w:val="001265DF"/>
    <w:rsid w:val="001265E3"/>
    <w:rsid w:val="00126D6D"/>
    <w:rsid w:val="00127759"/>
    <w:rsid w:val="00127ECA"/>
    <w:rsid w:val="00130143"/>
    <w:rsid w:val="00130B44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5DB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8AD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121A"/>
    <w:rsid w:val="001F1EBF"/>
    <w:rsid w:val="001F3EBB"/>
    <w:rsid w:val="001F4044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1B31"/>
    <w:rsid w:val="002525CD"/>
    <w:rsid w:val="00252880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222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3BCD"/>
    <w:rsid w:val="002E6288"/>
    <w:rsid w:val="002E77F2"/>
    <w:rsid w:val="002F028D"/>
    <w:rsid w:val="002F0C66"/>
    <w:rsid w:val="002F1603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2D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9E"/>
    <w:rsid w:val="00361019"/>
    <w:rsid w:val="00362E12"/>
    <w:rsid w:val="00362ED8"/>
    <w:rsid w:val="003633F9"/>
    <w:rsid w:val="00363961"/>
    <w:rsid w:val="0036410B"/>
    <w:rsid w:val="00364395"/>
    <w:rsid w:val="0036447B"/>
    <w:rsid w:val="0036573D"/>
    <w:rsid w:val="00365B89"/>
    <w:rsid w:val="00365C81"/>
    <w:rsid w:val="00366574"/>
    <w:rsid w:val="00366F0D"/>
    <w:rsid w:val="00370719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181E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4E"/>
    <w:rsid w:val="003B3D9A"/>
    <w:rsid w:val="003B46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F9B"/>
    <w:rsid w:val="00420C3D"/>
    <w:rsid w:val="00420D06"/>
    <w:rsid w:val="00420F8C"/>
    <w:rsid w:val="00421AE1"/>
    <w:rsid w:val="004225B9"/>
    <w:rsid w:val="0042268B"/>
    <w:rsid w:val="00422AC6"/>
    <w:rsid w:val="0042657B"/>
    <w:rsid w:val="0043030E"/>
    <w:rsid w:val="00430C19"/>
    <w:rsid w:val="00431826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4E6F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1D5D"/>
    <w:rsid w:val="005225F7"/>
    <w:rsid w:val="0052281D"/>
    <w:rsid w:val="00523C84"/>
    <w:rsid w:val="00523F14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267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3CC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6F6"/>
    <w:rsid w:val="006F790F"/>
    <w:rsid w:val="00700023"/>
    <w:rsid w:val="00700824"/>
    <w:rsid w:val="007010F6"/>
    <w:rsid w:val="0070149E"/>
    <w:rsid w:val="00702B30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75D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66B3"/>
    <w:rsid w:val="00746B26"/>
    <w:rsid w:val="00746C93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7A3"/>
    <w:rsid w:val="007574E7"/>
    <w:rsid w:val="00757F86"/>
    <w:rsid w:val="00760094"/>
    <w:rsid w:val="00760591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6D00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228E"/>
    <w:rsid w:val="007F2452"/>
    <w:rsid w:val="007F2792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431"/>
    <w:rsid w:val="008228FE"/>
    <w:rsid w:val="00822FD3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3041B"/>
    <w:rsid w:val="00830893"/>
    <w:rsid w:val="00831EF1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41E"/>
    <w:rsid w:val="0089158F"/>
    <w:rsid w:val="00891749"/>
    <w:rsid w:val="0089212C"/>
    <w:rsid w:val="00892C70"/>
    <w:rsid w:val="008936CF"/>
    <w:rsid w:val="00893A39"/>
    <w:rsid w:val="008950A2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0EF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DB1"/>
    <w:rsid w:val="00952E2A"/>
    <w:rsid w:val="0095308B"/>
    <w:rsid w:val="00954041"/>
    <w:rsid w:val="00954262"/>
    <w:rsid w:val="00955772"/>
    <w:rsid w:val="0095584B"/>
    <w:rsid w:val="009562AF"/>
    <w:rsid w:val="009564C6"/>
    <w:rsid w:val="0095695B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F8F"/>
    <w:rsid w:val="009A0C55"/>
    <w:rsid w:val="009A2683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57C7"/>
    <w:rsid w:val="009C5F3C"/>
    <w:rsid w:val="009C64C2"/>
    <w:rsid w:val="009C6BB0"/>
    <w:rsid w:val="009C7B0A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254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2C0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6614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105C"/>
    <w:rsid w:val="00AC2DDA"/>
    <w:rsid w:val="00AC2FA0"/>
    <w:rsid w:val="00AC378C"/>
    <w:rsid w:val="00AC3ABD"/>
    <w:rsid w:val="00AC4340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6999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65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DB4"/>
    <w:rsid w:val="00BD0029"/>
    <w:rsid w:val="00BD1D82"/>
    <w:rsid w:val="00BD2781"/>
    <w:rsid w:val="00BD2AD4"/>
    <w:rsid w:val="00BD3037"/>
    <w:rsid w:val="00BD371D"/>
    <w:rsid w:val="00BD382F"/>
    <w:rsid w:val="00BD391E"/>
    <w:rsid w:val="00BD39A4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1DE4"/>
    <w:rsid w:val="00C01E6A"/>
    <w:rsid w:val="00C0321F"/>
    <w:rsid w:val="00C05244"/>
    <w:rsid w:val="00C05F89"/>
    <w:rsid w:val="00C062AB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A2F"/>
    <w:rsid w:val="00C42985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EC7"/>
    <w:rsid w:val="00D8422D"/>
    <w:rsid w:val="00D84AAF"/>
    <w:rsid w:val="00D84BA2"/>
    <w:rsid w:val="00D84BF1"/>
    <w:rsid w:val="00D84F89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65F"/>
    <w:rsid w:val="00E01939"/>
    <w:rsid w:val="00E01BE1"/>
    <w:rsid w:val="00E0326B"/>
    <w:rsid w:val="00E033BB"/>
    <w:rsid w:val="00E05340"/>
    <w:rsid w:val="00E0684E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4DD3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83F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34174"/>
  <w15:docId w15:val="{9D08D8FE-47F8-488E-89C1-404838B7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50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53"/>
      </w:numPr>
    </w:pPr>
  </w:style>
  <w:style w:type="paragraph" w:styleId="ListBullet2">
    <w:name w:val="List Bullet 2"/>
    <w:basedOn w:val="ListBullet"/>
    <w:qFormat/>
    <w:rsid w:val="00977F4B"/>
    <w:pPr>
      <w:numPr>
        <w:numId w:val="5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5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5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DE6F-0DE9-4D93-A2B4-8B4C9B85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3</cp:revision>
  <cp:lastPrinted>2017-04-27T11:45:00Z</cp:lastPrinted>
  <dcterms:created xsi:type="dcterms:W3CDTF">2017-06-05T20:21:00Z</dcterms:created>
  <dcterms:modified xsi:type="dcterms:W3CDTF">2017-06-05T20:21:00Z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