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913AB" w14:textId="7C1E3027" w:rsidR="004D0D42" w:rsidRPr="002E0F5A" w:rsidRDefault="004D0D42" w:rsidP="004D0D42">
      <w:pPr>
        <w:pStyle w:val="Heading1"/>
        <w:numPr>
          <w:ilvl w:val="0"/>
          <w:numId w:val="0"/>
        </w:numPr>
        <w:jc w:val="both"/>
        <w:rPr>
          <w:rFonts w:ascii="Times New Roman" w:hAnsi="Times New Roman" w:cs="Times New Roman"/>
          <w:sz w:val="32"/>
          <w:szCs w:val="36"/>
        </w:rPr>
      </w:pPr>
      <w:bookmarkStart w:id="0" w:name="_Toc139275789"/>
      <w:r w:rsidRPr="002E0F5A">
        <w:rPr>
          <w:rFonts w:ascii="Times New Roman" w:hAnsi="Times New Roman" w:cs="Times New Roman"/>
          <w:noProof/>
          <w:sz w:val="32"/>
          <w:szCs w:val="36"/>
          <w:lang w:eastAsia="lv-LV"/>
        </w:rPr>
        <w:drawing>
          <wp:anchor distT="0" distB="0" distL="114300" distR="114300" simplePos="0" relativeHeight="251659264" behindDoc="0" locked="0" layoutInCell="1" allowOverlap="1" wp14:anchorId="486B8CEB" wp14:editId="6109E4D1">
            <wp:simplePos x="0" y="0"/>
            <wp:positionH relativeFrom="page">
              <wp:align>left</wp:align>
            </wp:positionH>
            <wp:positionV relativeFrom="paragraph">
              <wp:posOffset>7593</wp:posOffset>
            </wp:positionV>
            <wp:extent cx="652145" cy="409575"/>
            <wp:effectExtent l="0" t="0" r="0" b="9525"/>
            <wp:wrapSquare wrapText="bothSides"/>
            <wp:docPr id="51" name="Picture 5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2E0F5A">
        <w:rPr>
          <w:rFonts w:ascii="Times New Roman" w:hAnsi="Times New Roman" w:cs="Times New Roman"/>
          <w:sz w:val="32"/>
          <w:szCs w:val="36"/>
        </w:rPr>
        <w:t>Izmantotie jēdzieni / termini</w:t>
      </w:r>
      <w:bookmarkEnd w:id="0"/>
      <w:r w:rsidRPr="002E0F5A">
        <w:rPr>
          <w:rFonts w:ascii="Times New Roman" w:hAnsi="Times New Roman" w:cs="Times New Roman"/>
          <w:sz w:val="32"/>
          <w:szCs w:val="36"/>
        </w:rPr>
        <w:t xml:space="preserve"> </w:t>
      </w:r>
    </w:p>
    <w:p w14:paraId="22443F9F" w14:textId="77777777" w:rsidR="004D0D42" w:rsidRPr="002E0F5A" w:rsidRDefault="004D0D42" w:rsidP="004D0D42">
      <w:pPr>
        <w:pStyle w:val="Zilieteksti"/>
        <w:rPr>
          <w:rFonts w:ascii="Times New Roman" w:hAnsi="Times New Roman" w:cs="Times New Roman"/>
          <w:sz w:val="24"/>
          <w:szCs w:val="28"/>
          <w:lang w:val="lv-LV"/>
        </w:rPr>
      </w:pPr>
      <w:r w:rsidRPr="002E0F5A">
        <w:rPr>
          <w:rFonts w:ascii="Times New Roman" w:hAnsi="Times New Roman" w:cs="Times New Roman"/>
          <w:sz w:val="24"/>
          <w:szCs w:val="28"/>
          <w:lang w:val="lv-LV"/>
        </w:rPr>
        <w:t>Izmantotie jēdzieni/ termini</w:t>
      </w:r>
    </w:p>
    <w:p w14:paraId="2F496897" w14:textId="01F0BADF" w:rsidR="004D0D42" w:rsidRPr="002E0F5A" w:rsidRDefault="004D0D42" w:rsidP="004D0D42">
      <w:pPr>
        <w:pStyle w:val="Zilieteksti"/>
        <w:jc w:val="both"/>
        <w:rPr>
          <w:rFonts w:ascii="Times New Roman" w:eastAsia="Calibri" w:hAnsi="Times New Roman" w:cs="Times New Roman"/>
          <w:b w:val="0"/>
          <w:noProof w:val="0"/>
          <w:color w:val="000000"/>
          <w:sz w:val="24"/>
          <w:szCs w:val="32"/>
          <w:lang w:val="lv-LV"/>
        </w:rPr>
      </w:pPr>
      <w:r w:rsidRPr="002E0F5A">
        <w:rPr>
          <w:rFonts w:ascii="Times New Roman" w:eastAsia="Calibri" w:hAnsi="Times New Roman" w:cs="Times New Roman"/>
          <w:b w:val="0"/>
          <w:noProof w:val="0"/>
          <w:color w:val="000000"/>
          <w:sz w:val="24"/>
          <w:szCs w:val="32"/>
          <w:lang w:val="lv-LV"/>
        </w:rPr>
        <w:t xml:space="preserve">Rokasgrāmatā </w:t>
      </w:r>
      <w:r w:rsidR="001E0A2D" w:rsidRPr="002E0F5A">
        <w:rPr>
          <w:rFonts w:ascii="Times New Roman" w:eastAsia="Calibri" w:hAnsi="Times New Roman" w:cs="Times New Roman"/>
          <w:b w:val="0"/>
          <w:noProof w:val="0"/>
          <w:color w:val="000000"/>
          <w:sz w:val="24"/>
          <w:szCs w:val="32"/>
          <w:lang w:val="lv-LV"/>
        </w:rPr>
        <w:t>izmantotie jēdzieni ir balstīti uz Iekšējo auditoru institūta globāl</w:t>
      </w:r>
      <w:r w:rsidR="00812CEB" w:rsidRPr="002E0F5A">
        <w:rPr>
          <w:rFonts w:ascii="Times New Roman" w:eastAsia="Calibri" w:hAnsi="Times New Roman" w:cs="Times New Roman"/>
          <w:b w:val="0"/>
          <w:noProof w:val="0"/>
          <w:color w:val="000000"/>
          <w:sz w:val="24"/>
          <w:szCs w:val="32"/>
          <w:lang w:val="lv-LV"/>
        </w:rPr>
        <w:t>o</w:t>
      </w:r>
      <w:r w:rsidR="001E0A2D" w:rsidRPr="002E0F5A">
        <w:rPr>
          <w:rFonts w:ascii="Times New Roman" w:eastAsia="Calibri" w:hAnsi="Times New Roman" w:cs="Times New Roman"/>
          <w:b w:val="0"/>
          <w:noProof w:val="0"/>
          <w:color w:val="000000"/>
          <w:sz w:val="24"/>
          <w:szCs w:val="32"/>
          <w:lang w:val="lv-LV"/>
        </w:rPr>
        <w:t xml:space="preserve"> iekšēj</w:t>
      </w:r>
      <w:r w:rsidR="00812CEB" w:rsidRPr="002E0F5A">
        <w:rPr>
          <w:rFonts w:ascii="Times New Roman" w:eastAsia="Calibri" w:hAnsi="Times New Roman" w:cs="Times New Roman"/>
          <w:b w:val="0"/>
          <w:noProof w:val="0"/>
          <w:color w:val="000000"/>
          <w:sz w:val="24"/>
          <w:szCs w:val="32"/>
          <w:lang w:val="lv-LV"/>
        </w:rPr>
        <w:t>ā</w:t>
      </w:r>
      <w:r w:rsidR="001E0A2D" w:rsidRPr="002E0F5A">
        <w:rPr>
          <w:rFonts w:ascii="Times New Roman" w:eastAsia="Calibri" w:hAnsi="Times New Roman" w:cs="Times New Roman"/>
          <w:b w:val="0"/>
          <w:noProof w:val="0"/>
          <w:color w:val="000000"/>
          <w:sz w:val="24"/>
          <w:szCs w:val="32"/>
          <w:lang w:val="lv-LV"/>
        </w:rPr>
        <w:t xml:space="preserve"> audita standart</w:t>
      </w:r>
      <w:r w:rsidR="00A47482" w:rsidRPr="002E0F5A">
        <w:rPr>
          <w:rFonts w:ascii="Times New Roman" w:eastAsia="Calibri" w:hAnsi="Times New Roman" w:cs="Times New Roman"/>
          <w:b w:val="0"/>
          <w:noProof w:val="0"/>
          <w:color w:val="000000"/>
          <w:sz w:val="24"/>
          <w:szCs w:val="32"/>
          <w:lang w:val="lv-LV"/>
        </w:rPr>
        <w:t>u projektu</w:t>
      </w:r>
      <w:r w:rsidR="001E0A2D" w:rsidRPr="002E0F5A">
        <w:rPr>
          <w:rFonts w:ascii="Times New Roman" w:eastAsia="Calibri" w:hAnsi="Times New Roman" w:cs="Times New Roman"/>
          <w:b w:val="0"/>
          <w:noProof w:val="0"/>
          <w:color w:val="000000"/>
          <w:sz w:val="24"/>
          <w:szCs w:val="32"/>
          <w:lang w:val="lv-LV"/>
        </w:rPr>
        <w:t xml:space="preserve">, kas uz </w:t>
      </w:r>
      <w:r w:rsidR="00A47482" w:rsidRPr="002E0F5A">
        <w:rPr>
          <w:rFonts w:ascii="Times New Roman" w:eastAsia="Calibri" w:hAnsi="Times New Roman" w:cs="Times New Roman"/>
          <w:b w:val="0"/>
          <w:noProof w:val="0"/>
          <w:color w:val="000000"/>
          <w:sz w:val="24"/>
          <w:szCs w:val="32"/>
          <w:lang w:val="lv-LV"/>
        </w:rPr>
        <w:t xml:space="preserve">Rokasgrāmatas sagatavošanas brīdi </w:t>
      </w:r>
      <w:r w:rsidR="001E0A2D" w:rsidRPr="002E0F5A">
        <w:rPr>
          <w:rFonts w:ascii="Times New Roman" w:eastAsia="Calibri" w:hAnsi="Times New Roman" w:cs="Times New Roman"/>
          <w:b w:val="0"/>
          <w:noProof w:val="0"/>
          <w:color w:val="000000"/>
          <w:sz w:val="24"/>
          <w:szCs w:val="32"/>
          <w:lang w:val="lv-LV"/>
        </w:rPr>
        <w:t xml:space="preserve">ir </w:t>
      </w:r>
      <w:r w:rsidR="00F15421" w:rsidRPr="002E0F5A">
        <w:rPr>
          <w:rFonts w:ascii="Times New Roman" w:eastAsia="Calibri" w:hAnsi="Times New Roman" w:cs="Times New Roman"/>
          <w:b w:val="0"/>
          <w:noProof w:val="0"/>
          <w:color w:val="000000"/>
          <w:sz w:val="24"/>
          <w:szCs w:val="32"/>
          <w:lang w:val="lv-LV"/>
        </w:rPr>
        <w:t xml:space="preserve">izdoti </w:t>
      </w:r>
      <w:r w:rsidR="00A47482" w:rsidRPr="002E0F5A">
        <w:rPr>
          <w:rFonts w:ascii="Times New Roman" w:eastAsia="Calibri" w:hAnsi="Times New Roman" w:cs="Times New Roman"/>
          <w:b w:val="0"/>
          <w:noProof w:val="0"/>
          <w:color w:val="000000"/>
          <w:sz w:val="24"/>
          <w:szCs w:val="32"/>
          <w:lang w:val="lv-LV"/>
        </w:rPr>
        <w:t>publiskai apspriešanai.</w:t>
      </w:r>
      <w:r w:rsidR="001E0A2D" w:rsidRPr="002E0F5A">
        <w:rPr>
          <w:rFonts w:ascii="Times New Roman" w:eastAsia="Calibri" w:hAnsi="Times New Roman" w:cs="Times New Roman"/>
          <w:b w:val="0"/>
          <w:noProof w:val="0"/>
          <w:color w:val="000000"/>
          <w:sz w:val="24"/>
          <w:szCs w:val="32"/>
          <w:lang w:val="lv-LV"/>
        </w:rPr>
        <w:t xml:space="preserve"> </w:t>
      </w:r>
      <w:r w:rsidR="00A47482" w:rsidRPr="002E0F5A">
        <w:rPr>
          <w:rFonts w:ascii="Times New Roman" w:eastAsia="Calibri" w:hAnsi="Times New Roman" w:cs="Times New Roman"/>
          <w:b w:val="0"/>
          <w:noProof w:val="0"/>
          <w:color w:val="000000"/>
          <w:sz w:val="24"/>
          <w:szCs w:val="32"/>
          <w:lang w:val="lv-LV"/>
        </w:rPr>
        <w:t>I</w:t>
      </w:r>
      <w:r w:rsidRPr="002E0F5A">
        <w:rPr>
          <w:rFonts w:ascii="Times New Roman" w:eastAsia="Calibri" w:hAnsi="Times New Roman" w:cs="Times New Roman"/>
          <w:b w:val="0"/>
          <w:noProof w:val="0"/>
          <w:color w:val="000000"/>
          <w:sz w:val="24"/>
          <w:szCs w:val="32"/>
          <w:lang w:val="lv-LV"/>
        </w:rPr>
        <w:t>zmantotie jēdzieni ir mainīti, lai labāk atspoguļotu pašvaldības funkcijas un uzdevumus. Kā datu avoti izmantoti arī normatīvie akti, kas nav pašvaldībām saistoši, bet iekļauti Rokasgrāmatā kā labās prakses piemēri.</w:t>
      </w:r>
    </w:p>
    <w:tbl>
      <w:tblPr>
        <w:tblStyle w:val="PlainTable1"/>
        <w:tblW w:w="9351" w:type="dxa"/>
        <w:tblLook w:val="04A0" w:firstRow="1" w:lastRow="0" w:firstColumn="1" w:lastColumn="0" w:noHBand="0" w:noVBand="1"/>
      </w:tblPr>
      <w:tblGrid>
        <w:gridCol w:w="1870"/>
        <w:gridCol w:w="7481"/>
      </w:tblGrid>
      <w:tr w:rsidR="006E7298" w:rsidRPr="002E0F5A" w14:paraId="74C69ACD" w14:textId="77777777" w:rsidTr="00924912">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50" w:type="dxa"/>
            <w:shd w:val="clear" w:color="auto" w:fill="E7E6E6" w:themeFill="background2"/>
            <w:vAlign w:val="center"/>
          </w:tcPr>
          <w:p w14:paraId="3C090695" w14:textId="77777777" w:rsidR="006E7298" w:rsidRPr="002E0F5A" w:rsidRDefault="006E7298" w:rsidP="006E7298">
            <w:pPr>
              <w:pStyle w:val="Zilieteksti"/>
              <w:spacing w:before="40" w:after="40"/>
              <w:jc w:val="center"/>
              <w:rPr>
                <w:rFonts w:ascii="Times New Roman" w:hAnsi="Times New Roman" w:cs="Times New Roman"/>
                <w:b/>
                <w:sz w:val="24"/>
                <w:szCs w:val="24"/>
              </w:rPr>
            </w:pPr>
            <w:r w:rsidRPr="002E0F5A">
              <w:rPr>
                <w:rFonts w:ascii="Times New Roman" w:hAnsi="Times New Roman" w:cs="Times New Roman"/>
                <w:b/>
                <w:sz w:val="24"/>
                <w:szCs w:val="24"/>
              </w:rPr>
              <w:t>Jēdziens/ termins</w:t>
            </w:r>
          </w:p>
        </w:tc>
        <w:tc>
          <w:tcPr>
            <w:tcW w:w="7501" w:type="dxa"/>
            <w:shd w:val="clear" w:color="auto" w:fill="E7E6E6" w:themeFill="background2"/>
            <w:vAlign w:val="center"/>
          </w:tcPr>
          <w:p w14:paraId="414E52AD" w14:textId="77777777" w:rsidR="006E7298" w:rsidRPr="002E0F5A" w:rsidRDefault="006E7298" w:rsidP="006E7298">
            <w:pPr>
              <w:pStyle w:val="Zilieteksti"/>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E0F5A">
              <w:rPr>
                <w:rFonts w:ascii="Times New Roman" w:hAnsi="Times New Roman" w:cs="Times New Roman"/>
                <w:b/>
                <w:sz w:val="24"/>
                <w:szCs w:val="24"/>
              </w:rPr>
              <w:t>Skaidrojums</w:t>
            </w:r>
          </w:p>
        </w:tc>
      </w:tr>
      <w:tr w:rsidR="006E7298" w:rsidRPr="002E0F5A" w14:paraId="7D68BA48"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022D902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Apsvērumi, lai pierādītu atbilstību Standartiem</w:t>
            </w:r>
          </w:p>
        </w:tc>
        <w:tc>
          <w:tcPr>
            <w:tcW w:w="7501" w:type="dxa"/>
          </w:tcPr>
          <w:p w14:paraId="28FFEE61"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Globālo iekšējā audita standartu sadaļa, kurā sniegti piemēri, kā pierādīt, ka Standarta prasības ir ieviestas.</w:t>
            </w:r>
          </w:p>
        </w:tc>
      </w:tr>
      <w:tr w:rsidR="006E7298" w:rsidRPr="002E0F5A" w14:paraId="013F11D5"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35BF521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Ārpakalpojumi</w:t>
            </w:r>
          </w:p>
        </w:tc>
        <w:tc>
          <w:tcPr>
            <w:tcW w:w="7501" w:type="dxa"/>
          </w:tcPr>
          <w:p w14:paraId="07BD38F7"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Līguma slēgšana ar neatkarīgu ārpakalpojumu sniedzēju iekšējā audita pakalpojumu sniegšanai. Pilnīga funkcijas nodošana ārpakalpojumam attiecas uz līgumu slēgšanu par visu iekšējā audita funkciju, un daļēja ārpakalpojumu piešķiršana (saukta arī par "pakalpojumu izmantošanu") norāda, ka tikai daļa pakalpojumu tiek nodoti ārpakalpojumā.</w:t>
            </w:r>
          </w:p>
        </w:tc>
      </w:tr>
      <w:tr w:rsidR="006E7298" w:rsidRPr="002E0F5A" w14:paraId="1867F246"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6B9BD166"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Ārpakalpojumu sniedzējs</w:t>
            </w:r>
          </w:p>
        </w:tc>
        <w:tc>
          <w:tcPr>
            <w:tcW w:w="7501" w:type="dxa"/>
          </w:tcPr>
          <w:p w14:paraId="53BD18A9"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Persona, kura, pamatojoties uz rakstveida līgumu ar iestādi,, nodrošina atbilstošas zināšanas, prasmes, pieredzi un/vai rīkus iekšējā audita pakalpojumu atbalstam.</w:t>
            </w:r>
          </w:p>
        </w:tc>
      </w:tr>
      <w:tr w:rsidR="006E7298" w:rsidRPr="002E0F5A" w14:paraId="799E190D"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66C629F7"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Atbilstība</w:t>
            </w:r>
          </w:p>
        </w:tc>
        <w:tc>
          <w:tcPr>
            <w:tcW w:w="7501" w:type="dxa"/>
            <w:vAlign w:val="center"/>
          </w:tcPr>
          <w:p w14:paraId="5B44CDF5"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Likumu, noteikumu, līgumu, politiku, procedūru vai citu prasību ievērošana.</w:t>
            </w:r>
          </w:p>
        </w:tc>
      </w:tr>
      <w:tr w:rsidR="006E7298" w:rsidRPr="002E0F5A" w14:paraId="0882A5DB"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4133FAE3"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Atlikušais risks</w:t>
            </w:r>
          </w:p>
        </w:tc>
        <w:tc>
          <w:tcPr>
            <w:tcW w:w="7501" w:type="dxa"/>
          </w:tcPr>
          <w:p w14:paraId="022CB75A"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Riska daļa, kas paliek pēc tam, kad vadība ir veikusi kontroli.</w:t>
            </w:r>
          </w:p>
        </w:tc>
      </w:tr>
      <w:tr w:rsidR="00F65ED2" w:rsidRPr="002E0F5A" w14:paraId="59ECB869"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7B6A8D37" w14:textId="1B42D63F" w:rsidR="00F65ED2" w:rsidRPr="002E0F5A" w:rsidRDefault="00F65ED2" w:rsidP="006E7298">
            <w:pPr>
              <w:pStyle w:val="BodyText"/>
              <w:spacing w:before="40" w:after="40"/>
              <w:rPr>
                <w:rFonts w:ascii="Times New Roman" w:eastAsia="Calibri" w:hAnsi="Times New Roman"/>
                <w:color w:val="000000"/>
                <w:sz w:val="24"/>
                <w:szCs w:val="32"/>
                <w:lang w:val="lv-LV"/>
              </w:rPr>
            </w:pPr>
            <w:r>
              <w:rPr>
                <w:rFonts w:ascii="Times New Roman" w:eastAsia="Calibri" w:hAnsi="Times New Roman"/>
                <w:color w:val="000000"/>
                <w:sz w:val="24"/>
                <w:szCs w:val="32"/>
                <w:lang w:val="lv-LV"/>
              </w:rPr>
              <w:t>Auditējamā vide</w:t>
            </w:r>
          </w:p>
        </w:tc>
        <w:tc>
          <w:tcPr>
            <w:tcW w:w="7501" w:type="dxa"/>
          </w:tcPr>
          <w:p w14:paraId="41B8644D" w14:textId="3A36CF3C" w:rsidR="00F65ED2" w:rsidRPr="00F65ED2" w:rsidRDefault="00F65ED2"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Pr>
                <w:rFonts w:ascii="Times New Roman" w:hAnsi="Times New Roman"/>
                <w:color w:val="000000"/>
                <w:sz w:val="24"/>
                <w:szCs w:val="32"/>
                <w:lang w:val="lv-LV"/>
              </w:rPr>
              <w:t>P</w:t>
            </w:r>
            <w:r w:rsidRPr="00F65ED2">
              <w:rPr>
                <w:rFonts w:ascii="Times New Roman" w:hAnsi="Times New Roman"/>
                <w:color w:val="000000"/>
                <w:sz w:val="24"/>
                <w:szCs w:val="32"/>
                <w:lang w:val="lv-LV"/>
              </w:rPr>
              <w:t>ašvaldības institūcijas, kurām IAN nodrošina iekšējā audita pakalpojumus</w:t>
            </w:r>
            <w:r>
              <w:rPr>
                <w:rFonts w:ascii="Times New Roman" w:hAnsi="Times New Roman"/>
                <w:color w:val="000000"/>
                <w:sz w:val="24"/>
                <w:szCs w:val="32"/>
                <w:lang w:val="lv-LV"/>
              </w:rPr>
              <w:t>.</w:t>
            </w:r>
          </w:p>
        </w:tc>
      </w:tr>
      <w:tr w:rsidR="006E7298" w:rsidRPr="002E0F5A" w14:paraId="5500D162"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172171D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Darba dokumenti</w:t>
            </w:r>
          </w:p>
        </w:tc>
        <w:tc>
          <w:tcPr>
            <w:tcW w:w="7501" w:type="dxa"/>
          </w:tcPr>
          <w:p w14:paraId="7919272D"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darba dokumentācija, kas sagatavota, plānojot un izpildot uzdevumus, kas sniedz pamatojošu informāciju un pierādījumus, kas tiek izmantoti darba uzdevuma konstatējumu un secinājumu sagatavošanai.</w:t>
            </w:r>
          </w:p>
        </w:tc>
      </w:tr>
      <w:tr w:rsidR="006E7298" w:rsidRPr="002E0F5A" w14:paraId="0EA588CD"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1B6D91B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Darba programma</w:t>
            </w:r>
          </w:p>
        </w:tc>
        <w:tc>
          <w:tcPr>
            <w:tcW w:w="7501" w:type="dxa"/>
          </w:tcPr>
          <w:p w14:paraId="557BEFA6"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Dokuments, kurā norādīti uzdevumi, kas veicami, lai sasniegtu audita darba uzdevuma mērķus, metodika un rīki, kas nepieciešami uzdevumu veikšanai, iekšējo auditoru uzdevumi, kas uzticēti uzdevumu veikšanai. Darba programma ir balstīta uz informāciju, kas iegūta, plānojot darba uzdevumus.</w:t>
            </w:r>
          </w:p>
        </w:tc>
      </w:tr>
      <w:tr w:rsidR="006E7298" w:rsidRPr="002E0F5A" w14:paraId="47E2B9A3"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7F7DDD9C"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Darba uzdevuma atzinums</w:t>
            </w:r>
          </w:p>
        </w:tc>
        <w:tc>
          <w:tcPr>
            <w:tcW w:w="7501" w:type="dxa"/>
          </w:tcPr>
          <w:p w14:paraId="1AABB245"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Iekšējo auditoru profesionālais spriedums par darba uzdevuma konstatējumu kopējo nozīmīgumu, tos aplūkojot kopā.</w:t>
            </w:r>
          </w:p>
        </w:tc>
      </w:tr>
      <w:tr w:rsidR="006E7298" w:rsidRPr="002E0F5A" w14:paraId="0D7DA81B"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5FF8815F"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Darba uzdevuma mērķi</w:t>
            </w:r>
          </w:p>
        </w:tc>
        <w:tc>
          <w:tcPr>
            <w:tcW w:w="7501" w:type="dxa"/>
          </w:tcPr>
          <w:p w14:paraId="5B880D93"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Paziņojumi, kas formulē iesaistes mērķi un apraksta konkrētus sasniedzamus mērķus.</w:t>
            </w:r>
          </w:p>
        </w:tc>
      </w:tr>
      <w:tr w:rsidR="006E7298" w:rsidRPr="002E0F5A" w14:paraId="2561A453"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28A6D646"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Darba uzdevuma plānošana</w:t>
            </w:r>
          </w:p>
        </w:tc>
        <w:tc>
          <w:tcPr>
            <w:tcW w:w="7501" w:type="dxa"/>
          </w:tcPr>
          <w:p w14:paraId="2376F354"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Process, kura laikā iekšējie auditori apkopo informāciju, novērtē un nosaka prioritāros riskus, kas attiecas uz pārbaudāmo darbību, kā arī nosaka darba uzdevuma mērķus, tā apjomu un vērtēšanas kritērijus un izveido darba programmu iekšējā audita uzdevumam.</w:t>
            </w:r>
          </w:p>
        </w:tc>
      </w:tr>
      <w:tr w:rsidR="006E7298" w:rsidRPr="002E0F5A" w14:paraId="069E54E1"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2DE9D095"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lastRenderedPageBreak/>
              <w:t>Darba uzdevuma vadītājs</w:t>
            </w:r>
          </w:p>
        </w:tc>
        <w:tc>
          <w:tcPr>
            <w:tcW w:w="7501" w:type="dxa"/>
          </w:tcPr>
          <w:p w14:paraId="7DF3A217"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Iekšējais auditors, kas ir atbildīgs par iekšējā audita uzdevuma uzraudzību, kas var ietvert uzdevuma darba programmas, darba dokumentu, galīgās komunikācijas un nodrošina izpildes pārskatīšanu un apstiprināšanu, kā arī iekšējo auditoru apmācību un atbalsta sniegšanu. Galvenais darba uzdevuma vadītājs var būt darba uzraugs vai nosakot citu personu, kurai deleģēt šādus pienākumus.</w:t>
            </w:r>
          </w:p>
        </w:tc>
      </w:tr>
      <w:tr w:rsidR="006E7298" w:rsidRPr="002E0F5A" w14:paraId="3B950CAF"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032AED6B"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Darba uzdevums</w:t>
            </w:r>
          </w:p>
        </w:tc>
        <w:tc>
          <w:tcPr>
            <w:tcW w:w="7501" w:type="dxa"/>
          </w:tcPr>
          <w:p w14:paraId="20E2E5C2"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 xml:space="preserve">Precīzs iekšējā audita uzdevums vai projekts, kas ietver vairākus uzdevumus vai darbības, kas paredzētas noteiktu saistītu mērķu kopuma sasniegšanai. </w:t>
            </w:r>
          </w:p>
        </w:tc>
      </w:tr>
      <w:tr w:rsidR="006E7298" w:rsidRPr="002E0F5A" w14:paraId="5704859A"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601471CF"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Ētikas kodekss</w:t>
            </w:r>
          </w:p>
        </w:tc>
        <w:tc>
          <w:tcPr>
            <w:tcW w:w="7501" w:type="dxa"/>
          </w:tcPr>
          <w:p w14:paraId="0B5F030B"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Globālo iekšējā audita standartu ētikas un profesionalitātes jomas principi un standarti tiek uzskatīti par iekšējo auditoru ētikas kodeksu; šo principu un standartu ievērošana ir sinonīms profesionālās ētikas kodeksa ievērošanai.</w:t>
            </w:r>
          </w:p>
        </w:tc>
      </w:tr>
      <w:tr w:rsidR="006E7298" w:rsidRPr="002E0F5A" w14:paraId="02ED4F26"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63863F2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Ieinteresētā puse</w:t>
            </w:r>
          </w:p>
        </w:tc>
        <w:tc>
          <w:tcPr>
            <w:tcW w:w="7501" w:type="dxa"/>
          </w:tcPr>
          <w:p w14:paraId="3031D60C"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 xml:space="preserve">Puse, kurai ir tiešas vai netiešas intereses par pašvaldības darbību un rezultātiem un kura var ietekmēt pašvaldības/iestādes sniegumu. Pašvaldības ieinteresēto pušu piemēri ir tās darbinieki, pašvaldības iedzīvotāji. </w:t>
            </w:r>
          </w:p>
        </w:tc>
      </w:tr>
      <w:tr w:rsidR="006E7298" w:rsidRPr="002E0F5A" w14:paraId="2C39B2F2"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65020E8A"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nodaļa</w:t>
            </w:r>
          </w:p>
        </w:tc>
        <w:tc>
          <w:tcPr>
            <w:tcW w:w="7501" w:type="dxa"/>
          </w:tcPr>
          <w:p w14:paraId="1AF4A4A5" w14:textId="77777777" w:rsidR="006E7298" w:rsidRPr="002E0F5A" w:rsidRDefault="006E7298" w:rsidP="006E7298">
            <w:pPr>
              <w:pStyle w:val="BodyText"/>
              <w:spacing w:before="40" w:after="4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 xml:space="preserve">Pašvaldības struktūrvienība, kas ir atbildīga par pārliecības un konsultāciju </w:t>
            </w:r>
          </w:p>
          <w:p w14:paraId="365D169F"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pakalpojumu sniegšanu pašvaldībai.</w:t>
            </w:r>
          </w:p>
        </w:tc>
      </w:tr>
      <w:tr w:rsidR="006E7298" w:rsidRPr="002E0F5A" w14:paraId="2C82997B"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3C92B7F2"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nodaļas gada plāns</w:t>
            </w:r>
          </w:p>
        </w:tc>
        <w:tc>
          <w:tcPr>
            <w:tcW w:w="7501" w:type="dxa"/>
            <w:vAlign w:val="center"/>
          </w:tcPr>
          <w:p w14:paraId="63A78412"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 xml:space="preserve">Dokuments, ko izveidojis iekšējā audita nodaļas vadītājs un kas identificē darba uzdevumus un citus iekšējā audita pakalpojumus, kas tiks sniegti gada laikā. </w:t>
            </w:r>
          </w:p>
        </w:tc>
      </w:tr>
      <w:tr w:rsidR="006E7298" w:rsidRPr="002E0F5A" w14:paraId="55D5796C"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2946CF96"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nodaļas ilgtermiņa plāns</w:t>
            </w:r>
          </w:p>
        </w:tc>
        <w:tc>
          <w:tcPr>
            <w:tcW w:w="7501" w:type="dxa"/>
            <w:vAlign w:val="center"/>
          </w:tcPr>
          <w:p w14:paraId="1C968769"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Dokuments, ko izveidojis iekšējā audita nodaļas vadītājs un kas identificē darba uzdevumus un citus iekšējā audita pakalpojumus, kas tiks sniegti noteiktā laika periodā. Plānam jābūt dinamiskam, atspoguļojot savlaicīgu reakciju uz izmaiņām pašvaldības darbībā.</w:t>
            </w:r>
          </w:p>
        </w:tc>
      </w:tr>
      <w:tr w:rsidR="006E7298" w:rsidRPr="002E0F5A" w14:paraId="1B6CD58A"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799FF980"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nodaļas pilnvaras</w:t>
            </w:r>
          </w:p>
        </w:tc>
        <w:tc>
          <w:tcPr>
            <w:tcW w:w="7501" w:type="dxa"/>
          </w:tcPr>
          <w:p w14:paraId="09339877"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nodaļas funkciju pilnvaras, lomas un pienākumi.</w:t>
            </w:r>
          </w:p>
        </w:tc>
      </w:tr>
      <w:tr w:rsidR="006E7298" w:rsidRPr="002E0F5A" w14:paraId="3BE87F81" w14:textId="77777777" w:rsidTr="00924912">
        <w:trPr>
          <w:trHeight w:val="699"/>
        </w:trPr>
        <w:tc>
          <w:tcPr>
            <w:cnfStyle w:val="001000000000" w:firstRow="0" w:lastRow="0" w:firstColumn="1" w:lastColumn="0" w:oddVBand="0" w:evenVBand="0" w:oddHBand="0" w:evenHBand="0" w:firstRowFirstColumn="0" w:firstRowLastColumn="0" w:lastRowFirstColumn="0" w:lastRowLastColumn="0"/>
            <w:tcW w:w="1850" w:type="dxa"/>
          </w:tcPr>
          <w:p w14:paraId="3948CD79"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nodaļas vadītājs</w:t>
            </w:r>
          </w:p>
        </w:tc>
        <w:tc>
          <w:tcPr>
            <w:tcW w:w="7501" w:type="dxa"/>
          </w:tcPr>
          <w:p w14:paraId="38FF7998"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 xml:space="preserve">Vadītājs, kas ir atbildīgs par iekšējā audita nodaļas efektīvu pārvaldību un iekšējā audita pakalpojumu kvalitatīvas darbības nodrošināšanu. </w:t>
            </w:r>
          </w:p>
        </w:tc>
      </w:tr>
      <w:tr w:rsidR="006E7298" w:rsidRPr="002E0F5A" w14:paraId="389694DC"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6170560C"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pakalpojumu rezultāti</w:t>
            </w:r>
          </w:p>
        </w:tc>
        <w:tc>
          <w:tcPr>
            <w:tcW w:w="7501" w:type="dxa"/>
          </w:tcPr>
          <w:p w14:paraId="2DA1F090"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Rezultāti, piemēram, darba uzdevuma secinājumi un ieteikumi, kas</w:t>
            </w:r>
            <w:r w:rsidRPr="002E0F5A">
              <w:rPr>
                <w:rFonts w:ascii="Times New Roman" w:hAnsi="Times New Roman"/>
                <w:color w:val="000000"/>
                <w:sz w:val="24"/>
                <w:szCs w:val="32"/>
                <w:lang w:val="lv-LV"/>
              </w:rPr>
              <w:t xml:space="preserve"> sniedz priekšlikumus </w:t>
            </w:r>
            <w:r w:rsidRPr="002E0F5A">
              <w:rPr>
                <w:rFonts w:ascii="Times New Roman" w:eastAsia="Calibri" w:hAnsi="Times New Roman"/>
                <w:color w:val="000000"/>
                <w:sz w:val="24"/>
                <w:szCs w:val="32"/>
                <w:lang w:val="lv-LV"/>
              </w:rPr>
              <w:t xml:space="preserve">iekšējās kontroles sistēmas pilnveidošanai </w:t>
            </w:r>
          </w:p>
        </w:tc>
      </w:tr>
      <w:tr w:rsidR="006E7298" w:rsidRPr="002E0F5A" w14:paraId="31DAF138"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03D99FE1"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reglaments</w:t>
            </w:r>
          </w:p>
        </w:tc>
        <w:tc>
          <w:tcPr>
            <w:tcW w:w="7501" w:type="dxa"/>
          </w:tcPr>
          <w:p w14:paraId="4ED73A0D"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Formāls dokuments, kas nosaka iekšējā audita nodaļas funkcijas un pilnvaras.</w:t>
            </w:r>
          </w:p>
        </w:tc>
      </w:tr>
      <w:tr w:rsidR="006E7298" w:rsidRPr="002E0F5A" w14:paraId="333E16E7"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3764CBC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rokasgrāmata</w:t>
            </w:r>
          </w:p>
        </w:tc>
        <w:tc>
          <w:tcPr>
            <w:tcW w:w="7501" w:type="dxa"/>
          </w:tcPr>
          <w:p w14:paraId="30EA9AB6"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Metodoloģija, lai vadītu iekšējā audita nodaļas darbību un realizētu iekšējos auditus pašvaldībā.</w:t>
            </w:r>
          </w:p>
        </w:tc>
      </w:tr>
      <w:tr w:rsidR="006E7298" w:rsidRPr="002E0F5A" w14:paraId="7706AAD7"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70016D23"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Iekšējais audits</w:t>
            </w:r>
          </w:p>
        </w:tc>
        <w:tc>
          <w:tcPr>
            <w:tcW w:w="7501" w:type="dxa"/>
            <w:vAlign w:val="center"/>
          </w:tcPr>
          <w:p w14:paraId="01C4D406"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Neatkarīga, objektīva pārliecības radīšana un konsultēšana, lai palielinātu organizācijas vērtību un pilnveidotu tās darbības. Iekšējais audits palīdz organizācijai sasniegt tās mērķus, ieviešot sistemātisku, disciplinētu pieeju, lai novērtētu un pilnveidotu riska vadības, kontroles un pārvaldības procesu efektivitāti.</w:t>
            </w:r>
          </w:p>
        </w:tc>
      </w:tr>
      <w:tr w:rsidR="006E7298" w:rsidRPr="002E0F5A" w14:paraId="7A75141E"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55D4F0F1"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Iekšējās kontroles sistēma</w:t>
            </w:r>
          </w:p>
        </w:tc>
        <w:tc>
          <w:tcPr>
            <w:tcW w:w="7501" w:type="dxa"/>
            <w:vAlign w:val="center"/>
          </w:tcPr>
          <w:p w14:paraId="652C419D"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Risku vadības, kontroles un pārvaldības pasākumu kopums, kura uzdevums ir nodrošināt pašvaldības institūciju mērķu sasniegšanu, efektīvu darbību, aktīvu aizsardzību, pārskatu ticamību, darbības atbilstību tiesību aktiem, par to izveidošanu ir atbildīgs attiecīgi domes priekšsēdētājs vai izpilddirektors.</w:t>
            </w:r>
          </w:p>
          <w:p w14:paraId="6DDE0BBC"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lastRenderedPageBreak/>
              <w:t>Iekšējā kontrole ir process, ko veic pašvaldības institūciju vadība, kas paredzēts, lai sniegtu pamatotu pārliecību par mērķu sasniegšanu saistībā ar darbību, atskaitēm un atbilstību.</w:t>
            </w:r>
          </w:p>
        </w:tc>
      </w:tr>
      <w:tr w:rsidR="006E7298" w:rsidRPr="002E0F5A" w14:paraId="083A9FAD"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7891C79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lastRenderedPageBreak/>
              <w:t xml:space="preserve">Ietekme </w:t>
            </w:r>
          </w:p>
        </w:tc>
        <w:tc>
          <w:tcPr>
            <w:tcW w:w="7501" w:type="dxa"/>
          </w:tcPr>
          <w:p w14:paraId="0BA30670"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Risks, kas radās, jo nosacījums atšķiras no kritērijiem.</w:t>
            </w:r>
          </w:p>
        </w:tc>
      </w:tr>
      <w:tr w:rsidR="006E7298" w:rsidRPr="002E0F5A" w14:paraId="3F258209"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4C0C7109"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Ieviešanas apsvērumi</w:t>
            </w:r>
          </w:p>
        </w:tc>
        <w:tc>
          <w:tcPr>
            <w:tcW w:w="7501" w:type="dxa"/>
          </w:tcPr>
          <w:p w14:paraId="14594129"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Globālo iekšējā audita standartu sadaļa, kas nodrošina kopīgu un vēlamu praksi katra standarta prasību ieviešanai.</w:t>
            </w:r>
          </w:p>
        </w:tc>
      </w:tr>
      <w:tr w:rsidR="006E7298" w:rsidRPr="002E0F5A" w14:paraId="3448B0B9"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1CFA5954"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Integritāte</w:t>
            </w:r>
          </w:p>
        </w:tc>
        <w:tc>
          <w:tcPr>
            <w:tcW w:w="7501" w:type="dxa"/>
          </w:tcPr>
          <w:p w14:paraId="4B41BEFC"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Integritāte ietver godīgu rīcību, patiesumu un drosmi rīkoties atbilstoši, pat ja saskaras ar spiedienu rīkoties citādi vai ja tas var radīt potenciālas nelabvēlīgas personiskas vai organizatoriskas sekas.</w:t>
            </w:r>
          </w:p>
        </w:tc>
      </w:tr>
      <w:tr w:rsidR="006E7298" w:rsidRPr="002E0F5A" w14:paraId="34E688A1" w14:textId="77777777" w:rsidTr="0092491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63B0879D"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Interešu  konflikts</w:t>
            </w:r>
          </w:p>
        </w:tc>
        <w:tc>
          <w:tcPr>
            <w:tcW w:w="7501" w:type="dxa"/>
            <w:vAlign w:val="center"/>
          </w:tcPr>
          <w:p w14:paraId="064F8D25"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Situācija, darbība vai attiecības, kas var ietekmēt vai šķietami iespaido iekšējo auditoru, lai viņš pieņemtu profesionālus spriedumus vai veiktu darbības, kas nav pašvaldības interesēs.</w:t>
            </w:r>
          </w:p>
        </w:tc>
      </w:tr>
      <w:tr w:rsidR="006E7298" w:rsidRPr="002E0F5A" w14:paraId="26880869" w14:textId="77777777" w:rsidTr="00924912">
        <w:trPr>
          <w:trHeight w:val="70"/>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0B144735"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Kompetence</w:t>
            </w:r>
          </w:p>
        </w:tc>
        <w:tc>
          <w:tcPr>
            <w:tcW w:w="7501" w:type="dxa"/>
            <w:vAlign w:val="center"/>
          </w:tcPr>
          <w:p w14:paraId="23FC7101"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Zināšanas, prasmes un iemaņas.</w:t>
            </w:r>
          </w:p>
        </w:tc>
      </w:tr>
      <w:tr w:rsidR="006E7298" w:rsidRPr="002E0F5A" w14:paraId="5FEE10A3" w14:textId="77777777" w:rsidTr="0092491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4BB75DD7"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Konstatējums</w:t>
            </w:r>
          </w:p>
        </w:tc>
        <w:tc>
          <w:tcPr>
            <w:tcW w:w="7501" w:type="dxa"/>
            <w:vAlign w:val="center"/>
          </w:tcPr>
          <w:p w14:paraId="5497D5B3"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Darba uzdevumā konstatācija, ka pārskatāmajā darbībā pastāv nozīmīgs risks, pamatojoties uz atšķirību starp vērtēšanas kritērijiem un darbības stāvokli. Piemēram, kļūdas, pārkāpumi, nelikumīgas darbības vai iespējamās iespējas uzlabot efektivitāti.</w:t>
            </w:r>
          </w:p>
        </w:tc>
      </w:tr>
      <w:tr w:rsidR="006E7298" w:rsidRPr="002E0F5A" w14:paraId="00AA8871"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4B012A89"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Konsultācija, konsultatīvie pakalpojumi</w:t>
            </w:r>
          </w:p>
        </w:tc>
        <w:tc>
          <w:tcPr>
            <w:tcW w:w="7501" w:type="dxa"/>
            <w:vAlign w:val="center"/>
          </w:tcPr>
          <w:p w14:paraId="06C9A423"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Padomu sniegšanas pakalpojums, kura mērķis ir pilnveidot iekšējās kontroles sistēmu un kura būtību un apjomu ir noteicis domes priekšsēdētājs, izpilddirektors vai pašvaldības institūcijas vadītājs.</w:t>
            </w:r>
          </w:p>
        </w:tc>
      </w:tr>
      <w:tr w:rsidR="006E7298" w:rsidRPr="002E0F5A" w14:paraId="5BAC9424"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2941139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Kontrole</w:t>
            </w:r>
          </w:p>
        </w:tc>
        <w:tc>
          <w:tcPr>
            <w:tcW w:w="7501" w:type="dxa"/>
          </w:tcPr>
          <w:p w14:paraId="40997F11"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Jebkura darbība, ko veic pašvaldību institūciju vadība un darbinieki, lai pārvaldītu risku un palielinātu iespēju, ka tiks sasniegti noteiktie pašvaldības mērķi.</w:t>
            </w:r>
          </w:p>
        </w:tc>
      </w:tr>
      <w:tr w:rsidR="006E7298" w:rsidRPr="002E0F5A" w14:paraId="7C8459D7"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06BC0CE3"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Kontroles procesi</w:t>
            </w:r>
          </w:p>
        </w:tc>
        <w:tc>
          <w:tcPr>
            <w:tcW w:w="7501" w:type="dxa"/>
          </w:tcPr>
          <w:p w14:paraId="774711D7"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Politikas, procedūras un darbības, kas izstrādātas un izmantotas, lai pārvaldītu riskus, lai tie atbilstu pašvaldības riska tolerances līmenim.</w:t>
            </w:r>
          </w:p>
        </w:tc>
      </w:tr>
      <w:tr w:rsidR="006E7298" w:rsidRPr="002E0F5A" w14:paraId="4BF9B2D9"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7C778D4E"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Krāpšana</w:t>
            </w:r>
          </w:p>
        </w:tc>
        <w:tc>
          <w:tcPr>
            <w:tcW w:w="7501" w:type="dxa"/>
          </w:tcPr>
          <w:p w14:paraId="1174E173"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Jebkura darbība, ko raksturo maldināšana, slēpšana vai uzticības pārkāpšana, ko veic personas vai organizācijas, lai nodrošinātu personisku vai biznesa labumu.</w:t>
            </w:r>
          </w:p>
        </w:tc>
      </w:tr>
      <w:tr w:rsidR="006E7298" w:rsidRPr="002E0F5A" w14:paraId="086EF2B8"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454EFFE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Kritēriji</w:t>
            </w:r>
          </w:p>
        </w:tc>
        <w:tc>
          <w:tcPr>
            <w:tcW w:w="7501" w:type="dxa"/>
          </w:tcPr>
          <w:p w14:paraId="02BC2F4B"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Pārskatāmās darbības vēlamā stāvokļa izmērāmas vērtības (sauktas arī par “vērtēšanas kritērijiem”).</w:t>
            </w:r>
          </w:p>
        </w:tc>
      </w:tr>
      <w:tr w:rsidR="006E7298" w:rsidRPr="002E0F5A" w14:paraId="0F82D483"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23621F3E"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Kvalitātes nodrošināšanas un uzlabošanas programma</w:t>
            </w:r>
          </w:p>
        </w:tc>
        <w:tc>
          <w:tcPr>
            <w:tcW w:w="7501" w:type="dxa"/>
          </w:tcPr>
          <w:p w14:paraId="06553FF2"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Programma, ko izveidojis IAN vadītājs, lai novērtētu un nodrošinātu IAN darbības atbilstību Standartiem, nodrošinot darbības mērķu sasniegšanu un nepārtrauktu uzlabojumu veikšanu. Programma ietver iekšējo un ārējo novērtējumu.</w:t>
            </w:r>
          </w:p>
        </w:tc>
      </w:tr>
      <w:tr w:rsidR="006E7298" w:rsidRPr="002E0F5A" w14:paraId="4BDF07A3"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291F5A27"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Neatkarība</w:t>
            </w:r>
          </w:p>
        </w:tc>
        <w:tc>
          <w:tcPr>
            <w:tcW w:w="7501" w:type="dxa"/>
          </w:tcPr>
          <w:p w14:paraId="32D260F9"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Brīvība no apstākļiem, kas var kavēt iekšējā audita funkcijai objektīvi veikt iekšējā audita pienākumus.</w:t>
            </w:r>
          </w:p>
        </w:tc>
      </w:tr>
      <w:tr w:rsidR="006E7298" w:rsidRPr="002E0F5A" w14:paraId="69241FD2"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4634CBDF"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Nozīmīgums</w:t>
            </w:r>
          </w:p>
        </w:tc>
        <w:tc>
          <w:tcPr>
            <w:tcW w:w="7501" w:type="dxa"/>
          </w:tcPr>
          <w:p w14:paraId="727E0F76"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Jautājuma relatīvā nozīme kontekstā, kurā tas tiek izskatīts, tostarp tiek ņemti vērā kvantitatīvie un kvalitatīvie faktori, piemēram, apjoms, raksturs, ietekme, atbilstība un ietekme. Profesionāls spriedums palīdz iekšējiem auditoriem attiecīgu mērķu kontekstā izvērtēt lietu nozīmīgumu.</w:t>
            </w:r>
          </w:p>
        </w:tc>
      </w:tr>
      <w:tr w:rsidR="006E7298" w:rsidRPr="002E0F5A" w14:paraId="16AAF9C3"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29E5A22B"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Objektivitāte</w:t>
            </w:r>
          </w:p>
        </w:tc>
        <w:tc>
          <w:tcPr>
            <w:tcW w:w="7501" w:type="dxa"/>
          </w:tcPr>
          <w:p w14:paraId="698B0E28"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Objektīva attieksme, kas ļauj iekšējiem auditoriem pieņemt profesionālus spriedumus, pildīt savus pienākumus un bez kompromisiem sasniegt iekšējā audita mērķi.</w:t>
            </w:r>
          </w:p>
        </w:tc>
      </w:tr>
      <w:tr w:rsidR="006E7298" w:rsidRPr="002E0F5A" w14:paraId="335ABA47"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383C7087"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Pamatcēlonis</w:t>
            </w:r>
          </w:p>
        </w:tc>
        <w:tc>
          <w:tcPr>
            <w:tcW w:w="7501" w:type="dxa"/>
          </w:tcPr>
          <w:p w14:paraId="01B5B7D9"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Galvenā problēma vai galvenais iemesls atšķirībai starp kritērijiem un pārskatāmās darbības nosacījumu.</w:t>
            </w:r>
          </w:p>
        </w:tc>
      </w:tr>
      <w:tr w:rsidR="006E7298" w:rsidRPr="002E0F5A" w14:paraId="67510F4C"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3AA90359"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lastRenderedPageBreak/>
              <w:t>Pārliecība</w:t>
            </w:r>
          </w:p>
        </w:tc>
        <w:tc>
          <w:tcPr>
            <w:tcW w:w="7501" w:type="dxa"/>
          </w:tcPr>
          <w:p w14:paraId="00F237BD"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Paziņojums, kas paredzēts, lai sniegtu pārliecību par nosacījumiem salīdzinājumā ar kritērijiem.</w:t>
            </w:r>
          </w:p>
        </w:tc>
      </w:tr>
      <w:tr w:rsidR="006E7298" w:rsidRPr="002E0F5A" w14:paraId="288D9BD2"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2BC4B4F2"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Pārliecības sniegšanas pakalpojumi</w:t>
            </w:r>
          </w:p>
        </w:tc>
        <w:tc>
          <w:tcPr>
            <w:tcW w:w="7501" w:type="dxa"/>
          </w:tcPr>
          <w:p w14:paraId="345E8128"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Pakalpojumi, ar kuru palīdzību iekšējie auditori veic objektīvu analīzi, lai sniegtu vērtējumu par nosacījumiem salīdzinājumā ar noteiktajiem kritērijiem. Šādi novērtējumi tiek paredzēti, lai ieinteresētajām personām sniegtu pārliecību par pašvaldības pārvaldību, riska pārvaldību un kontroles procesiem. Pārliecības sniegšanas pakalpojumu piemēri ietver finanšu, darbības, atbilstības un tehnoloģiju procesu izvērtējumu.</w:t>
            </w:r>
          </w:p>
        </w:tc>
      </w:tr>
      <w:tr w:rsidR="006E7298" w:rsidRPr="002E0F5A" w14:paraId="634A294F"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5B9F9B48"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Pārskatāmā darbība</w:t>
            </w:r>
          </w:p>
        </w:tc>
        <w:tc>
          <w:tcPr>
            <w:tcW w:w="7501" w:type="dxa"/>
          </w:tcPr>
          <w:p w14:paraId="15150AC0"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Iekšējā audita uzdevuma priekšmets. Piemēri ietver struktūrvienību, darbību, funkciju, procesu vai sistēmu.</w:t>
            </w:r>
          </w:p>
        </w:tc>
      </w:tr>
      <w:tr w:rsidR="006E7298" w:rsidRPr="002E0F5A" w14:paraId="40BDF9DA"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2F1FB96E"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Pārvaldība</w:t>
            </w:r>
          </w:p>
        </w:tc>
        <w:tc>
          <w:tcPr>
            <w:tcW w:w="7501" w:type="dxa"/>
          </w:tcPr>
          <w:p w14:paraId="6F1982DB"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Procesu un struktūru kombinācija, ko ieviesusi pašvaldības institūciju vadība, lai informētu, vadītu un uzraudzītu pašvaldības institūcijas darbības tās mērķu sasniegšanai.</w:t>
            </w:r>
          </w:p>
        </w:tc>
      </w:tr>
      <w:tr w:rsidR="006E7298" w:rsidRPr="002E0F5A" w14:paraId="548DEDF2"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5327086B"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Principi</w:t>
            </w:r>
          </w:p>
        </w:tc>
        <w:tc>
          <w:tcPr>
            <w:tcW w:w="7501" w:type="dxa"/>
          </w:tcPr>
          <w:p w14:paraId="1B7AE41D"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Paziņojumi, kas apraksta iekšējā audita būtiskos elementus un kalpo par globālo iekšējā audita standartu pamatu.</w:t>
            </w:r>
          </w:p>
        </w:tc>
      </w:tr>
      <w:tr w:rsidR="006E7298" w:rsidRPr="002E0F5A" w14:paraId="7FE0395F"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63EE4CB5"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Riska ietekme</w:t>
            </w:r>
          </w:p>
        </w:tc>
        <w:tc>
          <w:tcPr>
            <w:tcW w:w="7501" w:type="dxa"/>
            <w:vAlign w:val="center"/>
          </w:tcPr>
          <w:p w14:paraId="480195E4"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 xml:space="preserve">Ar risku var būt saistītas dažādas iespējamās ietekmes. Riska ietekme var būt pozitīva vai negatīva attiecībā pret pašvaldības stratēģiju vai mērķiem. </w:t>
            </w:r>
          </w:p>
        </w:tc>
      </w:tr>
      <w:tr w:rsidR="006E7298" w:rsidRPr="002E0F5A" w14:paraId="6655D523"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5805E0C7"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Riska novērtējums</w:t>
            </w:r>
          </w:p>
        </w:tc>
        <w:tc>
          <w:tcPr>
            <w:tcW w:w="7501" w:type="dxa"/>
          </w:tcPr>
          <w:p w14:paraId="748D2874"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Tādu risku identificēšana un analīze, kas ir saistīti ar organizācijas mērķu sasniegšanu. Risku nozīmīgumu parasti novērtē, ņemot vērā ietekmi un iespējamību.</w:t>
            </w:r>
          </w:p>
        </w:tc>
      </w:tr>
      <w:tr w:rsidR="006E7298" w:rsidRPr="002E0F5A" w14:paraId="161AE5F0"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05DE883E"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Riska pārvaldība</w:t>
            </w:r>
          </w:p>
        </w:tc>
        <w:tc>
          <w:tcPr>
            <w:tcW w:w="7501" w:type="dxa"/>
          </w:tcPr>
          <w:p w14:paraId="451D74E9"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Process, lai novērtētu, pārvaldītu un kontrolētu potenciālos notikumus vai situācijas, lai sniegtu pamatotu pārliecību par pašvaldības mērķu sasniegšanu.</w:t>
            </w:r>
          </w:p>
        </w:tc>
      </w:tr>
      <w:tr w:rsidR="006E7298" w:rsidRPr="002E0F5A" w14:paraId="4865FF21"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20F3F31E"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Riska un kontroles matrica</w:t>
            </w:r>
          </w:p>
        </w:tc>
        <w:tc>
          <w:tcPr>
            <w:tcW w:w="7501" w:type="dxa"/>
          </w:tcPr>
          <w:p w14:paraId="49C291F3"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Rīks, kas palīdz iekšējā audita veikšanā. Tas sasaista pašvaldības mērķus, riskus, kontroles procesus un citu informāciju, lai atbalstītu iekšējā audita realizācijas procesu.</w:t>
            </w:r>
          </w:p>
        </w:tc>
      </w:tr>
      <w:tr w:rsidR="006E7298" w:rsidRPr="002E0F5A" w14:paraId="7102F71A"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0BF96564"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Risks</w:t>
            </w:r>
          </w:p>
        </w:tc>
        <w:tc>
          <w:tcPr>
            <w:tcW w:w="7501" w:type="dxa"/>
          </w:tcPr>
          <w:p w14:paraId="79B35CFB"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Iespēja, ka notikumi risināsies un ietekmēs pašvaldības stratēģijas un mērķu sasniegšanu.</w:t>
            </w:r>
          </w:p>
        </w:tc>
      </w:tr>
      <w:tr w:rsidR="00132CE6" w:rsidRPr="002E0F5A" w14:paraId="63B4BB29"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359819E0" w14:textId="7814050E" w:rsidR="00132CE6" w:rsidRPr="002E0F5A" w:rsidRDefault="00132CE6"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Rūpība</w:t>
            </w:r>
          </w:p>
        </w:tc>
        <w:tc>
          <w:tcPr>
            <w:tcW w:w="7501" w:type="dxa"/>
          </w:tcPr>
          <w:p w14:paraId="2725798C" w14:textId="160A3E3F" w:rsidR="00132CE6" w:rsidRPr="002E0F5A" w:rsidRDefault="00C10A4F"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Uzmanīgi un kārtīgi.</w:t>
            </w:r>
          </w:p>
        </w:tc>
      </w:tr>
      <w:tr w:rsidR="006E7298" w:rsidRPr="002E0F5A" w14:paraId="706E5780" w14:textId="77777777" w:rsidTr="0092491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50" w:type="dxa"/>
          </w:tcPr>
          <w:p w14:paraId="19CE8C45"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Standarts</w:t>
            </w:r>
          </w:p>
        </w:tc>
        <w:tc>
          <w:tcPr>
            <w:tcW w:w="7501" w:type="dxa"/>
          </w:tcPr>
          <w:p w14:paraId="23E7F53B" w14:textId="77777777" w:rsidR="006E7298" w:rsidRPr="002E0F5A" w:rsidRDefault="006E7298" w:rsidP="006E7298">
            <w:pPr>
              <w:pStyle w:val="BodyT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Profesionāls paziņojums, ko izsludinājusi Starptautiskā iekšējā audita standartu padome un kurā ir norādītas:</w:t>
            </w:r>
          </w:p>
          <w:p w14:paraId="14B79AD3" w14:textId="77777777" w:rsidR="006E7298" w:rsidRPr="002E0F5A" w:rsidRDefault="006E7298" w:rsidP="006E7298">
            <w:pPr>
              <w:pStyle w:val="BodyText"/>
              <w:numPr>
                <w:ilvl w:val="0"/>
                <w:numId w:val="3"/>
              </w:num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prasības iekšējā audita profesionālajai praksei;</w:t>
            </w:r>
          </w:p>
          <w:p w14:paraId="62BB4194" w14:textId="77777777" w:rsidR="006E7298" w:rsidRPr="002E0F5A" w:rsidRDefault="006E7298" w:rsidP="006E7298">
            <w:pPr>
              <w:pStyle w:val="BodyText"/>
              <w:numPr>
                <w:ilvl w:val="0"/>
                <w:numId w:val="3"/>
              </w:num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ieviešanas apsvērumi;</w:t>
            </w:r>
          </w:p>
          <w:p w14:paraId="44CFBC0F" w14:textId="77777777" w:rsidR="006E7298" w:rsidRPr="002E0F5A" w:rsidRDefault="006E7298" w:rsidP="006E7298">
            <w:pPr>
              <w:pStyle w:val="BodyText"/>
              <w:numPr>
                <w:ilvl w:val="0"/>
                <w:numId w:val="3"/>
              </w:num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apsvērumi, lai pierādītu atbilstību.</w:t>
            </w:r>
          </w:p>
        </w:tc>
      </w:tr>
      <w:tr w:rsidR="006E7298" w:rsidRPr="002E0F5A" w14:paraId="5CA1207A" w14:textId="77777777" w:rsidTr="00924912">
        <w:trPr>
          <w:trHeight w:val="85"/>
        </w:trPr>
        <w:tc>
          <w:tcPr>
            <w:cnfStyle w:val="001000000000" w:firstRow="0" w:lastRow="0" w:firstColumn="1" w:lastColumn="0" w:oddVBand="0" w:evenVBand="0" w:oddHBand="0" w:evenHBand="0" w:firstRowFirstColumn="0" w:firstRowLastColumn="0" w:lastRowFirstColumn="0" w:lastRowLastColumn="0"/>
            <w:tcW w:w="1850" w:type="dxa"/>
          </w:tcPr>
          <w:p w14:paraId="541FB15A" w14:textId="77777777" w:rsidR="006E7298" w:rsidRPr="002E0F5A" w:rsidRDefault="006E7298" w:rsidP="006E7298">
            <w:pPr>
              <w:pStyle w:val="BodyText"/>
              <w:spacing w:before="40" w:after="4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Stāvoklis </w:t>
            </w:r>
          </w:p>
        </w:tc>
        <w:tc>
          <w:tcPr>
            <w:tcW w:w="7501" w:type="dxa"/>
          </w:tcPr>
          <w:p w14:paraId="5EE39A3E" w14:textId="77777777" w:rsidR="006E7298" w:rsidRPr="002E0F5A" w:rsidRDefault="006E7298" w:rsidP="006E7298">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sz w:val="24"/>
                <w:szCs w:val="32"/>
                <w:lang w:val="lv-LV"/>
              </w:rPr>
            </w:pPr>
            <w:r w:rsidRPr="002E0F5A">
              <w:rPr>
                <w:rFonts w:ascii="Times New Roman" w:eastAsia="Calibri" w:hAnsi="Times New Roman"/>
                <w:color w:val="000000"/>
                <w:sz w:val="24"/>
                <w:szCs w:val="32"/>
                <w:lang w:val="lv-LV"/>
              </w:rPr>
              <w:t>Pārskatāmās darbības esošais stāvoklis.</w:t>
            </w:r>
          </w:p>
        </w:tc>
      </w:tr>
    </w:tbl>
    <w:p w14:paraId="234FD358" w14:textId="77777777" w:rsidR="004D0D42" w:rsidRPr="002E0F5A" w:rsidRDefault="004D0D42" w:rsidP="004D0D42">
      <w:pPr>
        <w:pStyle w:val="BodyText"/>
        <w:rPr>
          <w:rFonts w:ascii="Times New Roman" w:hAnsi="Times New Roman"/>
          <w:sz w:val="24"/>
          <w:szCs w:val="32"/>
          <w:lang w:val="lv-LV"/>
        </w:rPr>
      </w:pPr>
    </w:p>
    <w:p w14:paraId="44763FAD" w14:textId="77777777" w:rsidR="00835668" w:rsidRPr="004D0D42" w:rsidRDefault="00835668" w:rsidP="004D0D42"/>
    <w:sectPr w:rsidR="00835668" w:rsidRPr="004D0D42" w:rsidSect="004D0D42">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8D8B4" w14:textId="77777777" w:rsidR="001A1BED" w:rsidRDefault="001A1BED" w:rsidP="004D0D42">
      <w:pPr>
        <w:spacing w:after="0"/>
      </w:pPr>
      <w:r>
        <w:separator/>
      </w:r>
    </w:p>
  </w:endnote>
  <w:endnote w:type="continuationSeparator" w:id="0">
    <w:p w14:paraId="0EE3E510" w14:textId="77777777" w:rsidR="001A1BED" w:rsidRDefault="001A1BED" w:rsidP="004D0D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B892" w14:textId="77777777" w:rsidR="001C3F03" w:rsidRDefault="001C3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34C19" w14:textId="77777777" w:rsidR="001C3F03" w:rsidRDefault="001C3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4708" w14:textId="77777777" w:rsidR="001C3F03" w:rsidRDefault="001C3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2AF81" w14:textId="77777777" w:rsidR="001A1BED" w:rsidRDefault="001A1BED" w:rsidP="004D0D42">
      <w:pPr>
        <w:spacing w:after="0"/>
      </w:pPr>
      <w:r>
        <w:separator/>
      </w:r>
    </w:p>
  </w:footnote>
  <w:footnote w:type="continuationSeparator" w:id="0">
    <w:p w14:paraId="6C60ADF4" w14:textId="77777777" w:rsidR="001A1BED" w:rsidRDefault="001A1BED" w:rsidP="004D0D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C6CAA" w14:textId="77777777" w:rsidR="001C3F03" w:rsidRDefault="001C3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570C4" w14:textId="2B1EFB31" w:rsidR="001C3F03" w:rsidRDefault="001C3F03" w:rsidP="0039402C">
    <w:pPr>
      <w:pStyle w:val="Header"/>
      <w:jc w:val="right"/>
      <w:rPr>
        <w:rFonts w:ascii="Times New Roman" w:hAnsi="Times New Roman" w:cs="Times New Roman"/>
        <w:i/>
        <w:iCs/>
        <w:color w:val="000000"/>
        <w:sz w:val="24"/>
        <w:szCs w:val="28"/>
      </w:rPr>
    </w:pPr>
    <w:r>
      <w:rPr>
        <w:rFonts w:asciiTheme="majorBidi" w:hAnsiTheme="majorBidi" w:cstheme="majorBidi"/>
        <w:i/>
        <w:iCs/>
        <w:color w:val="auto"/>
      </w:rPr>
      <w:t xml:space="preserve">Rokasgrāmata 2024: (II) </w:t>
    </w:r>
    <w:r>
      <w:rPr>
        <w:rFonts w:ascii="Times New Roman" w:hAnsi="Times New Roman"/>
        <w:i/>
        <w:iCs/>
        <w:color w:val="000000"/>
      </w:rPr>
      <w:t>Pašvaldību iekšējais audits</w:t>
    </w:r>
  </w:p>
  <w:p w14:paraId="09D3C76C" w14:textId="38B22941" w:rsidR="0039402C" w:rsidRPr="002E0F5A" w:rsidRDefault="0039402C" w:rsidP="0039402C">
    <w:pPr>
      <w:pStyle w:val="Header"/>
      <w:jc w:val="right"/>
      <w:rPr>
        <w:rFonts w:ascii="Times New Roman" w:hAnsi="Times New Roman" w:cs="Times New Roman"/>
        <w:i/>
        <w:iCs/>
        <w:color w:val="000000"/>
        <w:sz w:val="24"/>
        <w:szCs w:val="28"/>
      </w:rPr>
    </w:pPr>
    <w:r w:rsidRPr="002E0F5A">
      <w:rPr>
        <w:rFonts w:ascii="Times New Roman" w:hAnsi="Times New Roman" w:cs="Times New Roman"/>
        <w:i/>
        <w:iCs/>
        <w:color w:val="000000"/>
        <w:sz w:val="24"/>
        <w:szCs w:val="28"/>
      </w:rPr>
      <w:t>RG2_P1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3BD1" w14:textId="77777777" w:rsidR="001C3F03" w:rsidRDefault="001C3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D6336"/>
    <w:multiLevelType w:val="hybridMultilevel"/>
    <w:tmpl w:val="9F54D0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5D51B14"/>
    <w:multiLevelType w:val="multilevel"/>
    <w:tmpl w:val="33049010"/>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81A59FF"/>
    <w:multiLevelType w:val="hybridMultilevel"/>
    <w:tmpl w:val="C910E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74103221">
    <w:abstractNumId w:val="1"/>
  </w:num>
  <w:num w:numId="2" w16cid:durableId="1360467381">
    <w:abstractNumId w:val="0"/>
  </w:num>
  <w:num w:numId="3" w16cid:durableId="189230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42"/>
    <w:rsid w:val="00000CAE"/>
    <w:rsid w:val="00037B7B"/>
    <w:rsid w:val="00097F98"/>
    <w:rsid w:val="000F57D8"/>
    <w:rsid w:val="00132CE6"/>
    <w:rsid w:val="001A1BED"/>
    <w:rsid w:val="001C3F03"/>
    <w:rsid w:val="001E0A2D"/>
    <w:rsid w:val="001F48B7"/>
    <w:rsid w:val="00231F3B"/>
    <w:rsid w:val="00241CEA"/>
    <w:rsid w:val="00272250"/>
    <w:rsid w:val="002729C9"/>
    <w:rsid w:val="00275E34"/>
    <w:rsid w:val="00290DD5"/>
    <w:rsid w:val="002E0F5A"/>
    <w:rsid w:val="002F594D"/>
    <w:rsid w:val="003140BA"/>
    <w:rsid w:val="00356D18"/>
    <w:rsid w:val="00386388"/>
    <w:rsid w:val="00393C5B"/>
    <w:rsid w:val="0039402C"/>
    <w:rsid w:val="003A7124"/>
    <w:rsid w:val="003E1C13"/>
    <w:rsid w:val="0040455E"/>
    <w:rsid w:val="004B4C2E"/>
    <w:rsid w:val="004C2EF3"/>
    <w:rsid w:val="004C2F45"/>
    <w:rsid w:val="004D0D42"/>
    <w:rsid w:val="0055392E"/>
    <w:rsid w:val="0056444C"/>
    <w:rsid w:val="00584090"/>
    <w:rsid w:val="00592D67"/>
    <w:rsid w:val="00647714"/>
    <w:rsid w:val="00681353"/>
    <w:rsid w:val="006910B8"/>
    <w:rsid w:val="006E7298"/>
    <w:rsid w:val="006F729A"/>
    <w:rsid w:val="00742EC5"/>
    <w:rsid w:val="00753BA9"/>
    <w:rsid w:val="00791217"/>
    <w:rsid w:val="007A0AD1"/>
    <w:rsid w:val="00812B29"/>
    <w:rsid w:val="00812CEB"/>
    <w:rsid w:val="00835668"/>
    <w:rsid w:val="00860241"/>
    <w:rsid w:val="008B7864"/>
    <w:rsid w:val="008C7C87"/>
    <w:rsid w:val="008D4351"/>
    <w:rsid w:val="008D74ED"/>
    <w:rsid w:val="008F2007"/>
    <w:rsid w:val="00922C2F"/>
    <w:rsid w:val="00924912"/>
    <w:rsid w:val="009B7A20"/>
    <w:rsid w:val="00A47482"/>
    <w:rsid w:val="00A53E4D"/>
    <w:rsid w:val="00A91BC3"/>
    <w:rsid w:val="00AC3D11"/>
    <w:rsid w:val="00AF364B"/>
    <w:rsid w:val="00B230AA"/>
    <w:rsid w:val="00B52578"/>
    <w:rsid w:val="00B83C91"/>
    <w:rsid w:val="00BA404A"/>
    <w:rsid w:val="00BE6CE1"/>
    <w:rsid w:val="00C10A4F"/>
    <w:rsid w:val="00C31FA0"/>
    <w:rsid w:val="00C33871"/>
    <w:rsid w:val="00C80372"/>
    <w:rsid w:val="00C80BD6"/>
    <w:rsid w:val="00D836A1"/>
    <w:rsid w:val="00DB3923"/>
    <w:rsid w:val="00E31BC6"/>
    <w:rsid w:val="00E3704D"/>
    <w:rsid w:val="00ED58E5"/>
    <w:rsid w:val="00EF5E4E"/>
    <w:rsid w:val="00F15421"/>
    <w:rsid w:val="00F51290"/>
    <w:rsid w:val="00F65E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968E"/>
  <w15:chartTrackingRefBased/>
  <w15:docId w15:val="{69015B49-ACDF-48F8-846B-2D45C548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4D0D42"/>
    <w:pPr>
      <w:spacing w:after="240" w:line="240" w:lineRule="auto"/>
    </w:pPr>
    <w:rPr>
      <w:rFonts w:ascii="Arial" w:hAnsi="Arial"/>
      <w:color w:val="5E6175"/>
      <w:kern w:val="0"/>
      <w:sz w:val="20"/>
      <w14:ligatures w14:val="none"/>
    </w:rPr>
  </w:style>
  <w:style w:type="paragraph" w:styleId="Heading1">
    <w:name w:val="heading 1"/>
    <w:basedOn w:val="Normal"/>
    <w:next w:val="BodyText"/>
    <w:link w:val="Heading1Char"/>
    <w:uiPriority w:val="9"/>
    <w:qFormat/>
    <w:rsid w:val="004D0D42"/>
    <w:pPr>
      <w:keepNext/>
      <w:keepLines/>
      <w:numPr>
        <w:numId w:val="1"/>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4D0D42"/>
    <w:pPr>
      <w:keepNext/>
      <w:keepLines/>
      <w:numPr>
        <w:ilvl w:val="1"/>
        <w:numId w:val="1"/>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4D0D42"/>
    <w:pPr>
      <w:keepNext/>
      <w:keepLines/>
      <w:numPr>
        <w:ilvl w:val="2"/>
        <w:numId w:val="1"/>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42"/>
    <w:rPr>
      <w:rFonts w:ascii="Arial" w:eastAsiaTheme="majorEastAsia" w:hAnsi="Arial" w:cstheme="majorBidi"/>
      <w:b/>
      <w:caps/>
      <w:color w:val="2F5496"/>
      <w:kern w:val="0"/>
      <w:sz w:val="28"/>
      <w:szCs w:val="32"/>
      <w14:ligatures w14:val="none"/>
    </w:rPr>
  </w:style>
  <w:style w:type="character" w:customStyle="1" w:styleId="Heading2Char">
    <w:name w:val="Heading 2 Char"/>
    <w:basedOn w:val="DefaultParagraphFont"/>
    <w:link w:val="Heading2"/>
    <w:uiPriority w:val="9"/>
    <w:rsid w:val="004D0D42"/>
    <w:rPr>
      <w:rFonts w:ascii="Arial" w:eastAsiaTheme="majorEastAsia" w:hAnsi="Arial" w:cstheme="majorBidi"/>
      <w:b/>
      <w:color w:val="2F5496"/>
      <w:kern w:val="0"/>
      <w:sz w:val="24"/>
      <w:szCs w:val="26"/>
      <w14:ligatures w14:val="none"/>
    </w:rPr>
  </w:style>
  <w:style w:type="character" w:customStyle="1" w:styleId="Heading3Char">
    <w:name w:val="Heading 3 Char"/>
    <w:basedOn w:val="DefaultParagraphFont"/>
    <w:link w:val="Heading3"/>
    <w:uiPriority w:val="9"/>
    <w:rsid w:val="004D0D42"/>
    <w:rPr>
      <w:rFonts w:ascii="Arial" w:eastAsiaTheme="majorEastAsia" w:hAnsi="Arial" w:cstheme="majorBidi"/>
      <w:b/>
      <w:color w:val="2F5496"/>
      <w:kern w:val="0"/>
      <w:sz w:val="20"/>
      <w:szCs w:val="24"/>
      <w14:ligatures w14:val="none"/>
    </w:rPr>
  </w:style>
  <w:style w:type="paragraph" w:styleId="BodyText">
    <w:name w:val="Body Text"/>
    <w:basedOn w:val="Normal"/>
    <w:link w:val="BodyTextChar"/>
    <w:qFormat/>
    <w:rsid w:val="004D0D42"/>
    <w:pPr>
      <w:spacing w:after="120"/>
      <w:jc w:val="both"/>
    </w:pPr>
    <w:rPr>
      <w:rFonts w:eastAsia="Times New Roman" w:cs="Times New Roman"/>
      <w:szCs w:val="24"/>
      <w:lang w:val="en-US"/>
    </w:rPr>
  </w:style>
  <w:style w:type="character" w:customStyle="1" w:styleId="BodyTextChar">
    <w:name w:val="Body Text Char"/>
    <w:basedOn w:val="DefaultParagraphFont"/>
    <w:link w:val="BodyText"/>
    <w:rsid w:val="004D0D42"/>
    <w:rPr>
      <w:rFonts w:ascii="Arial" w:eastAsia="Times New Roman" w:hAnsi="Arial" w:cs="Times New Roman"/>
      <w:color w:val="5E6175"/>
      <w:kern w:val="0"/>
      <w:sz w:val="20"/>
      <w:szCs w:val="24"/>
      <w:lang w:val="en-US"/>
      <w14:ligatures w14:val="none"/>
    </w:rPr>
  </w:style>
  <w:style w:type="paragraph" w:customStyle="1" w:styleId="Zilieteksti">
    <w:name w:val="Zilie teksti"/>
    <w:basedOn w:val="Normal"/>
    <w:link w:val="ZilietekstiChar"/>
    <w:qFormat/>
    <w:rsid w:val="004D0D42"/>
    <w:rPr>
      <w:b/>
      <w:noProof/>
      <w:color w:val="2F5496"/>
      <w:lang w:val="en-US"/>
    </w:rPr>
  </w:style>
  <w:style w:type="character" w:customStyle="1" w:styleId="ZilietekstiChar">
    <w:name w:val="Zilie teksti Char"/>
    <w:basedOn w:val="DefaultParagraphFont"/>
    <w:link w:val="Zilieteksti"/>
    <w:rsid w:val="004D0D42"/>
    <w:rPr>
      <w:rFonts w:ascii="Arial" w:hAnsi="Arial"/>
      <w:b/>
      <w:noProof/>
      <w:color w:val="2F5496"/>
      <w:kern w:val="0"/>
      <w:sz w:val="20"/>
      <w:lang w:val="en-US"/>
      <w14:ligatures w14:val="none"/>
    </w:rPr>
  </w:style>
  <w:style w:type="paragraph" w:styleId="FootnoteText">
    <w:name w:val="footnote text"/>
    <w:basedOn w:val="Normal"/>
    <w:link w:val="FootnoteTextChar"/>
    <w:uiPriority w:val="99"/>
    <w:semiHidden/>
    <w:unhideWhenUsed/>
    <w:rsid w:val="004D0D42"/>
    <w:pPr>
      <w:spacing w:after="0"/>
    </w:pPr>
    <w:rPr>
      <w:szCs w:val="20"/>
    </w:rPr>
  </w:style>
  <w:style w:type="character" w:customStyle="1" w:styleId="FootnoteTextChar">
    <w:name w:val="Footnote Text Char"/>
    <w:basedOn w:val="DefaultParagraphFont"/>
    <w:link w:val="FootnoteText"/>
    <w:uiPriority w:val="99"/>
    <w:semiHidden/>
    <w:rsid w:val="004D0D42"/>
    <w:rPr>
      <w:rFonts w:ascii="Arial" w:hAnsi="Arial"/>
      <w:color w:val="5E6175"/>
      <w:kern w:val="0"/>
      <w:sz w:val="20"/>
      <w:szCs w:val="20"/>
      <w14:ligatures w14:val="none"/>
    </w:rPr>
  </w:style>
  <w:style w:type="character" w:styleId="FootnoteReference">
    <w:name w:val="footnote reference"/>
    <w:basedOn w:val="DefaultParagraphFont"/>
    <w:uiPriority w:val="99"/>
    <w:semiHidden/>
    <w:unhideWhenUsed/>
    <w:rsid w:val="004D0D42"/>
    <w:rPr>
      <w:vertAlign w:val="superscript"/>
    </w:rPr>
  </w:style>
  <w:style w:type="table" w:styleId="PlainTable1">
    <w:name w:val="Plain Table 1"/>
    <w:basedOn w:val="TableNormal"/>
    <w:uiPriority w:val="41"/>
    <w:rsid w:val="004D0D42"/>
    <w:pPr>
      <w:spacing w:after="0" w:line="240" w:lineRule="auto"/>
    </w:pPr>
    <w:rPr>
      <w:rFonts w:ascii="Arial" w:hAnsi="Arial"/>
      <w:color w:val="5E6175"/>
      <w:kern w:val="0"/>
      <w:sz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D836A1"/>
    <w:pPr>
      <w:tabs>
        <w:tab w:val="center" w:pos="4513"/>
        <w:tab w:val="right" w:pos="9026"/>
      </w:tabs>
      <w:spacing w:after="0"/>
    </w:pPr>
  </w:style>
  <w:style w:type="character" w:customStyle="1" w:styleId="FooterChar">
    <w:name w:val="Footer Char"/>
    <w:basedOn w:val="DefaultParagraphFont"/>
    <w:link w:val="Footer"/>
    <w:uiPriority w:val="99"/>
    <w:rsid w:val="00D836A1"/>
    <w:rPr>
      <w:rFonts w:ascii="Arial" w:hAnsi="Arial"/>
      <w:color w:val="5E6175"/>
      <w:kern w:val="0"/>
      <w:sz w:val="20"/>
      <w14:ligatures w14:val="none"/>
    </w:rPr>
  </w:style>
  <w:style w:type="character" w:styleId="CommentReference">
    <w:name w:val="annotation reference"/>
    <w:basedOn w:val="DefaultParagraphFont"/>
    <w:uiPriority w:val="99"/>
    <w:semiHidden/>
    <w:unhideWhenUsed/>
    <w:rsid w:val="00A53E4D"/>
    <w:rPr>
      <w:sz w:val="16"/>
      <w:szCs w:val="16"/>
    </w:rPr>
  </w:style>
  <w:style w:type="paragraph" w:styleId="CommentText">
    <w:name w:val="annotation text"/>
    <w:basedOn w:val="Normal"/>
    <w:link w:val="CommentTextChar"/>
    <w:uiPriority w:val="99"/>
    <w:unhideWhenUsed/>
    <w:rsid w:val="00A53E4D"/>
    <w:rPr>
      <w:szCs w:val="20"/>
    </w:rPr>
  </w:style>
  <w:style w:type="character" w:customStyle="1" w:styleId="CommentTextChar">
    <w:name w:val="Comment Text Char"/>
    <w:basedOn w:val="DefaultParagraphFont"/>
    <w:link w:val="CommentText"/>
    <w:uiPriority w:val="99"/>
    <w:rsid w:val="00A53E4D"/>
    <w:rPr>
      <w:rFonts w:ascii="Arial" w:hAnsi="Arial"/>
      <w:color w:val="5E6175"/>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3E4D"/>
    <w:rPr>
      <w:b/>
      <w:bCs/>
    </w:rPr>
  </w:style>
  <w:style w:type="character" w:customStyle="1" w:styleId="CommentSubjectChar">
    <w:name w:val="Comment Subject Char"/>
    <w:basedOn w:val="CommentTextChar"/>
    <w:link w:val="CommentSubject"/>
    <w:uiPriority w:val="99"/>
    <w:semiHidden/>
    <w:rsid w:val="00A53E4D"/>
    <w:rPr>
      <w:rFonts w:ascii="Arial" w:hAnsi="Arial"/>
      <w:b/>
      <w:bCs/>
      <w:color w:val="5E6175"/>
      <w:kern w:val="0"/>
      <w:sz w:val="20"/>
      <w:szCs w:val="20"/>
      <w14:ligatures w14:val="none"/>
    </w:rPr>
  </w:style>
  <w:style w:type="paragraph" w:styleId="Header">
    <w:name w:val="header"/>
    <w:basedOn w:val="Normal"/>
    <w:link w:val="HeaderChar"/>
    <w:uiPriority w:val="99"/>
    <w:unhideWhenUsed/>
    <w:rsid w:val="0039402C"/>
    <w:pPr>
      <w:tabs>
        <w:tab w:val="center" w:pos="4513"/>
        <w:tab w:val="right" w:pos="9026"/>
      </w:tabs>
      <w:spacing w:after="0"/>
    </w:pPr>
  </w:style>
  <w:style w:type="character" w:customStyle="1" w:styleId="HeaderChar">
    <w:name w:val="Header Char"/>
    <w:basedOn w:val="DefaultParagraphFont"/>
    <w:link w:val="Header"/>
    <w:uiPriority w:val="99"/>
    <w:rsid w:val="0039402C"/>
    <w:rPr>
      <w:rFonts w:ascii="Arial" w:hAnsi="Arial"/>
      <w:color w:val="5E6175"/>
      <w:kern w:val="0"/>
      <w:sz w:val="20"/>
      <w14:ligatures w14:val="none"/>
    </w:rPr>
  </w:style>
  <w:style w:type="paragraph" w:styleId="Revision">
    <w:name w:val="Revision"/>
    <w:hidden/>
    <w:uiPriority w:val="99"/>
    <w:semiHidden/>
    <w:rsid w:val="00860241"/>
    <w:pPr>
      <w:spacing w:after="0" w:line="240" w:lineRule="auto"/>
    </w:pPr>
    <w:rPr>
      <w:rFonts w:ascii="Arial" w:hAnsi="Arial"/>
      <w:color w:val="5E6175"/>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E4B1-F7CE-46DC-853A-5FFA4359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4EF40-098A-4A55-99D3-B61E3D842B4D}">
  <ds:schemaRefs>
    <ds:schemaRef ds:uri="http://schemas.microsoft.com/sharepoint/v3/contenttype/forms"/>
  </ds:schemaRefs>
</ds:datastoreItem>
</file>

<file path=customXml/itemProps3.xml><?xml version="1.0" encoding="utf-8"?>
<ds:datastoreItem xmlns:ds="http://schemas.openxmlformats.org/officeDocument/2006/customXml" ds:itemID="{C1831822-0B22-4A0F-8B65-BDAAF56B2D0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6789</Words>
  <Characters>3871</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9</cp:revision>
  <dcterms:created xsi:type="dcterms:W3CDTF">2023-07-18T18:05:00Z</dcterms:created>
  <dcterms:modified xsi:type="dcterms:W3CDTF">2025-01-31T16:19:00Z</dcterms:modified>
</cp:coreProperties>
</file>