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63079" w14:textId="304E0FA3" w:rsidR="00CC5A77" w:rsidRPr="00DC73A0" w:rsidRDefault="00CC5A77" w:rsidP="00CC5A77">
      <w:pPr>
        <w:pStyle w:val="Heading1"/>
        <w:numPr>
          <w:ilvl w:val="0"/>
          <w:numId w:val="0"/>
        </w:numPr>
        <w:jc w:val="both"/>
        <w:rPr>
          <w:rFonts w:ascii="Times New Roman" w:hAnsi="Times New Roman" w:cs="Times New Roman"/>
          <w:color w:val="000000"/>
          <w:sz w:val="32"/>
          <w:szCs w:val="36"/>
        </w:rPr>
      </w:pPr>
      <w:bookmarkStart w:id="0" w:name="_Toc137758215"/>
      <w:bookmarkStart w:id="1" w:name="_Hlk139922256"/>
      <w:r w:rsidRPr="00DC73A0">
        <w:rPr>
          <w:rFonts w:ascii="Times New Roman" w:hAnsi="Times New Roman" w:cs="Times New Roman"/>
          <w:noProof/>
          <w:color w:val="000000"/>
          <w:sz w:val="32"/>
          <w:szCs w:val="36"/>
          <w:lang w:val="en-US"/>
        </w:rPr>
        <w:drawing>
          <wp:anchor distT="0" distB="0" distL="114300" distR="114300" simplePos="0" relativeHeight="251659264" behindDoc="0" locked="0" layoutInCell="1" allowOverlap="1" wp14:anchorId="50D5E11D" wp14:editId="3829E4CF">
            <wp:simplePos x="0" y="0"/>
            <wp:positionH relativeFrom="page">
              <wp:posOffset>-3810</wp:posOffset>
            </wp:positionH>
            <wp:positionV relativeFrom="paragraph">
              <wp:posOffset>2540</wp:posOffset>
            </wp:positionV>
            <wp:extent cx="652145" cy="409575"/>
            <wp:effectExtent l="0" t="0" r="0" b="9525"/>
            <wp:wrapSquare wrapText="bothSides"/>
            <wp:docPr id="617587756" name="Picture 61758775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DC73A0">
        <w:rPr>
          <w:rFonts w:ascii="Times New Roman" w:hAnsi="Times New Roman" w:cs="Times New Roman"/>
          <w:color w:val="000000"/>
          <w:sz w:val="32"/>
          <w:szCs w:val="36"/>
        </w:rPr>
        <w:t>4. Pielikums – Iekšējo auditoru institūta ētikas kodekss</w:t>
      </w:r>
      <w:bookmarkEnd w:id="0"/>
    </w:p>
    <w:bookmarkEnd w:id="1"/>
    <w:p w14:paraId="3CEE70F7" w14:textId="77777777" w:rsidR="00CC5A77" w:rsidRPr="00DC73A0" w:rsidRDefault="00CC5A77" w:rsidP="00CC5A77">
      <w:pPr>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Iekšējo auditoru institūta interneta vietnē ir iekļauts Iekšējo auditoru institūta Ētikas kodekss</w:t>
      </w:r>
      <w:r w:rsidRPr="00DC73A0">
        <w:rPr>
          <w:rStyle w:val="FootnoteReference"/>
          <w:rFonts w:ascii="Times New Roman" w:hAnsi="Times New Roman" w:cs="Times New Roman"/>
          <w:color w:val="000000"/>
          <w:sz w:val="24"/>
          <w:szCs w:val="28"/>
        </w:rPr>
        <w:footnoteReference w:id="1"/>
      </w:r>
      <w:r w:rsidRPr="00DC73A0">
        <w:rPr>
          <w:rFonts w:ascii="Times New Roman" w:hAnsi="Times New Roman" w:cs="Times New Roman"/>
          <w:color w:val="000000"/>
          <w:sz w:val="24"/>
          <w:szCs w:val="28"/>
        </w:rPr>
        <w:t xml:space="preserve">, lai veicinātu ētisku kultūru iekšējā auditora profesijā. </w:t>
      </w:r>
    </w:p>
    <w:p w14:paraId="227099DC" w14:textId="77777777" w:rsidR="00CC5A77" w:rsidRPr="00DC73A0" w:rsidRDefault="00CC5A77" w:rsidP="00CC5A77">
      <w:pPr>
        <w:jc w:val="both"/>
        <w:rPr>
          <w:rFonts w:ascii="Times New Roman" w:hAnsi="Times New Roman" w:cs="Times New Roman"/>
          <w:b/>
          <w:bCs/>
          <w:color w:val="000000"/>
          <w:sz w:val="32"/>
          <w:szCs w:val="32"/>
        </w:rPr>
      </w:pPr>
      <w:r w:rsidRPr="00DC73A0">
        <w:rPr>
          <w:rFonts w:ascii="Times New Roman" w:hAnsi="Times New Roman" w:cs="Times New Roman"/>
          <w:b/>
          <w:bCs/>
          <w:color w:val="000000"/>
          <w:sz w:val="32"/>
          <w:szCs w:val="32"/>
        </w:rPr>
        <w:t>IAI Ētikas kodekss</w:t>
      </w:r>
    </w:p>
    <w:p w14:paraId="54CB5680" w14:textId="77777777" w:rsidR="00CC5A77" w:rsidRPr="00DC73A0" w:rsidRDefault="00CC5A77" w:rsidP="00CC5A77">
      <w:pPr>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Iekšējais audits ir neatkarīga, objektīva pārliecības radīšanas un konsultatīva darbība, lai palielinātu organizācijas vērtību un pilnveidotu tās darbības. Iekšējais audits palīdz organizācijai sasniegt tās mērķus, ieviešot sistemātisku, disciplinētu pieeju, lai novērtētu un paaugstinātu riska vadības, kontroles un pārvaldes procesu efektivitāti. </w:t>
      </w:r>
    </w:p>
    <w:p w14:paraId="17C25494" w14:textId="77777777" w:rsidR="00CC5A77" w:rsidRPr="00DC73A0" w:rsidRDefault="00CC5A77" w:rsidP="00CC5A77">
      <w:pPr>
        <w:spacing w:after="120"/>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Ētikas kodekss ir vajadzīgs un atbilstošs iekšējā auditora profesijai, kuras pamatā ir uzticība tās objektīvai pārliecības radīšanai par riska vadību, kontroli un pārvaldību. Institūta Ētikas kodeksa darbības joma ir plašāka par iekšējā audita definīciju, un tajā ir ietvertas divas būtiskas sastāvdaļas: </w:t>
      </w:r>
    </w:p>
    <w:p w14:paraId="153370B5"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1. Principi, kas attiecas uz iekšējā auditora profesiju un praksi; </w:t>
      </w:r>
    </w:p>
    <w:p w14:paraId="71779968" w14:textId="77777777" w:rsidR="00CC5A77" w:rsidRPr="00DC73A0" w:rsidRDefault="00CC5A77" w:rsidP="00CC5A77">
      <w:pPr>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2. Profesionālās ētikas normas, ar ko apraksta uzvedību, kā jārīkojas iekšējiem auditoriem. Šīs normas palīdz principus īstenot praktiski, un to mērķis ir vadīt iekšējo auditoru ētisko rīcību. </w:t>
      </w:r>
    </w:p>
    <w:p w14:paraId="144519D4" w14:textId="77777777" w:rsidR="00CC5A77" w:rsidRPr="00DC73A0" w:rsidRDefault="00CC5A77" w:rsidP="00CC5A77">
      <w:pPr>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Ētikas kodekss kopā ar institūta Starptautiskajiem Profesionālās prakses pamatnoteikumiem un citiem attiecīgiem institūta paziņojumiem veido iekšējo auditoru darba vadlīnijas. Jēdziens “iekšējie auditori” attiecas uz institūta locekļiem, IAI profesionālo sertifikātu saņēmējiem vai kandidātiem, kā arī uz tiem, kuri sniedz iekšējā audita pakalpojumus saskaņā ar iekšējā audita definīciju. </w:t>
      </w:r>
    </w:p>
    <w:p w14:paraId="39FC94FC" w14:textId="77777777" w:rsidR="00CC5A77" w:rsidRPr="00DC73A0" w:rsidRDefault="00CC5A77" w:rsidP="00CC5A77">
      <w:pPr>
        <w:jc w:val="both"/>
        <w:rPr>
          <w:rFonts w:ascii="Times New Roman" w:hAnsi="Times New Roman" w:cs="Times New Roman"/>
          <w:b/>
          <w:bCs/>
          <w:color w:val="000000"/>
          <w:sz w:val="24"/>
          <w:szCs w:val="28"/>
        </w:rPr>
      </w:pPr>
      <w:r w:rsidRPr="00DC73A0">
        <w:rPr>
          <w:rFonts w:ascii="Times New Roman" w:hAnsi="Times New Roman" w:cs="Times New Roman"/>
          <w:b/>
          <w:bCs/>
          <w:color w:val="000000"/>
          <w:sz w:val="24"/>
          <w:szCs w:val="28"/>
        </w:rPr>
        <w:t xml:space="preserve">Piemērojamība un ieviešana </w:t>
      </w:r>
    </w:p>
    <w:p w14:paraId="29EC5F84" w14:textId="77777777" w:rsidR="00CC5A77" w:rsidRPr="00DC73A0" w:rsidRDefault="00CC5A77" w:rsidP="00CC5A77">
      <w:pPr>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Šis ētikas kodekss attiecas gan uz indivīdiem, gan uz organizācijām, kas sniedz iekšējā audita pakalpojumus. </w:t>
      </w:r>
    </w:p>
    <w:p w14:paraId="6C1907DE" w14:textId="77777777" w:rsidR="00CC5A77" w:rsidRPr="00DC73A0" w:rsidRDefault="00CC5A77" w:rsidP="00CC5A77">
      <w:pPr>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Institūta locekļu un IAI profesionālo sertifikātu saņēmēju vai kandidātu izdarītie Ētikas kodeksa pārkāpumi tiks vērtēti un administrēti saskaņā ar institūta nolikumu un administratīvajām vadlīnijām. Tas, ka konkrētā rīcība nav minēta Profesionālās ētikas normās, nenozīmē, ka tā ir pieņemama un tāda, kas nediskriminē, un tāpēc loceklis, sertifikāta īpašnieks vai kandidāts var būt saucams pie disciplināras atbildības. </w:t>
      </w:r>
    </w:p>
    <w:p w14:paraId="174FC357" w14:textId="77777777" w:rsidR="00CC5A77" w:rsidRPr="00DC73A0" w:rsidRDefault="00CC5A77" w:rsidP="00CC5A77">
      <w:pPr>
        <w:jc w:val="both"/>
        <w:rPr>
          <w:rFonts w:ascii="Times New Roman" w:hAnsi="Times New Roman" w:cs="Times New Roman"/>
          <w:b/>
          <w:bCs/>
          <w:color w:val="000000"/>
          <w:sz w:val="24"/>
          <w:szCs w:val="28"/>
        </w:rPr>
      </w:pPr>
      <w:r w:rsidRPr="00DC73A0">
        <w:rPr>
          <w:rFonts w:ascii="Times New Roman" w:hAnsi="Times New Roman" w:cs="Times New Roman"/>
          <w:b/>
          <w:bCs/>
          <w:color w:val="000000"/>
          <w:sz w:val="24"/>
          <w:szCs w:val="28"/>
        </w:rPr>
        <w:t xml:space="preserve">Iekšējiem auditoriem jāpiemēro un jāievēro šādi principi: </w:t>
      </w:r>
    </w:p>
    <w:p w14:paraId="6A05A576" w14:textId="77777777" w:rsidR="00CC5A77" w:rsidRPr="00DC73A0" w:rsidRDefault="00CC5A77" w:rsidP="00CC5A77">
      <w:pPr>
        <w:spacing w:after="120"/>
        <w:jc w:val="both"/>
        <w:rPr>
          <w:rFonts w:ascii="Times New Roman" w:hAnsi="Times New Roman" w:cs="Times New Roman"/>
          <w:color w:val="000000"/>
          <w:sz w:val="24"/>
          <w:szCs w:val="28"/>
        </w:rPr>
      </w:pPr>
      <w:r w:rsidRPr="00DC73A0">
        <w:rPr>
          <w:rFonts w:ascii="Times New Roman" w:hAnsi="Times New Roman" w:cs="Times New Roman"/>
          <w:b/>
          <w:bCs/>
          <w:color w:val="000000"/>
          <w:sz w:val="24"/>
          <w:szCs w:val="28"/>
        </w:rPr>
        <w:t>1. Godīgums</w:t>
      </w:r>
      <w:r w:rsidRPr="00DC73A0">
        <w:rPr>
          <w:rFonts w:ascii="Times New Roman" w:hAnsi="Times New Roman" w:cs="Times New Roman"/>
          <w:color w:val="000000"/>
          <w:sz w:val="24"/>
          <w:szCs w:val="28"/>
        </w:rPr>
        <w:t xml:space="preserve"> – Iekšējo auditoru godīgums rada uzticību un tādējādi nodrošina pamatu paļāvībai uz viņu spriedumu. </w:t>
      </w:r>
    </w:p>
    <w:p w14:paraId="75A99D4B" w14:textId="77777777" w:rsidR="00CC5A77" w:rsidRPr="00DC73A0" w:rsidRDefault="00CC5A77" w:rsidP="00CC5A77">
      <w:pPr>
        <w:spacing w:after="120"/>
        <w:jc w:val="both"/>
        <w:rPr>
          <w:rFonts w:ascii="Times New Roman" w:hAnsi="Times New Roman" w:cs="Times New Roman"/>
          <w:color w:val="000000"/>
          <w:sz w:val="24"/>
          <w:szCs w:val="28"/>
        </w:rPr>
      </w:pPr>
      <w:r w:rsidRPr="00DC73A0">
        <w:rPr>
          <w:rFonts w:ascii="Times New Roman" w:hAnsi="Times New Roman" w:cs="Times New Roman"/>
          <w:b/>
          <w:bCs/>
          <w:color w:val="000000"/>
          <w:sz w:val="24"/>
          <w:szCs w:val="28"/>
        </w:rPr>
        <w:t>2. Objektivitāte</w:t>
      </w:r>
      <w:r w:rsidRPr="00DC73A0">
        <w:rPr>
          <w:rFonts w:ascii="Times New Roman" w:hAnsi="Times New Roman" w:cs="Times New Roman"/>
          <w:color w:val="000000"/>
          <w:sz w:val="24"/>
          <w:szCs w:val="28"/>
        </w:rPr>
        <w:t xml:space="preserve"> – Iekšējie auditori demonstrē profesionālās objektivitātes augstāko līmeni, vācot, vērtējot un paziņojot informāciju par pārbaudāmo darbību vai procesu. Iekšējie auditori līdzsvaroti izvērtē visus attiecīgos apstākļus, un, izdarot secinājumus, viņus neietekmē ne pašu, ne citu intereses. </w:t>
      </w:r>
    </w:p>
    <w:p w14:paraId="07044900" w14:textId="77777777" w:rsidR="00CC5A77" w:rsidRPr="00DC73A0" w:rsidRDefault="00CC5A77" w:rsidP="00CC5A77">
      <w:pPr>
        <w:spacing w:after="120"/>
        <w:jc w:val="both"/>
        <w:rPr>
          <w:rFonts w:ascii="Times New Roman" w:hAnsi="Times New Roman" w:cs="Times New Roman"/>
          <w:color w:val="000000"/>
          <w:sz w:val="24"/>
          <w:szCs w:val="28"/>
        </w:rPr>
      </w:pPr>
      <w:r w:rsidRPr="00DC73A0">
        <w:rPr>
          <w:rFonts w:ascii="Times New Roman" w:hAnsi="Times New Roman" w:cs="Times New Roman"/>
          <w:b/>
          <w:bCs/>
          <w:color w:val="000000"/>
          <w:sz w:val="24"/>
          <w:szCs w:val="28"/>
        </w:rPr>
        <w:t>3. Konfidencialitāte</w:t>
      </w:r>
      <w:r w:rsidRPr="00DC73A0">
        <w:rPr>
          <w:rFonts w:ascii="Times New Roman" w:hAnsi="Times New Roman" w:cs="Times New Roman"/>
          <w:color w:val="000000"/>
          <w:sz w:val="24"/>
          <w:szCs w:val="28"/>
        </w:rPr>
        <w:t xml:space="preserve"> – Iekšējie auditori respektē saņemtās informācijas vērtību un īpašumtiesības un neatklāj informāciju bez atbilstoša pilnvarojuma, ja vien tas nav jādara juridisku vai profesionālu saistību dēļ. </w:t>
      </w:r>
    </w:p>
    <w:p w14:paraId="4A713720" w14:textId="77777777" w:rsidR="00CC5A77" w:rsidRPr="00DC73A0" w:rsidRDefault="00CC5A77" w:rsidP="00CC5A77">
      <w:pPr>
        <w:jc w:val="both"/>
        <w:rPr>
          <w:rFonts w:ascii="Times New Roman" w:hAnsi="Times New Roman" w:cs="Times New Roman"/>
          <w:color w:val="000000"/>
          <w:sz w:val="24"/>
          <w:szCs w:val="28"/>
        </w:rPr>
      </w:pPr>
      <w:r w:rsidRPr="00DC73A0">
        <w:rPr>
          <w:rFonts w:ascii="Times New Roman" w:hAnsi="Times New Roman" w:cs="Times New Roman"/>
          <w:b/>
          <w:bCs/>
          <w:color w:val="000000"/>
          <w:sz w:val="24"/>
          <w:szCs w:val="28"/>
        </w:rPr>
        <w:lastRenderedPageBreak/>
        <w:t>4. Kompetence</w:t>
      </w:r>
      <w:r w:rsidRPr="00DC73A0">
        <w:rPr>
          <w:rFonts w:ascii="Times New Roman" w:hAnsi="Times New Roman" w:cs="Times New Roman"/>
          <w:color w:val="000000"/>
          <w:sz w:val="24"/>
          <w:szCs w:val="28"/>
        </w:rPr>
        <w:t xml:space="preserve"> – Iekšējie auditori izmanto zināšanas, iemaņas un pieredzi, kas vajadzīga iekšējā audita pakalpojumu sniegšanā. </w:t>
      </w:r>
    </w:p>
    <w:p w14:paraId="745CB451" w14:textId="77777777" w:rsidR="00CC5A77" w:rsidRPr="00DC73A0" w:rsidRDefault="00CC5A77" w:rsidP="00CC5A77">
      <w:pPr>
        <w:jc w:val="both"/>
        <w:rPr>
          <w:rFonts w:ascii="Times New Roman" w:hAnsi="Times New Roman" w:cs="Times New Roman"/>
          <w:b/>
          <w:bCs/>
          <w:color w:val="000000"/>
          <w:sz w:val="24"/>
          <w:szCs w:val="28"/>
        </w:rPr>
      </w:pPr>
      <w:r w:rsidRPr="00DC73A0">
        <w:rPr>
          <w:rFonts w:ascii="Times New Roman" w:hAnsi="Times New Roman" w:cs="Times New Roman"/>
          <w:b/>
          <w:bCs/>
          <w:color w:val="000000"/>
          <w:sz w:val="24"/>
          <w:szCs w:val="28"/>
        </w:rPr>
        <w:t xml:space="preserve">Profesionālās ētikas normas </w:t>
      </w:r>
    </w:p>
    <w:p w14:paraId="237E84A2" w14:textId="77777777" w:rsidR="00CC5A77" w:rsidRPr="00DC73A0" w:rsidRDefault="00CC5A77" w:rsidP="00CC5A77">
      <w:pPr>
        <w:spacing w:after="120"/>
        <w:jc w:val="both"/>
        <w:rPr>
          <w:rFonts w:ascii="Times New Roman" w:hAnsi="Times New Roman" w:cs="Times New Roman"/>
          <w:b/>
          <w:bCs/>
          <w:color w:val="000000"/>
          <w:sz w:val="24"/>
          <w:szCs w:val="28"/>
        </w:rPr>
      </w:pPr>
      <w:r w:rsidRPr="00DC73A0">
        <w:rPr>
          <w:rFonts w:ascii="Times New Roman" w:hAnsi="Times New Roman" w:cs="Times New Roman"/>
          <w:b/>
          <w:bCs/>
          <w:color w:val="000000"/>
          <w:sz w:val="24"/>
          <w:szCs w:val="28"/>
        </w:rPr>
        <w:t xml:space="preserve">1. Godīgums </w:t>
      </w:r>
      <w:r w:rsidRPr="00DC73A0">
        <w:rPr>
          <w:rFonts w:ascii="Times New Roman" w:hAnsi="Times New Roman" w:cs="Times New Roman"/>
          <w:color w:val="000000"/>
          <w:sz w:val="24"/>
          <w:szCs w:val="28"/>
        </w:rPr>
        <w:t xml:space="preserve">– Iekšējie auditori: </w:t>
      </w:r>
    </w:p>
    <w:p w14:paraId="47B30268" w14:textId="77777777" w:rsidR="00CC5A77" w:rsidRPr="00DC73A0" w:rsidRDefault="00CC5A77" w:rsidP="00CC5A77">
      <w:pPr>
        <w:spacing w:after="120"/>
        <w:ind w:left="227"/>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1.1. veic darbu godīgi, ar profesionālu rūpību un atbildīgi; </w:t>
      </w:r>
    </w:p>
    <w:p w14:paraId="39703B87" w14:textId="77777777" w:rsidR="00CC5A77" w:rsidRPr="00DC73A0" w:rsidRDefault="00CC5A77" w:rsidP="00CC5A77">
      <w:pPr>
        <w:spacing w:after="120"/>
        <w:ind w:left="227"/>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1.2. ievēro tiesību aktus un dara zināmu atklātībai to, ko nosaka tiesību akti un profesija; </w:t>
      </w:r>
    </w:p>
    <w:p w14:paraId="21A88B87" w14:textId="77777777" w:rsidR="00CC5A77" w:rsidRPr="00DC73A0" w:rsidRDefault="00CC5A77" w:rsidP="00CC5A77">
      <w:pPr>
        <w:spacing w:after="120"/>
        <w:ind w:left="227"/>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1.3. apzināti neiesaistās nekādās nelikumīgās darbībās un pasākumos, kas diskreditē iekšējā auditora profesiju vai organizāciju; </w:t>
      </w:r>
    </w:p>
    <w:p w14:paraId="59FD7995" w14:textId="77777777" w:rsidR="00CC5A77" w:rsidRPr="00DC73A0" w:rsidRDefault="00CC5A77" w:rsidP="00CC5A77">
      <w:pPr>
        <w:spacing w:after="120"/>
        <w:ind w:left="227"/>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1.4. respektē organizācijas likumīgos un ētiskos mērķus un sekmē to sasniegšanu.. </w:t>
      </w:r>
    </w:p>
    <w:p w14:paraId="6C2E242A" w14:textId="77777777" w:rsidR="00CC5A77" w:rsidRPr="00DC73A0" w:rsidRDefault="00CC5A77" w:rsidP="00CC5A77">
      <w:pPr>
        <w:spacing w:after="120"/>
        <w:jc w:val="both"/>
        <w:rPr>
          <w:rFonts w:ascii="Times New Roman" w:hAnsi="Times New Roman" w:cs="Times New Roman"/>
          <w:color w:val="000000"/>
          <w:sz w:val="24"/>
          <w:szCs w:val="28"/>
        </w:rPr>
      </w:pPr>
      <w:r w:rsidRPr="00DC73A0">
        <w:rPr>
          <w:rFonts w:ascii="Times New Roman" w:hAnsi="Times New Roman" w:cs="Times New Roman"/>
          <w:b/>
          <w:bCs/>
          <w:color w:val="000000"/>
          <w:sz w:val="24"/>
          <w:szCs w:val="28"/>
        </w:rPr>
        <w:t>2. Objektivitāte</w:t>
      </w:r>
      <w:r w:rsidRPr="00DC73A0">
        <w:rPr>
          <w:rFonts w:ascii="Times New Roman" w:hAnsi="Times New Roman" w:cs="Times New Roman"/>
          <w:color w:val="000000"/>
          <w:sz w:val="24"/>
          <w:szCs w:val="28"/>
        </w:rPr>
        <w:t xml:space="preserve"> - Iekšējie auditori: </w:t>
      </w:r>
    </w:p>
    <w:p w14:paraId="412E53B2"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2.1. nepiedalās nekādās darbībās un neveido attiecības, kas var traucēt izdarīt objektīvu novērtējumu vai ko var uzstatīt par šādiem traucēkļiem. Šī līdzdalība ir tādas darbības vai attiecības, kas var būt pretrunā organizācijas interesēm; </w:t>
      </w:r>
    </w:p>
    <w:p w14:paraId="294DB7FF"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2.2. nepieņem neko tādu, kas var pasliktināt viņu profesionālo spriedumu vai ko var uzskatīt par šāda pasliktinājuma cēloni; </w:t>
      </w:r>
    </w:p>
    <w:p w14:paraId="25986D6E"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2.3. nodod atklātībai visus viņiem zināmos būtiskos faktus, kas, ja tos neatklāj, var izkropļot ziņojumu par pārbaudāmajām darbībām. </w:t>
      </w:r>
    </w:p>
    <w:p w14:paraId="63AAECDA" w14:textId="77777777" w:rsidR="00CC5A77" w:rsidRPr="00DC73A0" w:rsidRDefault="00CC5A77" w:rsidP="00CC5A77">
      <w:pPr>
        <w:spacing w:before="240" w:after="120"/>
        <w:jc w:val="both"/>
        <w:rPr>
          <w:rFonts w:ascii="Times New Roman" w:hAnsi="Times New Roman" w:cs="Times New Roman"/>
          <w:color w:val="000000"/>
          <w:sz w:val="24"/>
          <w:szCs w:val="28"/>
        </w:rPr>
      </w:pPr>
      <w:r w:rsidRPr="00DC73A0">
        <w:rPr>
          <w:rFonts w:ascii="Times New Roman" w:hAnsi="Times New Roman" w:cs="Times New Roman"/>
          <w:b/>
          <w:bCs/>
          <w:color w:val="000000"/>
          <w:sz w:val="24"/>
          <w:szCs w:val="28"/>
        </w:rPr>
        <w:t>3. Konfidencialitāte</w:t>
      </w:r>
      <w:r w:rsidRPr="00DC73A0">
        <w:rPr>
          <w:rFonts w:ascii="Times New Roman" w:hAnsi="Times New Roman" w:cs="Times New Roman"/>
          <w:color w:val="000000"/>
          <w:sz w:val="24"/>
          <w:szCs w:val="28"/>
        </w:rPr>
        <w:t xml:space="preserve"> – Iekšējie auditori: </w:t>
      </w:r>
    </w:p>
    <w:p w14:paraId="2F4D4382"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3.1. ir apdomīgi pienākumu pildīšanas gaitā iegūtās informācijas izmantošanā un aizsargāšanā; </w:t>
      </w:r>
    </w:p>
    <w:p w14:paraId="4223A3AC"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3.2. neizmanto informāciju personiska labuma gūšanai vai jebkurā citā veidā, kas būtu pretrunā tiesību aktiem vai kaitētu organizācijas likumīgajiem un ētiskajiem mērķiem. </w:t>
      </w:r>
    </w:p>
    <w:p w14:paraId="6C4AE854" w14:textId="77777777" w:rsidR="00CC5A77" w:rsidRPr="00DC73A0" w:rsidRDefault="00CC5A77" w:rsidP="00CC5A77">
      <w:pPr>
        <w:spacing w:before="240" w:after="120"/>
        <w:jc w:val="both"/>
        <w:rPr>
          <w:rFonts w:ascii="Times New Roman" w:hAnsi="Times New Roman" w:cs="Times New Roman"/>
          <w:color w:val="000000"/>
          <w:sz w:val="24"/>
          <w:szCs w:val="28"/>
        </w:rPr>
      </w:pPr>
      <w:r w:rsidRPr="00DC73A0">
        <w:rPr>
          <w:rFonts w:ascii="Times New Roman" w:hAnsi="Times New Roman" w:cs="Times New Roman"/>
          <w:b/>
          <w:bCs/>
          <w:color w:val="000000"/>
          <w:sz w:val="24"/>
          <w:szCs w:val="28"/>
        </w:rPr>
        <w:t>4. Kompetence</w:t>
      </w:r>
      <w:r w:rsidRPr="00DC73A0">
        <w:rPr>
          <w:rFonts w:ascii="Times New Roman" w:hAnsi="Times New Roman" w:cs="Times New Roman"/>
          <w:color w:val="000000"/>
          <w:sz w:val="24"/>
          <w:szCs w:val="28"/>
        </w:rPr>
        <w:t xml:space="preserve"> – Iekšējie auditori: </w:t>
      </w:r>
    </w:p>
    <w:p w14:paraId="10BFDF78"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4.1. sniedz tikai tādus pakalpojumus, kuru nodrošināšanai viņiem ir vajadzīgās zināšanas, iemaņas un pieredze; </w:t>
      </w:r>
    </w:p>
    <w:p w14:paraId="2BECC94C"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 xml:space="preserve">4.2. sniedz iekšējā audita pakalpojumus saskaņā ar Iekšējā audita profesionālās prakses starptautiskajiem standartiem; </w:t>
      </w:r>
    </w:p>
    <w:p w14:paraId="35F3461F" w14:textId="77777777" w:rsidR="00CC5A77" w:rsidRPr="00DC73A0" w:rsidRDefault="00CC5A77" w:rsidP="00CC5A77">
      <w:pPr>
        <w:spacing w:after="120"/>
        <w:ind w:left="283"/>
        <w:jc w:val="both"/>
        <w:rPr>
          <w:rFonts w:ascii="Times New Roman" w:hAnsi="Times New Roman" w:cs="Times New Roman"/>
          <w:color w:val="000000"/>
          <w:sz w:val="24"/>
          <w:szCs w:val="28"/>
        </w:rPr>
      </w:pPr>
      <w:r w:rsidRPr="00DC73A0">
        <w:rPr>
          <w:rFonts w:ascii="Times New Roman" w:hAnsi="Times New Roman" w:cs="Times New Roman"/>
          <w:color w:val="000000"/>
          <w:sz w:val="24"/>
          <w:szCs w:val="28"/>
        </w:rPr>
        <w:t>4.3. pastāvīgi ceļ savu profesionālo kvalifikāciju un uzlabo savu pakalpojumu efektivitāti un kvalitāti.</w:t>
      </w:r>
    </w:p>
    <w:p w14:paraId="507B38E6" w14:textId="77777777" w:rsidR="009739DC" w:rsidRDefault="009739DC"/>
    <w:sectPr w:rsidR="009739DC" w:rsidSect="00CC5A77">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17016" w14:textId="77777777" w:rsidR="00CA49A5" w:rsidRDefault="00CA49A5" w:rsidP="00CC5A77">
      <w:pPr>
        <w:spacing w:after="0"/>
      </w:pPr>
      <w:r>
        <w:separator/>
      </w:r>
    </w:p>
  </w:endnote>
  <w:endnote w:type="continuationSeparator" w:id="0">
    <w:p w14:paraId="45D5051B" w14:textId="77777777" w:rsidR="00CA49A5" w:rsidRDefault="00CA49A5" w:rsidP="00CC5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ADD0" w14:textId="77777777" w:rsidR="000209C7" w:rsidRDefault="00020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E929" w14:textId="77777777" w:rsidR="000209C7" w:rsidRDefault="00020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94FDB" w14:textId="77777777" w:rsidR="000209C7" w:rsidRDefault="00020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174E6" w14:textId="77777777" w:rsidR="00CA49A5" w:rsidRDefault="00CA49A5" w:rsidP="00CC5A77">
      <w:pPr>
        <w:spacing w:after="0"/>
      </w:pPr>
      <w:r>
        <w:separator/>
      </w:r>
    </w:p>
  </w:footnote>
  <w:footnote w:type="continuationSeparator" w:id="0">
    <w:p w14:paraId="19DEF1A2" w14:textId="77777777" w:rsidR="00CA49A5" w:rsidRDefault="00CA49A5" w:rsidP="00CC5A77">
      <w:pPr>
        <w:spacing w:after="0"/>
      </w:pPr>
      <w:r>
        <w:continuationSeparator/>
      </w:r>
    </w:p>
  </w:footnote>
  <w:footnote w:id="1">
    <w:p w14:paraId="3A3BB9C8" w14:textId="77777777" w:rsidR="00CC5A77" w:rsidRDefault="00CC5A77" w:rsidP="00CC5A77">
      <w:pPr>
        <w:pStyle w:val="FootnoteText"/>
      </w:pPr>
      <w:r w:rsidRPr="000463B4">
        <w:rPr>
          <w:rStyle w:val="FootnoteReference"/>
          <w:sz w:val="16"/>
          <w:szCs w:val="16"/>
        </w:rPr>
        <w:footnoteRef/>
      </w:r>
      <w:r w:rsidRPr="000463B4">
        <w:rPr>
          <w:sz w:val="16"/>
          <w:szCs w:val="16"/>
        </w:rPr>
        <w:t xml:space="preserve"> https://iai.lv/lv/getDownload?id=ba8ccd6ea28750b5c227687cac3c74fe&amp;token=1686650597778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A0A3" w14:textId="77777777" w:rsidR="000209C7" w:rsidRDefault="00020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EDC4" w14:textId="1FC77C3E" w:rsidR="000209C7" w:rsidRDefault="000209C7" w:rsidP="008578B2">
    <w:pPr>
      <w:pStyle w:val="Header"/>
      <w:jc w:val="right"/>
      <w:rPr>
        <w:rFonts w:ascii="Times New Roman" w:hAnsi="Times New Roman" w:cs="Times New Roman"/>
        <w:i/>
        <w:iCs/>
        <w:color w:val="000000"/>
        <w:sz w:val="24"/>
        <w:szCs w:val="28"/>
      </w:rPr>
    </w:pPr>
    <w:r>
      <w:rPr>
        <w:rFonts w:asciiTheme="majorBidi" w:hAnsiTheme="majorBidi" w:cstheme="majorBidi"/>
        <w:i/>
        <w:iCs/>
        <w:color w:val="auto"/>
      </w:rPr>
      <w:t xml:space="preserve">Rokasgrāmata 2024: (II) </w:t>
    </w:r>
    <w:r>
      <w:rPr>
        <w:rFonts w:ascii="Times New Roman" w:hAnsi="Times New Roman"/>
        <w:i/>
        <w:iCs/>
        <w:color w:val="000000"/>
      </w:rPr>
      <w:t>Pašvaldību iekšējais audits</w:t>
    </w:r>
  </w:p>
  <w:p w14:paraId="3D9D05AC" w14:textId="36410238" w:rsidR="008578B2" w:rsidRPr="00DC73A0" w:rsidRDefault="008578B2" w:rsidP="008578B2">
    <w:pPr>
      <w:pStyle w:val="Header"/>
      <w:jc w:val="right"/>
      <w:rPr>
        <w:rFonts w:ascii="Times New Roman" w:hAnsi="Times New Roman" w:cs="Times New Roman"/>
        <w:i/>
        <w:iCs/>
        <w:color w:val="000000"/>
        <w:sz w:val="24"/>
        <w:szCs w:val="28"/>
      </w:rPr>
    </w:pPr>
    <w:r w:rsidRPr="00DC73A0">
      <w:rPr>
        <w:rFonts w:ascii="Times New Roman" w:hAnsi="Times New Roman" w:cs="Times New Roman"/>
        <w:i/>
        <w:iCs/>
        <w:color w:val="000000"/>
        <w:sz w:val="24"/>
        <w:szCs w:val="28"/>
      </w:rPr>
      <w:t>RG2_P4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085E" w14:textId="77777777" w:rsidR="000209C7" w:rsidRDefault="00020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51B14"/>
    <w:multiLevelType w:val="multilevel"/>
    <w:tmpl w:val="A2BA6164"/>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4225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77"/>
    <w:rsid w:val="000209C7"/>
    <w:rsid w:val="008071B5"/>
    <w:rsid w:val="008578B2"/>
    <w:rsid w:val="008B7864"/>
    <w:rsid w:val="008C7C87"/>
    <w:rsid w:val="009739DC"/>
    <w:rsid w:val="009E4AF3"/>
    <w:rsid w:val="00CA49A5"/>
    <w:rsid w:val="00CC5A77"/>
    <w:rsid w:val="00DC7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2EF1"/>
  <w15:chartTrackingRefBased/>
  <w15:docId w15:val="{5D1DBF14-A4CF-479D-A087-B1817714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CC5A77"/>
    <w:pPr>
      <w:spacing w:after="240" w:line="240" w:lineRule="auto"/>
    </w:pPr>
    <w:rPr>
      <w:rFonts w:ascii="Arial" w:hAnsi="Arial"/>
      <w:color w:val="5E6175"/>
      <w:kern w:val="0"/>
      <w:sz w:val="20"/>
      <w14:ligatures w14:val="none"/>
    </w:rPr>
  </w:style>
  <w:style w:type="paragraph" w:styleId="Heading1">
    <w:name w:val="heading 1"/>
    <w:basedOn w:val="Normal"/>
    <w:next w:val="BodyText"/>
    <w:link w:val="Heading1Char"/>
    <w:uiPriority w:val="9"/>
    <w:qFormat/>
    <w:rsid w:val="00CC5A77"/>
    <w:pPr>
      <w:keepNext/>
      <w:keepLines/>
      <w:numPr>
        <w:numId w:val="1"/>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CC5A77"/>
    <w:pPr>
      <w:keepNext/>
      <w:keepLines/>
      <w:numPr>
        <w:ilvl w:val="1"/>
        <w:numId w:val="1"/>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CC5A77"/>
    <w:pPr>
      <w:keepNext/>
      <w:keepLines/>
      <w:numPr>
        <w:ilvl w:val="2"/>
        <w:numId w:val="1"/>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77"/>
    <w:rPr>
      <w:rFonts w:ascii="Arial" w:eastAsiaTheme="majorEastAsia" w:hAnsi="Arial" w:cstheme="majorBidi"/>
      <w:b/>
      <w:caps/>
      <w:color w:val="2F5496"/>
      <w:kern w:val="0"/>
      <w:sz w:val="28"/>
      <w:szCs w:val="32"/>
      <w14:ligatures w14:val="none"/>
    </w:rPr>
  </w:style>
  <w:style w:type="character" w:customStyle="1" w:styleId="Heading2Char">
    <w:name w:val="Heading 2 Char"/>
    <w:basedOn w:val="DefaultParagraphFont"/>
    <w:link w:val="Heading2"/>
    <w:uiPriority w:val="9"/>
    <w:rsid w:val="00CC5A77"/>
    <w:rPr>
      <w:rFonts w:ascii="Arial" w:eastAsiaTheme="majorEastAsia" w:hAnsi="Arial" w:cstheme="majorBidi"/>
      <w:b/>
      <w:color w:val="2F5496"/>
      <w:kern w:val="0"/>
      <w:sz w:val="24"/>
      <w:szCs w:val="26"/>
      <w14:ligatures w14:val="none"/>
    </w:rPr>
  </w:style>
  <w:style w:type="character" w:customStyle="1" w:styleId="Heading3Char">
    <w:name w:val="Heading 3 Char"/>
    <w:basedOn w:val="DefaultParagraphFont"/>
    <w:link w:val="Heading3"/>
    <w:uiPriority w:val="9"/>
    <w:rsid w:val="00CC5A77"/>
    <w:rPr>
      <w:rFonts w:ascii="Arial" w:eastAsiaTheme="majorEastAsia" w:hAnsi="Arial" w:cstheme="majorBidi"/>
      <w:b/>
      <w:color w:val="2F5496"/>
      <w:kern w:val="0"/>
      <w:sz w:val="20"/>
      <w:szCs w:val="24"/>
      <w14:ligatures w14:val="none"/>
    </w:rPr>
  </w:style>
  <w:style w:type="paragraph" w:styleId="FootnoteText">
    <w:name w:val="footnote text"/>
    <w:basedOn w:val="Normal"/>
    <w:link w:val="FootnoteTextChar"/>
    <w:uiPriority w:val="99"/>
    <w:semiHidden/>
    <w:unhideWhenUsed/>
    <w:rsid w:val="00CC5A77"/>
    <w:pPr>
      <w:spacing w:after="0"/>
    </w:pPr>
    <w:rPr>
      <w:szCs w:val="20"/>
    </w:rPr>
  </w:style>
  <w:style w:type="character" w:customStyle="1" w:styleId="FootnoteTextChar">
    <w:name w:val="Footnote Text Char"/>
    <w:basedOn w:val="DefaultParagraphFont"/>
    <w:link w:val="FootnoteText"/>
    <w:uiPriority w:val="99"/>
    <w:semiHidden/>
    <w:rsid w:val="00CC5A77"/>
    <w:rPr>
      <w:rFonts w:ascii="Arial" w:hAnsi="Arial"/>
      <w:color w:val="5E6175"/>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semiHidden/>
    <w:unhideWhenUsed/>
    <w:qFormat/>
    <w:rsid w:val="00CC5A77"/>
    <w:rPr>
      <w:vertAlign w:val="superscript"/>
    </w:rPr>
  </w:style>
  <w:style w:type="paragraph" w:customStyle="1" w:styleId="CharCharCharChar">
    <w:name w:val="Char Char Char Char"/>
    <w:aliases w:val="Char2"/>
    <w:basedOn w:val="Normal"/>
    <w:next w:val="Normal"/>
    <w:link w:val="FootnoteReference"/>
    <w:uiPriority w:val="99"/>
    <w:semiHidden/>
    <w:rsid w:val="00CC5A77"/>
    <w:pPr>
      <w:spacing w:after="160" w:line="240" w:lineRule="exact"/>
      <w:jc w:val="both"/>
    </w:pPr>
    <w:rPr>
      <w:rFonts w:asciiTheme="minorHAnsi" w:hAnsiTheme="minorHAnsi"/>
      <w:color w:val="auto"/>
      <w:kern w:val="2"/>
      <w:sz w:val="22"/>
      <w:vertAlign w:val="superscript"/>
      <w14:ligatures w14:val="standardContextual"/>
    </w:rPr>
  </w:style>
  <w:style w:type="paragraph" w:styleId="BodyText">
    <w:name w:val="Body Text"/>
    <w:basedOn w:val="Normal"/>
    <w:link w:val="BodyTextChar"/>
    <w:uiPriority w:val="99"/>
    <w:semiHidden/>
    <w:unhideWhenUsed/>
    <w:rsid w:val="00CC5A77"/>
    <w:pPr>
      <w:spacing w:after="120"/>
    </w:pPr>
  </w:style>
  <w:style w:type="character" w:customStyle="1" w:styleId="BodyTextChar">
    <w:name w:val="Body Text Char"/>
    <w:basedOn w:val="DefaultParagraphFont"/>
    <w:link w:val="BodyText"/>
    <w:uiPriority w:val="99"/>
    <w:semiHidden/>
    <w:rsid w:val="00CC5A77"/>
    <w:rPr>
      <w:rFonts w:ascii="Arial" w:hAnsi="Arial"/>
      <w:color w:val="5E6175"/>
      <w:kern w:val="0"/>
      <w:sz w:val="20"/>
      <w14:ligatures w14:val="none"/>
    </w:rPr>
  </w:style>
  <w:style w:type="paragraph" w:styleId="Header">
    <w:name w:val="header"/>
    <w:basedOn w:val="Normal"/>
    <w:link w:val="HeaderChar"/>
    <w:uiPriority w:val="99"/>
    <w:unhideWhenUsed/>
    <w:rsid w:val="008578B2"/>
    <w:pPr>
      <w:tabs>
        <w:tab w:val="center" w:pos="4513"/>
        <w:tab w:val="right" w:pos="9026"/>
      </w:tabs>
      <w:spacing w:after="0"/>
    </w:pPr>
  </w:style>
  <w:style w:type="character" w:customStyle="1" w:styleId="HeaderChar">
    <w:name w:val="Header Char"/>
    <w:basedOn w:val="DefaultParagraphFont"/>
    <w:link w:val="Header"/>
    <w:uiPriority w:val="99"/>
    <w:rsid w:val="008578B2"/>
    <w:rPr>
      <w:rFonts w:ascii="Arial" w:hAnsi="Arial"/>
      <w:color w:val="5E6175"/>
      <w:kern w:val="0"/>
      <w:sz w:val="20"/>
      <w14:ligatures w14:val="none"/>
    </w:rPr>
  </w:style>
  <w:style w:type="paragraph" w:styleId="Footer">
    <w:name w:val="footer"/>
    <w:basedOn w:val="Normal"/>
    <w:link w:val="FooterChar"/>
    <w:uiPriority w:val="99"/>
    <w:unhideWhenUsed/>
    <w:rsid w:val="008578B2"/>
    <w:pPr>
      <w:tabs>
        <w:tab w:val="center" w:pos="4513"/>
        <w:tab w:val="right" w:pos="9026"/>
      </w:tabs>
      <w:spacing w:after="0"/>
    </w:pPr>
  </w:style>
  <w:style w:type="character" w:customStyle="1" w:styleId="FooterChar">
    <w:name w:val="Footer Char"/>
    <w:basedOn w:val="DefaultParagraphFont"/>
    <w:link w:val="Footer"/>
    <w:uiPriority w:val="99"/>
    <w:rsid w:val="008578B2"/>
    <w:rPr>
      <w:rFonts w:ascii="Arial" w:hAnsi="Arial"/>
      <w:color w:val="5E6175"/>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6FCC5-73C8-407E-AC77-E26F74931E77}">
  <ds:schemaRefs>
    <ds:schemaRef ds:uri="http://schemas.microsoft.com/sharepoint/v3/contenttype/forms"/>
  </ds:schemaRefs>
</ds:datastoreItem>
</file>

<file path=customXml/itemProps2.xml><?xml version="1.0" encoding="utf-8"?>
<ds:datastoreItem xmlns:ds="http://schemas.openxmlformats.org/officeDocument/2006/customXml" ds:itemID="{EF55C3B7-2AF2-4ADC-81D4-C7235ED8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2917</Words>
  <Characters>1664</Characters>
  <Application>Microsoft Office Word</Application>
  <DocSecurity>0</DocSecurity>
  <Lines>13</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4</cp:revision>
  <dcterms:created xsi:type="dcterms:W3CDTF">2023-07-10T20:09:00Z</dcterms:created>
  <dcterms:modified xsi:type="dcterms:W3CDTF">2025-01-31T16:20:00Z</dcterms:modified>
</cp:coreProperties>
</file>