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A5B3C" w14:textId="77777777" w:rsidR="00407CF1" w:rsidRPr="002010CE" w:rsidRDefault="00407CF1" w:rsidP="00407CF1">
      <w:pPr>
        <w:spacing w:after="120"/>
        <w:jc w:val="center"/>
        <w:rPr>
          <w:rFonts w:ascii="Times New Roman" w:hAnsi="Times New Roman" w:cs="Times New Roman"/>
          <w:b/>
          <w:caps/>
          <w:color w:val="000000"/>
          <w:sz w:val="24"/>
          <w:szCs w:val="24"/>
        </w:rPr>
      </w:pPr>
      <w:r w:rsidRPr="002010CE">
        <w:rPr>
          <w:rFonts w:ascii="Times New Roman" w:hAnsi="Times New Roman" w:cs="Times New Roman"/>
          <w:b/>
          <w:caps/>
          <w:color w:val="000000"/>
          <w:sz w:val="24"/>
          <w:szCs w:val="24"/>
        </w:rPr>
        <w:t xml:space="preserve">Pašvaldības nosaukums </w:t>
      </w:r>
    </w:p>
    <w:tbl>
      <w:tblPr>
        <w:tblStyle w:val="GridTable1Light-Accent1"/>
        <w:tblW w:w="0" w:type="auto"/>
        <w:tblInd w:w="1686" w:type="dxa"/>
        <w:tblLook w:val="04A0" w:firstRow="1" w:lastRow="0" w:firstColumn="1" w:lastColumn="0" w:noHBand="0" w:noVBand="1"/>
      </w:tblPr>
      <w:tblGrid>
        <w:gridCol w:w="5653"/>
      </w:tblGrid>
      <w:tr w:rsidR="002010CE" w:rsidRPr="002010CE" w14:paraId="5A4AA1A3" w14:textId="77777777" w:rsidTr="00035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3" w:type="dxa"/>
            <w:tcBorders>
              <w:top w:val="single" w:sz="6" w:space="0" w:color="767171" w:themeColor="background2" w:themeShade="80"/>
              <w:left w:val="double" w:sz="4" w:space="0" w:color="FFFFFF" w:themeColor="background1"/>
              <w:bottom w:val="double" w:sz="4" w:space="0" w:color="FFFFFF" w:themeColor="background1"/>
              <w:right w:val="double" w:sz="4" w:space="0" w:color="FFFFFF" w:themeColor="background1"/>
            </w:tcBorders>
          </w:tcPr>
          <w:p w14:paraId="088B1253" w14:textId="77777777" w:rsidR="00407CF1" w:rsidRPr="002010CE" w:rsidRDefault="00407CF1" w:rsidP="00035AEC">
            <w:pPr>
              <w:spacing w:after="120"/>
              <w:jc w:val="center"/>
              <w:rPr>
                <w:rFonts w:ascii="Times New Roman" w:hAnsi="Times New Roman" w:cs="Times New Roman"/>
                <w:b w:val="0"/>
                <w:color w:val="000000"/>
                <w:sz w:val="24"/>
                <w:szCs w:val="24"/>
              </w:rPr>
            </w:pPr>
            <w:r w:rsidRPr="002010CE">
              <w:rPr>
                <w:rFonts w:ascii="Times New Roman" w:hAnsi="Times New Roman" w:cs="Times New Roman"/>
                <w:b w:val="0"/>
                <w:color w:val="000000"/>
                <w:sz w:val="24"/>
                <w:szCs w:val="24"/>
              </w:rPr>
              <w:t xml:space="preserve">Rekvizīti </w:t>
            </w:r>
          </w:p>
        </w:tc>
      </w:tr>
    </w:tbl>
    <w:p w14:paraId="7C27DFD9" w14:textId="77777777" w:rsidR="00407CF1" w:rsidRPr="002010CE" w:rsidRDefault="00407CF1" w:rsidP="00407CF1">
      <w:pPr>
        <w:jc w:val="center"/>
        <w:rPr>
          <w:rFonts w:ascii="Times New Roman" w:hAnsi="Times New Roman" w:cs="Times New Roman"/>
          <w:color w:val="000000"/>
          <w:sz w:val="24"/>
          <w:szCs w:val="28"/>
        </w:rPr>
      </w:pPr>
    </w:p>
    <w:p w14:paraId="2CDE0993" w14:textId="77777777" w:rsidR="00035AEC" w:rsidRPr="002010CE" w:rsidRDefault="00035AEC" w:rsidP="00407CF1">
      <w:pPr>
        <w:jc w:val="center"/>
        <w:rPr>
          <w:rFonts w:ascii="Times New Roman" w:hAnsi="Times New Roman" w:cs="Times New Roman"/>
          <w:color w:val="000000"/>
          <w:sz w:val="24"/>
          <w:szCs w:val="28"/>
        </w:rPr>
      </w:pPr>
    </w:p>
    <w:p w14:paraId="20C38EC8" w14:textId="1BADD1C2" w:rsidR="00407CF1" w:rsidRPr="002010CE" w:rsidRDefault="00407CF1" w:rsidP="00407CF1">
      <w:pPr>
        <w:rPr>
          <w:rFonts w:ascii="Times New Roman" w:hAnsi="Times New Roman" w:cs="Times New Roman"/>
          <w:color w:val="000000"/>
          <w:sz w:val="24"/>
          <w:szCs w:val="28"/>
        </w:rPr>
      </w:pPr>
      <w:r w:rsidRPr="002010CE">
        <w:rPr>
          <w:rFonts w:ascii="Times New Roman" w:hAnsi="Times New Roman" w:cs="Times New Roman"/>
          <w:color w:val="000000"/>
          <w:sz w:val="24"/>
          <w:szCs w:val="28"/>
        </w:rPr>
        <w:t xml:space="preserve">Datums </w:t>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Pr="002010CE">
        <w:rPr>
          <w:rFonts w:ascii="Times New Roman" w:hAnsi="Times New Roman" w:cs="Times New Roman"/>
          <w:color w:val="000000"/>
          <w:sz w:val="24"/>
          <w:szCs w:val="28"/>
        </w:rPr>
        <w:tab/>
      </w:r>
      <w:r w:rsidR="002010CE">
        <w:rPr>
          <w:rFonts w:ascii="Times New Roman" w:hAnsi="Times New Roman" w:cs="Times New Roman"/>
          <w:color w:val="000000"/>
          <w:sz w:val="24"/>
          <w:szCs w:val="28"/>
        </w:rPr>
        <w:t xml:space="preserve">          </w:t>
      </w:r>
      <w:r w:rsidRPr="002010CE">
        <w:rPr>
          <w:rFonts w:ascii="Times New Roman" w:hAnsi="Times New Roman" w:cs="Times New Roman"/>
          <w:color w:val="000000"/>
          <w:sz w:val="24"/>
          <w:szCs w:val="28"/>
        </w:rPr>
        <w:t xml:space="preserve">Nr.__________ </w:t>
      </w:r>
    </w:p>
    <w:p w14:paraId="09494761" w14:textId="5C60124D" w:rsidR="00407CF1" w:rsidRPr="002010CE" w:rsidRDefault="00407CF1" w:rsidP="00407CF1">
      <w:pPr>
        <w:pStyle w:val="BodyText"/>
        <w:tabs>
          <w:tab w:val="left" w:pos="1816"/>
        </w:tabs>
        <w:spacing w:before="480"/>
        <w:jc w:val="center"/>
        <w:rPr>
          <w:rFonts w:ascii="Times New Roman" w:hAnsi="Times New Roman"/>
          <w:b/>
          <w:bCs/>
          <w:color w:val="000000"/>
          <w:sz w:val="24"/>
          <w:szCs w:val="32"/>
          <w:lang w:val="lv-LV"/>
        </w:rPr>
      </w:pPr>
      <w:r w:rsidRPr="002010CE">
        <w:rPr>
          <w:rFonts w:ascii="Times New Roman" w:hAnsi="Times New Roman"/>
          <w:color w:val="000000"/>
          <w:sz w:val="24"/>
          <w:szCs w:val="32"/>
          <w:lang w:val="lv-LV"/>
        </w:rPr>
        <w:t xml:space="preserve">______________ </w:t>
      </w:r>
      <w:r w:rsidRPr="002010CE">
        <w:rPr>
          <w:rFonts w:ascii="Times New Roman" w:hAnsi="Times New Roman"/>
          <w:b/>
          <w:bCs/>
          <w:color w:val="000000"/>
          <w:sz w:val="24"/>
          <w:szCs w:val="32"/>
          <w:lang w:val="lv-LV"/>
        </w:rPr>
        <w:t xml:space="preserve">pašvaldības Iekšējā audita </w:t>
      </w:r>
      <w:r w:rsidR="003324D1" w:rsidRPr="002010CE">
        <w:rPr>
          <w:rFonts w:ascii="Times New Roman" w:hAnsi="Times New Roman"/>
          <w:b/>
          <w:bCs/>
          <w:color w:val="000000"/>
          <w:sz w:val="24"/>
          <w:szCs w:val="32"/>
          <w:lang w:val="lv-LV"/>
        </w:rPr>
        <w:t xml:space="preserve">nodaļas </w:t>
      </w:r>
      <w:r w:rsidRPr="002010CE">
        <w:rPr>
          <w:rFonts w:ascii="Times New Roman" w:hAnsi="Times New Roman"/>
          <w:b/>
          <w:bCs/>
          <w:color w:val="000000"/>
          <w:sz w:val="24"/>
          <w:szCs w:val="32"/>
          <w:lang w:val="lv-LV"/>
        </w:rPr>
        <w:t>Ētikas kodekss</w:t>
      </w:r>
    </w:p>
    <w:p w14:paraId="5B441AF8" w14:textId="77777777" w:rsidR="00407CF1" w:rsidRPr="002010CE" w:rsidRDefault="00407CF1" w:rsidP="00407CF1">
      <w:pPr>
        <w:pStyle w:val="BodyText"/>
        <w:tabs>
          <w:tab w:val="left" w:pos="1816"/>
        </w:tabs>
        <w:spacing w:before="360" w:after="0"/>
        <w:jc w:val="right"/>
        <w:rPr>
          <w:rFonts w:ascii="Times New Roman" w:hAnsi="Times New Roman"/>
          <w:i/>
          <w:iCs/>
          <w:color w:val="000000"/>
          <w:sz w:val="24"/>
          <w:szCs w:val="32"/>
          <w:lang w:val="lv-LV"/>
        </w:rPr>
      </w:pPr>
      <w:r w:rsidRPr="002010CE">
        <w:rPr>
          <w:rFonts w:ascii="Times New Roman" w:hAnsi="Times New Roman"/>
          <w:i/>
          <w:iCs/>
          <w:color w:val="000000"/>
          <w:sz w:val="24"/>
          <w:szCs w:val="32"/>
          <w:lang w:val="lv-LV"/>
        </w:rPr>
        <w:t xml:space="preserve">Izdots saskaņā ar </w:t>
      </w:r>
    </w:p>
    <w:p w14:paraId="5ECB87EA" w14:textId="77777777" w:rsidR="00407CF1" w:rsidRPr="002010CE" w:rsidRDefault="00407CF1" w:rsidP="00407CF1">
      <w:pPr>
        <w:pStyle w:val="BodyText"/>
        <w:tabs>
          <w:tab w:val="left" w:pos="1816"/>
        </w:tabs>
        <w:spacing w:after="0"/>
        <w:jc w:val="right"/>
        <w:rPr>
          <w:rFonts w:ascii="Times New Roman" w:hAnsi="Times New Roman"/>
          <w:i/>
          <w:iCs/>
          <w:color w:val="000000"/>
          <w:sz w:val="24"/>
          <w:szCs w:val="32"/>
          <w:lang w:val="lv-LV"/>
        </w:rPr>
      </w:pPr>
      <w:r w:rsidRPr="002010CE">
        <w:rPr>
          <w:rFonts w:ascii="Times New Roman" w:hAnsi="Times New Roman"/>
          <w:i/>
          <w:iCs/>
          <w:color w:val="000000"/>
          <w:sz w:val="24"/>
          <w:szCs w:val="32"/>
          <w:lang w:val="lv-LV"/>
        </w:rPr>
        <w:t xml:space="preserve">Valsts pārvaldes iekārtas likuma </w:t>
      </w:r>
    </w:p>
    <w:p w14:paraId="412A0475" w14:textId="77777777" w:rsidR="00407CF1" w:rsidRPr="002010CE" w:rsidRDefault="00407CF1" w:rsidP="00407CF1">
      <w:pPr>
        <w:pStyle w:val="BodyText"/>
        <w:tabs>
          <w:tab w:val="left" w:pos="1816"/>
        </w:tabs>
        <w:spacing w:after="0"/>
        <w:jc w:val="right"/>
        <w:rPr>
          <w:rFonts w:ascii="Times New Roman" w:hAnsi="Times New Roman"/>
          <w:i/>
          <w:iCs/>
          <w:color w:val="000000"/>
          <w:sz w:val="24"/>
          <w:szCs w:val="32"/>
          <w:lang w:val="lv-LV"/>
        </w:rPr>
      </w:pPr>
      <w:r w:rsidRPr="002010CE">
        <w:rPr>
          <w:rFonts w:ascii="Times New Roman" w:hAnsi="Times New Roman"/>
          <w:i/>
          <w:iCs/>
          <w:color w:val="000000"/>
          <w:sz w:val="24"/>
          <w:szCs w:val="32"/>
          <w:lang w:val="lv-LV"/>
        </w:rPr>
        <w:t>72.panta pirmo daļu</w:t>
      </w:r>
    </w:p>
    <w:p w14:paraId="03F9DE4A" w14:textId="77777777" w:rsidR="00407CF1" w:rsidRPr="002010CE" w:rsidRDefault="00407CF1" w:rsidP="00407CF1">
      <w:pPr>
        <w:pStyle w:val="BodyText"/>
        <w:tabs>
          <w:tab w:val="left" w:pos="1816"/>
        </w:tabs>
        <w:spacing w:after="0"/>
        <w:jc w:val="center"/>
        <w:rPr>
          <w:rFonts w:ascii="Times New Roman" w:hAnsi="Times New Roman"/>
          <w:color w:val="000000"/>
          <w:sz w:val="24"/>
          <w:szCs w:val="32"/>
          <w:lang w:val="lv-LV"/>
        </w:rPr>
      </w:pPr>
    </w:p>
    <w:p w14:paraId="23D171EF" w14:textId="77777777" w:rsidR="00407CF1" w:rsidRPr="002010CE" w:rsidRDefault="00407CF1" w:rsidP="00407CF1">
      <w:pPr>
        <w:pStyle w:val="BodyText"/>
        <w:numPr>
          <w:ilvl w:val="0"/>
          <w:numId w:val="2"/>
        </w:numPr>
        <w:tabs>
          <w:tab w:val="left" w:pos="1816"/>
        </w:tabs>
        <w:spacing w:before="360" w:after="0"/>
        <w:jc w:val="center"/>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 xml:space="preserve">Vispārīgie noteikumi </w:t>
      </w:r>
    </w:p>
    <w:p w14:paraId="350CA861" w14:textId="77777777" w:rsidR="00407CF1" w:rsidRPr="002010CE" w:rsidRDefault="00407CF1" w:rsidP="00407CF1">
      <w:pPr>
        <w:pStyle w:val="BodyText"/>
        <w:tabs>
          <w:tab w:val="left" w:pos="1816"/>
        </w:tabs>
        <w:spacing w:after="0"/>
        <w:rPr>
          <w:rFonts w:ascii="Times New Roman" w:hAnsi="Times New Roman"/>
          <w:color w:val="000000"/>
          <w:sz w:val="24"/>
          <w:szCs w:val="32"/>
          <w:lang w:val="lv-LV"/>
        </w:rPr>
      </w:pPr>
    </w:p>
    <w:p w14:paraId="41A460D0" w14:textId="77777777" w:rsidR="00407CF1" w:rsidRPr="002010CE" w:rsidRDefault="00407CF1" w:rsidP="00407CF1">
      <w:pPr>
        <w:pStyle w:val="BodyText"/>
        <w:tabs>
          <w:tab w:val="left" w:pos="1816"/>
        </w:tabs>
        <w:rPr>
          <w:rFonts w:ascii="Times New Roman" w:hAnsi="Times New Roman"/>
          <w:color w:val="000000"/>
          <w:sz w:val="24"/>
          <w:szCs w:val="32"/>
          <w:lang w:val="lv-LV"/>
        </w:rPr>
      </w:pPr>
      <w:r w:rsidRPr="002010CE">
        <w:rPr>
          <w:rFonts w:ascii="Times New Roman" w:hAnsi="Times New Roman"/>
          <w:color w:val="000000"/>
          <w:sz w:val="24"/>
          <w:szCs w:val="32"/>
          <w:lang w:val="lv-LV"/>
        </w:rPr>
        <w:t xml:space="preserve">_______________ pašvaldības (turpmāk – Pašvaldība) noteikumi “Iekšējā audita Ētikas kodekss” (turpmāk – Ētikas kodekss) nosaka Pašvaldības iekšējā audita darbinieku uzvedību un normas, vērtības un rīcību saskaņā ar ētikas pamatprincipiem. </w:t>
      </w:r>
    </w:p>
    <w:p w14:paraId="5A22E1A7" w14:textId="77777777" w:rsidR="00407CF1" w:rsidRPr="002010CE" w:rsidRDefault="00407CF1" w:rsidP="00407CF1">
      <w:pPr>
        <w:pStyle w:val="BodyText"/>
        <w:tabs>
          <w:tab w:val="left" w:pos="1816"/>
        </w:tabs>
        <w:spacing w:after="0"/>
        <w:rPr>
          <w:rFonts w:ascii="Times New Roman" w:hAnsi="Times New Roman"/>
          <w:color w:val="000000"/>
          <w:sz w:val="24"/>
          <w:szCs w:val="32"/>
          <w:lang w:val="lv-LV"/>
        </w:rPr>
      </w:pPr>
      <w:r w:rsidRPr="002010CE">
        <w:rPr>
          <w:rFonts w:ascii="Times New Roman" w:hAnsi="Times New Roman"/>
          <w:color w:val="000000"/>
          <w:sz w:val="24"/>
          <w:szCs w:val="32"/>
          <w:lang w:val="lv-LV"/>
        </w:rPr>
        <w:t xml:space="preserve">Ētikas kodeksa mērķis ir noteikt un skaidrot Iekšējā audita vērtības un profesionālās ētikas principus, iekšējā audita darba kultūru, sekmēt labu pārvaldību un vairot sabiedrības uzticību Pašvaldībai. </w:t>
      </w:r>
    </w:p>
    <w:p w14:paraId="0737B88F" w14:textId="77777777" w:rsidR="00407CF1" w:rsidRPr="002010CE" w:rsidRDefault="00407CF1" w:rsidP="00407CF1">
      <w:pPr>
        <w:pStyle w:val="BodyText"/>
        <w:tabs>
          <w:tab w:val="left" w:pos="1816"/>
        </w:tabs>
        <w:spacing w:before="120" w:after="0"/>
        <w:rPr>
          <w:rFonts w:ascii="Times New Roman" w:hAnsi="Times New Roman"/>
          <w:color w:val="000000"/>
          <w:sz w:val="24"/>
          <w:szCs w:val="32"/>
          <w:lang w:val="lv-LV"/>
        </w:rPr>
      </w:pPr>
      <w:r w:rsidRPr="002010CE">
        <w:rPr>
          <w:rFonts w:ascii="Times New Roman" w:hAnsi="Times New Roman"/>
          <w:color w:val="000000"/>
          <w:sz w:val="24"/>
          <w:szCs w:val="32"/>
          <w:lang w:val="lv-LV"/>
        </w:rPr>
        <w:t>Lai nodrošinātu sekmīgu Iekšējā audita funkciju un uzdevumu izpildi, Ētikas kodeksa uzdevums ir sekmēt iekšējā audita darbinieku darba pienākumu likumīgu un kvalitatīvu veikšanu, godprātīgas un atvērtas iekšējās vides veidošanos, mazināt interešu konflikta un prettiesiskas lobēšanas situāciju rašanās iespējas.</w:t>
      </w:r>
    </w:p>
    <w:p w14:paraId="7FB00735" w14:textId="77777777" w:rsidR="00407CF1" w:rsidRPr="002010CE" w:rsidRDefault="00407CF1" w:rsidP="00407CF1">
      <w:pPr>
        <w:pStyle w:val="BodyText"/>
        <w:tabs>
          <w:tab w:val="left" w:pos="1816"/>
        </w:tabs>
        <w:spacing w:before="120" w:after="0"/>
        <w:rPr>
          <w:rFonts w:ascii="Times New Roman" w:hAnsi="Times New Roman"/>
          <w:color w:val="000000"/>
          <w:sz w:val="24"/>
          <w:szCs w:val="32"/>
          <w:lang w:val="lv-LV"/>
        </w:rPr>
      </w:pPr>
      <w:r w:rsidRPr="002010CE">
        <w:rPr>
          <w:rFonts w:ascii="Times New Roman" w:hAnsi="Times New Roman"/>
          <w:color w:val="000000"/>
          <w:sz w:val="24"/>
          <w:szCs w:val="32"/>
          <w:lang w:val="lv-LV"/>
        </w:rPr>
        <w:t>Ētikas kodeksā iekļautie profesionālās ētikas un uzvedības principi, normas un ieteikumi ir jāievēro attieksmē pret darbu, savstarpējā saskarsmē, kā arī attiecībās ar citām institūcijām un sabiedrību. Tie ir saistoši Pašvaldības iekšējā audita darbiniekiem neatkarīgi no ieņemamā amata un darba attiecību ilguma.</w:t>
      </w:r>
    </w:p>
    <w:p w14:paraId="1F11847A" w14:textId="77777777" w:rsidR="00407CF1" w:rsidRPr="002010CE" w:rsidRDefault="00407CF1" w:rsidP="00407CF1">
      <w:pPr>
        <w:pStyle w:val="BodyText"/>
        <w:numPr>
          <w:ilvl w:val="0"/>
          <w:numId w:val="2"/>
        </w:numPr>
        <w:tabs>
          <w:tab w:val="left" w:pos="1816"/>
        </w:tabs>
        <w:spacing w:before="360" w:after="0"/>
        <w:jc w:val="center"/>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Darbinieka ētikas principi</w:t>
      </w:r>
    </w:p>
    <w:p w14:paraId="7E13F87C" w14:textId="77777777" w:rsidR="00407CF1" w:rsidRPr="002010CE" w:rsidRDefault="00407CF1" w:rsidP="00407CF1">
      <w:pPr>
        <w:pStyle w:val="BodyText"/>
        <w:tabs>
          <w:tab w:val="left" w:pos="1816"/>
        </w:tabs>
        <w:spacing w:before="480"/>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 xml:space="preserve">Integritāte un objektivitāte – </w:t>
      </w:r>
      <w:r w:rsidRPr="002010CE">
        <w:rPr>
          <w:rFonts w:ascii="Times New Roman" w:hAnsi="Times New Roman"/>
          <w:color w:val="000000"/>
          <w:sz w:val="24"/>
          <w:szCs w:val="32"/>
          <w:lang w:val="lv-LV"/>
        </w:rPr>
        <w:t>iekšējais auditors audita gaitā izvērtē visus apstākļus un pierādījumus, neietekmējoties ne no paša, ne no citu personu interesēm, un iekšējā audita ziņojumā atklāj visus būtiskos faktus par pārbaudīto sistēmu. Katru gadu iekšējiem auditoriem jāparaksta apliecinājums, ka iekšējie auditori apzinās objektivitātes nozīmi, izpratni par attiecīgajām politikām un procedūrām un pienākumu atklāt visus iespējamos konstatējumus. Ja objektivitāte faktiski vai šķietami ir traucēta, informācija par samazinājumu ir jāatklāj attiecīgajām pusēm pirms iekšējā audita pakalpojumu sniegšanas.</w:t>
      </w:r>
    </w:p>
    <w:p w14:paraId="5F30A7C7"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Godīgums – </w:t>
      </w:r>
      <w:r w:rsidRPr="002010CE">
        <w:rPr>
          <w:rFonts w:ascii="Times New Roman" w:hAnsi="Times New Roman"/>
          <w:color w:val="000000"/>
          <w:sz w:val="24"/>
          <w:szCs w:val="32"/>
          <w:lang w:val="lv-LV"/>
        </w:rPr>
        <w:t>iekšējais auditors savu darbu veic godīgi, ar pienācīgu rūpību un atbildību, ievēro pašvaldības iekšējos ētikas principus, neiesaistās darbībās, kas diskreditē iekšējā auditora profesiju vai iekšējo auditu, respektē Pašvaldības ētiskos mērķus un sekmē to sasniegšanu.</w:t>
      </w:r>
    </w:p>
    <w:p w14:paraId="68A16B83"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Konfidencialitāte – </w:t>
      </w:r>
      <w:r w:rsidRPr="002010CE">
        <w:rPr>
          <w:rFonts w:ascii="Times New Roman" w:hAnsi="Times New Roman"/>
          <w:color w:val="000000"/>
          <w:sz w:val="24"/>
          <w:szCs w:val="32"/>
          <w:lang w:val="lv-LV"/>
        </w:rPr>
        <w:t xml:space="preserve">iekšējais auditors neizmanto savu pienākumu veikšanas laikā iegūto informāciju tādā veidā, kas kaitētu Pašvaldības mērķiem. Iekšējā audita darbā iegūto informāciju iekšējais auditors izpauž trešajai personai tikai ar domes / domes priekšsēdētāja / izpilddirektora </w:t>
      </w:r>
      <w:r w:rsidRPr="002010CE">
        <w:rPr>
          <w:rFonts w:ascii="Times New Roman" w:hAnsi="Times New Roman"/>
          <w:color w:val="000000"/>
          <w:sz w:val="24"/>
          <w:szCs w:val="32"/>
          <w:lang w:val="lv-LV"/>
        </w:rPr>
        <w:lastRenderedPageBreak/>
        <w:t>atļauju. Saņemto informāciju, izmantot tikai apstiprinātiem mērķiem un aizsargāt to no neparedzētas piekļuves vai izpaušanas gan iekšēji, gan ārēji.</w:t>
      </w:r>
    </w:p>
    <w:p w14:paraId="13A661DA"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Patiesums – </w:t>
      </w:r>
      <w:r w:rsidRPr="002010CE">
        <w:rPr>
          <w:rFonts w:ascii="Times New Roman" w:hAnsi="Times New Roman"/>
          <w:color w:val="000000"/>
          <w:sz w:val="24"/>
          <w:szCs w:val="32"/>
          <w:lang w:val="lv-LV"/>
        </w:rPr>
        <w:t xml:space="preserve">atklātība, profesionālā skepse un </w:t>
      </w:r>
      <w:proofErr w:type="spellStart"/>
      <w:r w:rsidRPr="002010CE">
        <w:rPr>
          <w:rFonts w:ascii="Times New Roman" w:hAnsi="Times New Roman"/>
          <w:color w:val="000000"/>
          <w:sz w:val="24"/>
          <w:szCs w:val="32"/>
          <w:lang w:val="lv-LV"/>
        </w:rPr>
        <w:t>cieņpilna</w:t>
      </w:r>
      <w:proofErr w:type="spellEnd"/>
      <w:r w:rsidRPr="002010CE">
        <w:rPr>
          <w:rFonts w:ascii="Times New Roman" w:hAnsi="Times New Roman"/>
          <w:color w:val="000000"/>
          <w:sz w:val="24"/>
          <w:szCs w:val="32"/>
          <w:lang w:val="lv-LV"/>
        </w:rPr>
        <w:t xml:space="preserve"> attieksme visās profesionālajās attiecībās un saziņā. Patiesa un </w:t>
      </w:r>
      <w:proofErr w:type="spellStart"/>
      <w:r w:rsidRPr="002010CE">
        <w:rPr>
          <w:rFonts w:ascii="Times New Roman" w:hAnsi="Times New Roman"/>
          <w:color w:val="000000"/>
          <w:sz w:val="24"/>
          <w:szCs w:val="32"/>
          <w:lang w:val="lv-LV"/>
        </w:rPr>
        <w:t>cieņpilna</w:t>
      </w:r>
      <w:proofErr w:type="spellEnd"/>
      <w:r w:rsidRPr="002010CE">
        <w:rPr>
          <w:rFonts w:ascii="Times New Roman" w:hAnsi="Times New Roman"/>
          <w:color w:val="000000"/>
          <w:sz w:val="24"/>
          <w:szCs w:val="32"/>
          <w:lang w:val="lv-LV"/>
        </w:rPr>
        <w:t xml:space="preserve"> rakstiskā un mutiskā komunikācija.</w:t>
      </w:r>
    </w:p>
    <w:p w14:paraId="710492D4"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Kompetence un pienācīga profesionālā rūpība, jaunu zināšanu iegūšana un esošo zināšanu pielietošana –  </w:t>
      </w:r>
      <w:r w:rsidRPr="002010CE">
        <w:rPr>
          <w:rFonts w:ascii="Times New Roman" w:hAnsi="Times New Roman"/>
          <w:color w:val="000000"/>
          <w:sz w:val="24"/>
          <w:szCs w:val="32"/>
          <w:lang w:val="lv-LV"/>
        </w:rPr>
        <w:t>iekšējais auditors savu pienākumu veikšanā izmanto zināšanas, prasmes un pieredzi Paplašināt savas zināšanas, prasmes un iemaņas, katru gadu apgūstot vismaz 20 stundas profesionālās tālākizglītības. Iekšējiem auditoriem, kuri ir ieguvuši profesionālu iekšējā audita sertifikātu, ir jāuztur sertifikāti aktuāli, izpildot sertificējošās institūcijas papildu prasības sertifikāta saglabāšanai, tai skaitā papildus zināšanu iegūšana.</w:t>
      </w:r>
    </w:p>
    <w:p w14:paraId="5781B66A"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Respektēt un veicināt Pašvaldības darbību regulējošās normatīvās bāzes ievērošanu – </w:t>
      </w:r>
      <w:r w:rsidRPr="002010CE">
        <w:rPr>
          <w:rFonts w:ascii="Times New Roman" w:hAnsi="Times New Roman"/>
          <w:color w:val="000000"/>
          <w:sz w:val="24"/>
          <w:szCs w:val="32"/>
          <w:lang w:val="lv-LV"/>
        </w:rPr>
        <w:t>apzināt Pašvaldības ārējo un iekšējo normatīvo bāzi, šīs zināšanas izmantot auditējot Pašvaldības institūcijas, kā arī iekšējiem auditoriem ievērot prasību izpildi.</w:t>
      </w:r>
    </w:p>
    <w:p w14:paraId="263FF3D3" w14:textId="77777777" w:rsidR="00407CF1" w:rsidRPr="002010CE" w:rsidRDefault="00407CF1" w:rsidP="00407CF1">
      <w:pPr>
        <w:pStyle w:val="BodyText"/>
        <w:tabs>
          <w:tab w:val="left" w:pos="1816"/>
        </w:tabs>
        <w:spacing w:before="120"/>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Neiesaistīties un nepiedalīties darbībās</w:t>
      </w:r>
      <w:r w:rsidRPr="002010CE">
        <w:rPr>
          <w:rFonts w:ascii="Times New Roman" w:hAnsi="Times New Roman"/>
          <w:color w:val="000000"/>
          <w:sz w:val="24"/>
          <w:szCs w:val="32"/>
          <w:lang w:val="lv-LV"/>
        </w:rPr>
        <w:t>, kas ir nelikumīgas, diskreditējošas un var kaitēt Pašvaldībai vai tās darbiniekiem.</w:t>
      </w:r>
      <w:r w:rsidRPr="002010CE">
        <w:rPr>
          <w:rFonts w:ascii="Times New Roman" w:hAnsi="Times New Roman"/>
          <w:b/>
          <w:bCs/>
          <w:color w:val="000000"/>
          <w:sz w:val="24"/>
          <w:szCs w:val="32"/>
          <w:lang w:val="lv-LV"/>
        </w:rPr>
        <w:t xml:space="preserve"> </w:t>
      </w:r>
    </w:p>
    <w:p w14:paraId="7E79AE08"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Aizsargāt sabiedrības intereses, </w:t>
      </w:r>
      <w:r w:rsidRPr="002010CE">
        <w:rPr>
          <w:rFonts w:ascii="Times New Roman" w:hAnsi="Times New Roman"/>
          <w:color w:val="000000"/>
          <w:sz w:val="24"/>
          <w:szCs w:val="32"/>
          <w:lang w:val="lv-LV"/>
        </w:rPr>
        <w:t>sniedzot ieteikumus Pašvaldības darba uzlabošanai.</w:t>
      </w:r>
    </w:p>
    <w:p w14:paraId="1D165495"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Nesniegt</w:t>
      </w:r>
      <w:r w:rsidRPr="002010CE">
        <w:rPr>
          <w:rFonts w:ascii="Times New Roman" w:hAnsi="Times New Roman"/>
          <w:color w:val="000000"/>
          <w:sz w:val="24"/>
          <w:szCs w:val="32"/>
          <w:lang w:val="lv-LV"/>
        </w:rPr>
        <w:t xml:space="preserve"> pārliecību par darbību, par kuru iekšējais auditors pēdējā gada laikā ir sniedzis konsultāciju pakalpojumus, bijis atbildīgs vai arī varējis būtiski ietekmēt.</w:t>
      </w:r>
    </w:p>
    <w:p w14:paraId="7CB78C5A"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b/>
          <w:bCs/>
          <w:color w:val="000000"/>
          <w:sz w:val="24"/>
          <w:szCs w:val="32"/>
          <w:lang w:val="lv-LV"/>
        </w:rPr>
        <w:t xml:space="preserve">Nepieņemt </w:t>
      </w:r>
      <w:r w:rsidRPr="002010CE">
        <w:rPr>
          <w:rFonts w:ascii="Times New Roman" w:hAnsi="Times New Roman"/>
          <w:color w:val="000000"/>
          <w:sz w:val="24"/>
          <w:szCs w:val="32"/>
          <w:lang w:val="lv-LV"/>
        </w:rPr>
        <w:t>dāvanas, pakalpojums un cita veida atlīdzību no auditējamiem.</w:t>
      </w:r>
    </w:p>
    <w:p w14:paraId="289049B0" w14:textId="77777777" w:rsidR="00407CF1" w:rsidRPr="002010CE" w:rsidRDefault="00407CF1" w:rsidP="00407CF1">
      <w:pPr>
        <w:pStyle w:val="BodyText"/>
        <w:numPr>
          <w:ilvl w:val="0"/>
          <w:numId w:val="2"/>
        </w:numPr>
        <w:tabs>
          <w:tab w:val="left" w:pos="1816"/>
        </w:tabs>
        <w:spacing w:before="360"/>
        <w:jc w:val="center"/>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Iekšējā audita neatkarība</w:t>
      </w:r>
    </w:p>
    <w:p w14:paraId="4267BB7B" w14:textId="77777777" w:rsidR="00407CF1" w:rsidRPr="002010CE" w:rsidRDefault="00407CF1" w:rsidP="00407CF1">
      <w:pPr>
        <w:pStyle w:val="BodyText"/>
        <w:tabs>
          <w:tab w:val="left" w:pos="1816"/>
        </w:tabs>
        <w:spacing w:before="240"/>
        <w:rPr>
          <w:rFonts w:ascii="Times New Roman" w:hAnsi="Times New Roman"/>
          <w:color w:val="000000"/>
          <w:sz w:val="24"/>
          <w:szCs w:val="32"/>
          <w:lang w:val="lv-LV"/>
        </w:rPr>
      </w:pPr>
      <w:r w:rsidRPr="002010CE">
        <w:rPr>
          <w:rFonts w:ascii="Times New Roman" w:hAnsi="Times New Roman"/>
          <w:color w:val="000000"/>
          <w:sz w:val="24"/>
          <w:szCs w:val="32"/>
          <w:lang w:val="lv-LV"/>
        </w:rPr>
        <w:t>Iekšējais auditors neiesaistās Pašvaldības tiešo funkciju veikšanā, Eiropas Savienības (ES) pilnīgi vai daļēji finansēto programmu un projektu vai ārvalstu finanšu palīdzības īstenošanā, atsevišķu projektu vai programmu izstrādē, kā arī iekšējās kontroles sistēmas izveidošanā. Iekšējais auditors šādu funkciju veikšanā var piedalīties ar padomdevēja tiesībām.</w:t>
      </w:r>
    </w:p>
    <w:p w14:paraId="20902FA8"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color w:val="000000"/>
          <w:sz w:val="24"/>
          <w:szCs w:val="32"/>
          <w:lang w:val="lv-LV"/>
        </w:rPr>
        <w:t>Iekšējais auditors vismaz gadu nedrīkst auditēt tās funkcijas, kuras pats pirms tam veicis pašvaldībā.</w:t>
      </w:r>
    </w:p>
    <w:p w14:paraId="56810EEE"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color w:val="000000"/>
          <w:sz w:val="24"/>
          <w:szCs w:val="32"/>
          <w:lang w:val="lv-LV"/>
        </w:rPr>
        <w:t xml:space="preserve">Iekšējais auditors </w:t>
      </w:r>
      <w:proofErr w:type="spellStart"/>
      <w:r w:rsidRPr="002010CE">
        <w:rPr>
          <w:rFonts w:ascii="Times New Roman" w:hAnsi="Times New Roman"/>
          <w:color w:val="000000"/>
          <w:sz w:val="24"/>
          <w:szCs w:val="32"/>
          <w:lang w:val="lv-LV"/>
        </w:rPr>
        <w:t>rakstveidā</w:t>
      </w:r>
      <w:proofErr w:type="spellEnd"/>
      <w:r w:rsidRPr="002010CE">
        <w:rPr>
          <w:rFonts w:ascii="Times New Roman" w:hAnsi="Times New Roman"/>
          <w:color w:val="000000"/>
          <w:sz w:val="24"/>
          <w:szCs w:val="32"/>
          <w:lang w:val="lv-LV"/>
        </w:rPr>
        <w:t xml:space="preserve"> ziņo iekšējā audita struktūrvienības vadītājam, bet iekšējā audita struktūrvienības vadītājs — domei / domes priekšsēdētājam vai izpilddirektoram par katru situāciju, kurā ir radies vai varētu rasties interešu konflikts.</w:t>
      </w:r>
    </w:p>
    <w:p w14:paraId="3026A491"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p>
    <w:p w14:paraId="55841BED" w14:textId="77777777" w:rsidR="00407CF1" w:rsidRPr="002010CE" w:rsidRDefault="00407CF1" w:rsidP="00407CF1">
      <w:pPr>
        <w:pStyle w:val="BodyText"/>
        <w:numPr>
          <w:ilvl w:val="0"/>
          <w:numId w:val="2"/>
        </w:numPr>
        <w:tabs>
          <w:tab w:val="left" w:pos="1816"/>
        </w:tabs>
        <w:spacing w:before="120" w:after="240"/>
        <w:jc w:val="center"/>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Iekšējā auditora tiesības, pienākumi un atbildība</w:t>
      </w:r>
    </w:p>
    <w:p w14:paraId="4830375A" w14:textId="77777777" w:rsidR="00407CF1" w:rsidRPr="002010CE" w:rsidRDefault="00407CF1" w:rsidP="00407CF1">
      <w:pPr>
        <w:spacing w:after="120"/>
        <w:jc w:val="both"/>
        <w:rPr>
          <w:rFonts w:ascii="Times New Roman" w:hAnsi="Times New Roman" w:cs="Times New Roman"/>
          <w:color w:val="000000"/>
          <w:sz w:val="24"/>
          <w:szCs w:val="24"/>
        </w:rPr>
      </w:pPr>
      <w:r w:rsidRPr="002010CE">
        <w:rPr>
          <w:rFonts w:ascii="Times New Roman" w:hAnsi="Times New Roman" w:cs="Times New Roman"/>
          <w:color w:val="000000"/>
          <w:sz w:val="24"/>
          <w:szCs w:val="24"/>
        </w:rPr>
        <w:t xml:space="preserve">Iekšējais auditors nodrošina amata aprakstā noteikto uzdevumu savlaicīgu un kvalitatīvu izpildi. Iekšējais auditors, pildot amata pienākumus, ir atbildīgs par savas darbības vai bezdarbības likumību. </w:t>
      </w:r>
    </w:p>
    <w:p w14:paraId="7CC852E1" w14:textId="77777777" w:rsidR="00407CF1" w:rsidRPr="002010CE" w:rsidRDefault="00407CF1" w:rsidP="00407CF1">
      <w:pPr>
        <w:spacing w:after="120"/>
        <w:jc w:val="both"/>
        <w:rPr>
          <w:rFonts w:ascii="Times New Roman" w:hAnsi="Times New Roman" w:cs="Times New Roman"/>
          <w:color w:val="000000"/>
          <w:sz w:val="24"/>
          <w:szCs w:val="24"/>
        </w:rPr>
      </w:pPr>
      <w:r w:rsidRPr="002010CE">
        <w:rPr>
          <w:rFonts w:ascii="Times New Roman" w:hAnsi="Times New Roman" w:cs="Times New Roman"/>
          <w:color w:val="000000"/>
          <w:sz w:val="24"/>
          <w:szCs w:val="24"/>
        </w:rPr>
        <w:t>Iekšējais auditors savā darbībā ievēro Iekšējo auditoru institūta Ētikas kodeksu.</w:t>
      </w:r>
    </w:p>
    <w:p w14:paraId="2C20841D" w14:textId="77777777" w:rsidR="00407CF1" w:rsidRPr="002010CE" w:rsidRDefault="00407CF1" w:rsidP="00407CF1">
      <w:pPr>
        <w:spacing w:after="120"/>
        <w:jc w:val="both"/>
        <w:rPr>
          <w:rFonts w:ascii="Times New Roman" w:hAnsi="Times New Roman" w:cs="Times New Roman"/>
          <w:color w:val="000000"/>
          <w:sz w:val="24"/>
          <w:szCs w:val="24"/>
        </w:rPr>
      </w:pPr>
      <w:r w:rsidRPr="002010CE">
        <w:rPr>
          <w:rFonts w:ascii="Times New Roman" w:hAnsi="Times New Roman" w:cs="Times New Roman"/>
          <w:color w:val="000000"/>
          <w:sz w:val="24"/>
          <w:szCs w:val="24"/>
        </w:rPr>
        <w:t>Iekšējam auditoram ir tiesības iepazīties ar attiecīgās Pašvaldības institūciju rīcībā esošiem dokumentiem, finanšu līdzekļiem, telpām un citām materiālajām vērtībām, kā arī saņemt no darbiniekiem dokumentu kopijas un paskaidrojumus ar iekšējo auditu saistītājos jautājumos. Iekšējam auditoram ir tiesības rakstiski ziņot domei par jebkuru atteikumu uzrādīt iekšējā audita laikā pieprasīto informāciju vai dokumentus.</w:t>
      </w:r>
    </w:p>
    <w:p w14:paraId="76792878" w14:textId="77777777" w:rsidR="00407CF1" w:rsidRPr="002010CE" w:rsidRDefault="00407CF1" w:rsidP="00407CF1">
      <w:pPr>
        <w:pStyle w:val="BodyText"/>
        <w:tabs>
          <w:tab w:val="left" w:pos="1816"/>
        </w:tabs>
        <w:spacing w:before="120"/>
        <w:jc w:val="center"/>
        <w:rPr>
          <w:rFonts w:ascii="Times New Roman" w:hAnsi="Times New Roman"/>
          <w:b/>
          <w:bCs/>
          <w:color w:val="000000"/>
          <w:sz w:val="24"/>
          <w:szCs w:val="32"/>
          <w:lang w:val="lv-LV"/>
        </w:rPr>
      </w:pPr>
    </w:p>
    <w:p w14:paraId="21127EEE" w14:textId="77777777" w:rsidR="00407CF1" w:rsidRPr="002010CE" w:rsidRDefault="00407CF1" w:rsidP="00407CF1">
      <w:pPr>
        <w:pStyle w:val="BodyText"/>
        <w:numPr>
          <w:ilvl w:val="0"/>
          <w:numId w:val="2"/>
        </w:numPr>
        <w:tabs>
          <w:tab w:val="left" w:pos="1816"/>
        </w:tabs>
        <w:spacing w:before="120" w:after="240"/>
        <w:jc w:val="center"/>
        <w:rPr>
          <w:rFonts w:ascii="Times New Roman" w:hAnsi="Times New Roman"/>
          <w:b/>
          <w:bCs/>
          <w:color w:val="000000"/>
          <w:sz w:val="24"/>
          <w:szCs w:val="32"/>
          <w:lang w:val="lv-LV"/>
        </w:rPr>
      </w:pPr>
      <w:r w:rsidRPr="002010CE">
        <w:rPr>
          <w:rFonts w:ascii="Times New Roman" w:hAnsi="Times New Roman"/>
          <w:b/>
          <w:bCs/>
          <w:color w:val="000000"/>
          <w:sz w:val="24"/>
          <w:szCs w:val="32"/>
          <w:lang w:val="lv-LV"/>
        </w:rPr>
        <w:t xml:space="preserve">Noslēguma jautājumi </w:t>
      </w:r>
    </w:p>
    <w:p w14:paraId="5D9C2356"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color w:val="000000"/>
          <w:sz w:val="24"/>
          <w:szCs w:val="32"/>
          <w:lang w:val="lv-LV"/>
        </w:rPr>
        <w:lastRenderedPageBreak/>
        <w:t>Jaunos darbiniekus ar šiem noteikumiem iepazīstina Personāla nodaļa darba tiesisko attiecību nodibināšanas dienā.</w:t>
      </w:r>
    </w:p>
    <w:p w14:paraId="4A0480E5"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color w:val="000000"/>
          <w:sz w:val="24"/>
          <w:szCs w:val="32"/>
          <w:lang w:val="lv-LV"/>
        </w:rPr>
        <w:t xml:space="preserve">Iekšējā audita nodaļa regulāri pārskata Ētikas kodeksa saturu un nepieciešamības gadījumā sniedz priekšlikumus tā aktualizēšanai. </w:t>
      </w:r>
    </w:p>
    <w:p w14:paraId="1C8EAE4B"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p>
    <w:p w14:paraId="18361382"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p>
    <w:p w14:paraId="29D1A530"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p>
    <w:p w14:paraId="6ABAEDAA" w14:textId="77777777" w:rsidR="00407CF1" w:rsidRPr="002010CE" w:rsidRDefault="00407CF1" w:rsidP="00407CF1">
      <w:pPr>
        <w:pStyle w:val="BodyText"/>
        <w:tabs>
          <w:tab w:val="left" w:pos="1816"/>
        </w:tabs>
        <w:spacing w:before="120"/>
        <w:rPr>
          <w:rFonts w:ascii="Times New Roman" w:hAnsi="Times New Roman"/>
          <w:color w:val="000000"/>
          <w:sz w:val="24"/>
          <w:szCs w:val="32"/>
          <w:lang w:val="lv-LV"/>
        </w:rPr>
      </w:pPr>
      <w:r w:rsidRPr="002010CE">
        <w:rPr>
          <w:rFonts w:ascii="Times New Roman" w:hAnsi="Times New Roman"/>
          <w:color w:val="000000"/>
          <w:sz w:val="24"/>
          <w:szCs w:val="32"/>
          <w:lang w:val="lv-LV"/>
        </w:rPr>
        <w:t>Domes priekšsēdētājs</w:t>
      </w:r>
      <w:r w:rsidRPr="002010CE">
        <w:rPr>
          <w:rFonts w:ascii="Times New Roman" w:hAnsi="Times New Roman"/>
          <w:b/>
          <w:bCs/>
          <w:color w:val="000000"/>
          <w:sz w:val="24"/>
          <w:szCs w:val="32"/>
          <w:lang w:val="lv-LV"/>
        </w:rPr>
        <w:t xml:space="preserve"> </w:t>
      </w:r>
      <w:r w:rsidRPr="002010CE">
        <w:rPr>
          <w:rFonts w:ascii="Times New Roman" w:hAnsi="Times New Roman"/>
          <w:b/>
          <w:bCs/>
          <w:color w:val="000000"/>
          <w:sz w:val="24"/>
          <w:szCs w:val="32"/>
          <w:lang w:val="lv-LV"/>
        </w:rPr>
        <w:tab/>
      </w:r>
      <w:r w:rsidRPr="002010CE">
        <w:rPr>
          <w:rFonts w:ascii="Times New Roman" w:hAnsi="Times New Roman"/>
          <w:color w:val="000000"/>
          <w:sz w:val="24"/>
          <w:szCs w:val="32"/>
          <w:lang w:val="lv-LV"/>
        </w:rPr>
        <w:tab/>
      </w:r>
      <w:r w:rsidRPr="002010CE">
        <w:rPr>
          <w:rFonts w:ascii="Times New Roman" w:hAnsi="Times New Roman"/>
          <w:color w:val="000000"/>
          <w:sz w:val="24"/>
          <w:szCs w:val="32"/>
          <w:lang w:val="lv-LV"/>
        </w:rPr>
        <w:tab/>
      </w:r>
      <w:r w:rsidRPr="002010CE">
        <w:rPr>
          <w:rFonts w:ascii="Times New Roman" w:hAnsi="Times New Roman"/>
          <w:color w:val="000000"/>
          <w:sz w:val="24"/>
          <w:szCs w:val="32"/>
          <w:lang w:val="lv-LV"/>
        </w:rPr>
        <w:tab/>
        <w:t xml:space="preserve">Paraksts </w:t>
      </w:r>
      <w:r w:rsidRPr="002010CE">
        <w:rPr>
          <w:rFonts w:ascii="Times New Roman" w:hAnsi="Times New Roman"/>
          <w:color w:val="000000"/>
          <w:sz w:val="24"/>
          <w:szCs w:val="32"/>
          <w:lang w:val="lv-LV"/>
        </w:rPr>
        <w:tab/>
      </w:r>
      <w:r w:rsidRPr="002010CE">
        <w:rPr>
          <w:rFonts w:ascii="Times New Roman" w:hAnsi="Times New Roman"/>
          <w:color w:val="000000"/>
          <w:sz w:val="24"/>
          <w:szCs w:val="32"/>
          <w:lang w:val="lv-LV"/>
        </w:rPr>
        <w:tab/>
      </w:r>
      <w:r w:rsidRPr="002010CE">
        <w:rPr>
          <w:rFonts w:ascii="Times New Roman" w:hAnsi="Times New Roman"/>
          <w:color w:val="000000"/>
          <w:sz w:val="24"/>
          <w:szCs w:val="32"/>
          <w:lang w:val="lv-LV"/>
        </w:rPr>
        <w:tab/>
      </w:r>
      <w:r w:rsidRPr="002010CE">
        <w:rPr>
          <w:rFonts w:ascii="Times New Roman" w:hAnsi="Times New Roman"/>
          <w:color w:val="000000"/>
          <w:sz w:val="24"/>
          <w:szCs w:val="32"/>
          <w:lang w:val="lv-LV"/>
        </w:rPr>
        <w:tab/>
        <w:t>V. Uzvārds</w:t>
      </w:r>
    </w:p>
    <w:p w14:paraId="075DDD81" w14:textId="77777777" w:rsidR="009739DC" w:rsidRDefault="009739DC"/>
    <w:sectPr w:rsidR="009739DC" w:rsidSect="00407CF1">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098AF" w14:textId="77777777" w:rsidR="00737178" w:rsidRDefault="00737178" w:rsidP="003B374C">
      <w:pPr>
        <w:spacing w:after="0"/>
      </w:pPr>
      <w:r>
        <w:separator/>
      </w:r>
    </w:p>
  </w:endnote>
  <w:endnote w:type="continuationSeparator" w:id="0">
    <w:p w14:paraId="43BAF649" w14:textId="77777777" w:rsidR="00737178" w:rsidRDefault="00737178" w:rsidP="003B3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1FE2" w14:textId="77777777" w:rsidR="001660B6" w:rsidRDefault="00166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E5385" w14:textId="77777777" w:rsidR="001660B6" w:rsidRDefault="00166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9E5E" w14:textId="77777777" w:rsidR="001660B6" w:rsidRDefault="00166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87044" w14:textId="77777777" w:rsidR="00737178" w:rsidRDefault="00737178" w:rsidP="003B374C">
      <w:pPr>
        <w:spacing w:after="0"/>
      </w:pPr>
      <w:r>
        <w:separator/>
      </w:r>
    </w:p>
  </w:footnote>
  <w:footnote w:type="continuationSeparator" w:id="0">
    <w:p w14:paraId="1FDBCC58" w14:textId="77777777" w:rsidR="00737178" w:rsidRDefault="00737178" w:rsidP="003B3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89809" w14:textId="77777777" w:rsidR="001660B6" w:rsidRDefault="00166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7A52" w14:textId="1B9905F3" w:rsidR="001660B6" w:rsidRDefault="001660B6" w:rsidP="003B374C">
    <w:pPr>
      <w:pStyle w:val="Header"/>
      <w:jc w:val="right"/>
      <w:rPr>
        <w:rFonts w:ascii="Times New Roman" w:hAnsi="Times New Roman" w:cs="Times New Roman"/>
        <w:i/>
        <w:iCs/>
        <w:color w:val="000000"/>
        <w:sz w:val="24"/>
        <w:szCs w:val="28"/>
      </w:rPr>
    </w:pPr>
    <w:r>
      <w:rPr>
        <w:rFonts w:asciiTheme="majorBidi" w:hAnsiTheme="majorBidi" w:cstheme="majorBidi"/>
        <w:i/>
        <w:iCs/>
        <w:color w:val="auto"/>
      </w:rPr>
      <w:t xml:space="preserve">Rokasgrāmata 2024: (II) </w:t>
    </w:r>
    <w:r>
      <w:rPr>
        <w:rFonts w:ascii="Times New Roman" w:hAnsi="Times New Roman"/>
        <w:i/>
        <w:iCs/>
        <w:color w:val="000000"/>
      </w:rPr>
      <w:t>Pašvaldību iekšējais audits</w:t>
    </w:r>
  </w:p>
  <w:p w14:paraId="08C69BDB" w14:textId="79535F6B" w:rsidR="003B374C" w:rsidRPr="002010CE" w:rsidRDefault="003B374C" w:rsidP="003B374C">
    <w:pPr>
      <w:pStyle w:val="Header"/>
      <w:jc w:val="right"/>
      <w:rPr>
        <w:rFonts w:ascii="Times New Roman" w:hAnsi="Times New Roman" w:cs="Times New Roman"/>
        <w:i/>
        <w:iCs/>
        <w:color w:val="000000"/>
        <w:sz w:val="24"/>
        <w:szCs w:val="28"/>
      </w:rPr>
    </w:pPr>
    <w:r w:rsidRPr="002010CE">
      <w:rPr>
        <w:rFonts w:ascii="Times New Roman" w:hAnsi="Times New Roman" w:cs="Times New Roman"/>
        <w:i/>
        <w:iCs/>
        <w:color w:val="000000"/>
        <w:sz w:val="24"/>
        <w:szCs w:val="28"/>
      </w:rPr>
      <w:t>RG2_P5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3BBFB" w14:textId="77777777" w:rsidR="001660B6" w:rsidRDefault="00166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70644"/>
    <w:multiLevelType w:val="hybridMultilevel"/>
    <w:tmpl w:val="4BAEDC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5D51B14"/>
    <w:multiLevelType w:val="multilevel"/>
    <w:tmpl w:val="A2BA6164"/>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78937176">
    <w:abstractNumId w:val="1"/>
  </w:num>
  <w:num w:numId="2" w16cid:durableId="146121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F1"/>
    <w:rsid w:val="00035AEC"/>
    <w:rsid w:val="001660B6"/>
    <w:rsid w:val="002010CE"/>
    <w:rsid w:val="003324D1"/>
    <w:rsid w:val="003B374C"/>
    <w:rsid w:val="00407CF1"/>
    <w:rsid w:val="00737178"/>
    <w:rsid w:val="008B7864"/>
    <w:rsid w:val="008C7C87"/>
    <w:rsid w:val="009739DC"/>
    <w:rsid w:val="00A62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EB0D"/>
  <w15:chartTrackingRefBased/>
  <w15:docId w15:val="{F9473AD2-431F-4079-9E97-53B00E45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407CF1"/>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407CF1"/>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407CF1"/>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407CF1"/>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CF1"/>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407CF1"/>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407CF1"/>
    <w:rPr>
      <w:rFonts w:ascii="Arial" w:eastAsiaTheme="majorEastAsia" w:hAnsi="Arial" w:cstheme="majorBidi"/>
      <w:b/>
      <w:color w:val="2F5496"/>
      <w:kern w:val="0"/>
      <w:sz w:val="20"/>
      <w:szCs w:val="24"/>
      <w14:ligatures w14:val="none"/>
    </w:rPr>
  </w:style>
  <w:style w:type="paragraph" w:styleId="BodyText">
    <w:name w:val="Body Text"/>
    <w:basedOn w:val="Normal"/>
    <w:link w:val="BodyTextChar"/>
    <w:uiPriority w:val="99"/>
    <w:qFormat/>
    <w:rsid w:val="00407CF1"/>
    <w:pPr>
      <w:spacing w:after="120"/>
      <w:jc w:val="both"/>
    </w:pPr>
    <w:rPr>
      <w:rFonts w:eastAsia="Times New Roman" w:cs="Times New Roman"/>
      <w:szCs w:val="24"/>
      <w:lang w:val="en-US"/>
    </w:rPr>
  </w:style>
  <w:style w:type="character" w:customStyle="1" w:styleId="BodyTextChar">
    <w:name w:val="Body Text Char"/>
    <w:basedOn w:val="DefaultParagraphFont"/>
    <w:link w:val="BodyText"/>
    <w:uiPriority w:val="99"/>
    <w:rsid w:val="00407CF1"/>
    <w:rPr>
      <w:rFonts w:ascii="Arial" w:eastAsia="Times New Roman" w:hAnsi="Arial" w:cs="Times New Roman"/>
      <w:color w:val="5E6175"/>
      <w:kern w:val="0"/>
      <w:sz w:val="20"/>
      <w:szCs w:val="24"/>
      <w:lang w:val="en-US"/>
      <w14:ligatures w14:val="none"/>
    </w:rPr>
  </w:style>
  <w:style w:type="table" w:styleId="GridTable1Light-Accent1">
    <w:name w:val="Grid Table 1 Light Accent 1"/>
    <w:basedOn w:val="TableNormal"/>
    <w:uiPriority w:val="46"/>
    <w:rsid w:val="00407CF1"/>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B374C"/>
    <w:pPr>
      <w:tabs>
        <w:tab w:val="center" w:pos="4513"/>
        <w:tab w:val="right" w:pos="9026"/>
      </w:tabs>
      <w:spacing w:after="0"/>
    </w:pPr>
  </w:style>
  <w:style w:type="character" w:customStyle="1" w:styleId="HeaderChar">
    <w:name w:val="Header Char"/>
    <w:basedOn w:val="DefaultParagraphFont"/>
    <w:link w:val="Header"/>
    <w:uiPriority w:val="99"/>
    <w:rsid w:val="003B374C"/>
    <w:rPr>
      <w:rFonts w:ascii="Arial" w:hAnsi="Arial"/>
      <w:color w:val="5E6175"/>
      <w:kern w:val="0"/>
      <w:sz w:val="20"/>
      <w14:ligatures w14:val="none"/>
    </w:rPr>
  </w:style>
  <w:style w:type="paragraph" w:styleId="Footer">
    <w:name w:val="footer"/>
    <w:basedOn w:val="Normal"/>
    <w:link w:val="FooterChar"/>
    <w:uiPriority w:val="99"/>
    <w:unhideWhenUsed/>
    <w:rsid w:val="003B374C"/>
    <w:pPr>
      <w:tabs>
        <w:tab w:val="center" w:pos="4513"/>
        <w:tab w:val="right" w:pos="9026"/>
      </w:tabs>
      <w:spacing w:after="0"/>
    </w:pPr>
  </w:style>
  <w:style w:type="character" w:customStyle="1" w:styleId="FooterChar">
    <w:name w:val="Footer Char"/>
    <w:basedOn w:val="DefaultParagraphFont"/>
    <w:link w:val="Footer"/>
    <w:uiPriority w:val="99"/>
    <w:rsid w:val="003B374C"/>
    <w:rPr>
      <w:rFonts w:ascii="Arial" w:hAnsi="Arial"/>
      <w:color w:val="5E6175"/>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256F9-9B8A-456A-91C1-577DB885C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84966-1D0D-405E-8CF5-FEE4F90668F5}">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3738</Words>
  <Characters>2131</Characters>
  <Application>Microsoft Office Word</Application>
  <DocSecurity>0</DocSecurity>
  <Lines>17</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6</cp:revision>
  <dcterms:created xsi:type="dcterms:W3CDTF">2023-07-10T20:13:00Z</dcterms:created>
  <dcterms:modified xsi:type="dcterms:W3CDTF">2025-01-31T16:20:00Z</dcterms:modified>
</cp:coreProperties>
</file>