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8C0C" w14:textId="77777777" w:rsidR="00786DAF" w:rsidRDefault="00786DAF" w:rsidP="002C22B9">
      <w:pPr>
        <w:jc w:val="center"/>
        <w:rPr>
          <w:sz w:val="20"/>
        </w:rPr>
      </w:pPr>
    </w:p>
    <w:p w14:paraId="44B091EF" w14:textId="77777777" w:rsidR="002C22B9" w:rsidRDefault="00000000" w:rsidP="002C22B9">
      <w:pPr>
        <w:jc w:val="center"/>
        <w:rPr>
          <w:sz w:val="20"/>
        </w:rPr>
      </w:pPr>
      <w:r w:rsidRPr="00914649">
        <w:rPr>
          <w:sz w:val="20"/>
        </w:rPr>
        <w:t>Rīgā</w:t>
      </w:r>
    </w:p>
    <w:p w14:paraId="44DB551E" w14:textId="77777777" w:rsidR="002C22B9" w:rsidRDefault="002C22B9" w:rsidP="007F3771">
      <w:pPr>
        <w:rPr>
          <w:spacing w:val="4"/>
          <w:sz w:val="20"/>
        </w:rPr>
      </w:pPr>
    </w:p>
    <w:tbl>
      <w:tblPr>
        <w:tblW w:w="0" w:type="auto"/>
        <w:tblLook w:val="0000" w:firstRow="0" w:lastRow="0" w:firstColumn="0" w:lastColumn="0" w:noHBand="0" w:noVBand="0"/>
      </w:tblPr>
      <w:tblGrid>
        <w:gridCol w:w="450"/>
        <w:gridCol w:w="2670"/>
        <w:gridCol w:w="708"/>
        <w:gridCol w:w="2727"/>
      </w:tblGrid>
      <w:tr w:rsidR="004212D9" w14:paraId="52C41291" w14:textId="77777777" w:rsidTr="00845161">
        <w:tc>
          <w:tcPr>
            <w:tcW w:w="450" w:type="dxa"/>
            <w:tcBorders>
              <w:top w:val="nil"/>
              <w:left w:val="nil"/>
              <w:bottom w:val="nil"/>
              <w:right w:val="nil"/>
            </w:tcBorders>
          </w:tcPr>
          <w:p w14:paraId="2D5D2AD4" w14:textId="77777777" w:rsidR="002C22B9" w:rsidRPr="00615936" w:rsidRDefault="002C22B9" w:rsidP="002C22B9">
            <w:pPr>
              <w:tabs>
                <w:tab w:val="left" w:pos="360"/>
                <w:tab w:val="left" w:pos="3960"/>
              </w:tabs>
              <w:rPr>
                <w:sz w:val="20"/>
              </w:rPr>
            </w:pPr>
          </w:p>
        </w:tc>
        <w:tc>
          <w:tcPr>
            <w:tcW w:w="2670" w:type="dxa"/>
            <w:tcBorders>
              <w:top w:val="nil"/>
              <w:left w:val="nil"/>
              <w:bottom w:val="single" w:sz="4" w:space="0" w:color="auto"/>
              <w:right w:val="nil"/>
            </w:tcBorders>
          </w:tcPr>
          <w:p w14:paraId="6A40D311" w14:textId="77777777" w:rsidR="002C22B9" w:rsidRPr="00615936" w:rsidRDefault="00000000" w:rsidP="002C22B9">
            <w:pPr>
              <w:tabs>
                <w:tab w:val="left" w:pos="3960"/>
              </w:tabs>
              <w:rPr>
                <w:szCs w:val="24"/>
              </w:rPr>
            </w:pPr>
            <w:r>
              <w:rPr>
                <w:noProof/>
              </w:rPr>
              <w:t>24.09.2025</w:t>
            </w:r>
          </w:p>
        </w:tc>
        <w:tc>
          <w:tcPr>
            <w:tcW w:w="708" w:type="dxa"/>
            <w:tcBorders>
              <w:top w:val="nil"/>
              <w:left w:val="nil"/>
              <w:bottom w:val="nil"/>
              <w:right w:val="nil"/>
            </w:tcBorders>
          </w:tcPr>
          <w:p w14:paraId="53EE1B07" w14:textId="77777777" w:rsidR="002C22B9" w:rsidRPr="00615936" w:rsidRDefault="00000000"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14:paraId="708FABF0" w14:textId="77777777" w:rsidR="002C22B9" w:rsidRPr="00615936" w:rsidRDefault="00000000" w:rsidP="002C22B9">
            <w:pPr>
              <w:tabs>
                <w:tab w:val="left" w:pos="360"/>
                <w:tab w:val="left" w:pos="3960"/>
              </w:tabs>
              <w:rPr>
                <w:szCs w:val="24"/>
              </w:rPr>
            </w:pPr>
            <w:r>
              <w:rPr>
                <w:noProof/>
              </w:rPr>
              <w:t>2.1-3/3-1/2858</w:t>
            </w:r>
          </w:p>
        </w:tc>
      </w:tr>
      <w:tr w:rsidR="004212D9" w14:paraId="2CEECB5B" w14:textId="77777777" w:rsidTr="00845161">
        <w:trPr>
          <w:trHeight w:val="188"/>
        </w:trPr>
        <w:tc>
          <w:tcPr>
            <w:tcW w:w="450" w:type="dxa"/>
            <w:tcBorders>
              <w:top w:val="nil"/>
              <w:left w:val="nil"/>
              <w:bottom w:val="nil"/>
              <w:right w:val="nil"/>
            </w:tcBorders>
          </w:tcPr>
          <w:p w14:paraId="47093298" w14:textId="77777777" w:rsidR="002C22B9" w:rsidRPr="00615936" w:rsidRDefault="002C22B9" w:rsidP="002C22B9">
            <w:pPr>
              <w:tabs>
                <w:tab w:val="left" w:pos="360"/>
                <w:tab w:val="left" w:pos="3960"/>
              </w:tabs>
              <w:rPr>
                <w:sz w:val="20"/>
              </w:rPr>
            </w:pPr>
          </w:p>
        </w:tc>
        <w:tc>
          <w:tcPr>
            <w:tcW w:w="2670" w:type="dxa"/>
            <w:tcBorders>
              <w:top w:val="single" w:sz="4" w:space="0" w:color="auto"/>
              <w:left w:val="nil"/>
              <w:bottom w:val="nil"/>
              <w:right w:val="nil"/>
            </w:tcBorders>
          </w:tcPr>
          <w:p w14:paraId="46E6DCF7" w14:textId="77777777"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14:paraId="21B7D137" w14:textId="77777777"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14:paraId="23E1EA86" w14:textId="77777777" w:rsidR="002C22B9" w:rsidRPr="00615936" w:rsidRDefault="002C22B9" w:rsidP="002C22B9">
            <w:pPr>
              <w:tabs>
                <w:tab w:val="left" w:pos="360"/>
                <w:tab w:val="left" w:pos="3960"/>
              </w:tabs>
              <w:rPr>
                <w:sz w:val="20"/>
              </w:rPr>
            </w:pPr>
          </w:p>
        </w:tc>
      </w:tr>
      <w:tr w:rsidR="004212D9" w14:paraId="6876AA9D" w14:textId="77777777" w:rsidTr="00845161">
        <w:tc>
          <w:tcPr>
            <w:tcW w:w="450" w:type="dxa"/>
            <w:tcBorders>
              <w:top w:val="nil"/>
              <w:left w:val="nil"/>
              <w:bottom w:val="nil"/>
              <w:right w:val="nil"/>
            </w:tcBorders>
          </w:tcPr>
          <w:p w14:paraId="5FFC3022" w14:textId="77777777" w:rsidR="00845161" w:rsidRPr="00615936" w:rsidRDefault="00000000" w:rsidP="00845161">
            <w:pPr>
              <w:tabs>
                <w:tab w:val="left" w:pos="360"/>
                <w:tab w:val="left" w:pos="3960"/>
              </w:tabs>
              <w:rPr>
                <w:sz w:val="20"/>
              </w:rPr>
            </w:pPr>
            <w:r w:rsidRPr="00615936">
              <w:rPr>
                <w:sz w:val="20"/>
              </w:rPr>
              <w:t>Uz</w:t>
            </w:r>
          </w:p>
        </w:tc>
        <w:tc>
          <w:tcPr>
            <w:tcW w:w="2670" w:type="dxa"/>
            <w:tcBorders>
              <w:top w:val="nil"/>
              <w:left w:val="nil"/>
              <w:bottom w:val="single" w:sz="4" w:space="0" w:color="auto"/>
              <w:right w:val="nil"/>
            </w:tcBorders>
          </w:tcPr>
          <w:p w14:paraId="68CF6C87" w14:textId="77777777" w:rsidR="00845161" w:rsidRPr="00615936" w:rsidRDefault="00000000" w:rsidP="00845161">
            <w:pPr>
              <w:tabs>
                <w:tab w:val="left" w:pos="360"/>
                <w:tab w:val="left" w:pos="3960"/>
              </w:tabs>
              <w:rPr>
                <w:szCs w:val="24"/>
              </w:rPr>
            </w:pPr>
            <w:r w:rsidRPr="00845161">
              <w:rPr>
                <w:sz w:val="20"/>
              </w:rPr>
              <w:t>02.06.2025</w:t>
            </w:r>
          </w:p>
        </w:tc>
        <w:tc>
          <w:tcPr>
            <w:tcW w:w="708" w:type="dxa"/>
            <w:tcBorders>
              <w:top w:val="nil"/>
              <w:left w:val="nil"/>
              <w:bottom w:val="nil"/>
              <w:right w:val="nil"/>
            </w:tcBorders>
          </w:tcPr>
          <w:p w14:paraId="7883719F" w14:textId="77777777" w:rsidR="00845161" w:rsidRPr="00615936" w:rsidRDefault="00000000" w:rsidP="00845161">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vAlign w:val="bottom"/>
          </w:tcPr>
          <w:p w14:paraId="65AAE742" w14:textId="77777777" w:rsidR="00845161" w:rsidRPr="00615936" w:rsidRDefault="00000000" w:rsidP="00845161">
            <w:pPr>
              <w:tabs>
                <w:tab w:val="left" w:pos="360"/>
                <w:tab w:val="left" w:pos="3960"/>
              </w:tabs>
              <w:rPr>
                <w:szCs w:val="24"/>
              </w:rPr>
            </w:pPr>
            <w:r>
              <w:rPr>
                <w:sz w:val="20"/>
              </w:rPr>
              <w:t>1-08/172</w:t>
            </w:r>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212D9" w14:paraId="131A585E" w14:textId="77777777" w:rsidTr="000C0DD4">
        <w:trPr>
          <w:jc w:val="right"/>
        </w:trPr>
        <w:tc>
          <w:tcPr>
            <w:tcW w:w="4644" w:type="dxa"/>
          </w:tcPr>
          <w:p w14:paraId="2B7C287F" w14:textId="77777777" w:rsidR="004E7972" w:rsidRPr="00901FD8" w:rsidRDefault="004E7972" w:rsidP="004978CB">
            <w:pPr>
              <w:jc w:val="right"/>
              <w:rPr>
                <w:szCs w:val="24"/>
                <w:lang w:eastAsia="lv-LV"/>
              </w:rPr>
            </w:pPr>
            <w:bookmarkStart w:id="0" w:name="org_nos"/>
          </w:p>
          <w:p w14:paraId="552A5359" w14:textId="77777777" w:rsidR="004E7972" w:rsidRPr="00901FD8" w:rsidRDefault="004E7972" w:rsidP="004978CB">
            <w:pPr>
              <w:jc w:val="right"/>
              <w:rPr>
                <w:szCs w:val="24"/>
                <w:lang w:eastAsia="lv-LV"/>
              </w:rPr>
            </w:pPr>
          </w:p>
          <w:p w14:paraId="53CC548C" w14:textId="77777777" w:rsidR="006A4D4A" w:rsidRPr="00901FD8" w:rsidRDefault="00000000" w:rsidP="006A4D4A">
            <w:pPr>
              <w:jc w:val="right"/>
              <w:rPr>
                <w:szCs w:val="24"/>
                <w:lang w:eastAsia="lv-LV"/>
              </w:rPr>
            </w:pPr>
            <w:r w:rsidRPr="00901FD8">
              <w:rPr>
                <w:szCs w:val="24"/>
                <w:lang w:eastAsia="lv-LV"/>
              </w:rPr>
              <w:t xml:space="preserve"> </w:t>
            </w:r>
            <w:r w:rsidRPr="00901FD8">
              <w:rPr>
                <w:noProof/>
                <w:szCs w:val="24"/>
                <w:lang w:eastAsia="lv-LV"/>
              </w:rPr>
              <w:t>Fiskālās disciplīnas padome</w:t>
            </w:r>
          </w:p>
          <w:p w14:paraId="60D4692E" w14:textId="77777777" w:rsidR="006A4D4A" w:rsidRPr="00901FD8" w:rsidRDefault="006A4D4A" w:rsidP="006A4D4A">
            <w:pPr>
              <w:jc w:val="right"/>
              <w:rPr>
                <w:szCs w:val="24"/>
                <w:lang w:eastAsia="lv-LV"/>
              </w:rPr>
            </w:pPr>
          </w:p>
          <w:p w14:paraId="4FD4003F" w14:textId="77777777" w:rsidR="000C0DD4" w:rsidRPr="00901FD8" w:rsidRDefault="00000000" w:rsidP="006A4D4A">
            <w:pPr>
              <w:jc w:val="right"/>
              <w:rPr>
                <w:szCs w:val="24"/>
                <w:lang w:eastAsia="lv-LV"/>
              </w:rPr>
            </w:pPr>
            <w:r w:rsidRPr="00901FD8">
              <w:rPr>
                <w:szCs w:val="24"/>
                <w:lang w:eastAsia="lv-LV"/>
              </w:rPr>
              <w:t>Paziņošanai eAdresē</w:t>
            </w:r>
          </w:p>
        </w:tc>
      </w:tr>
      <w:bookmarkEnd w:id="0"/>
    </w:tbl>
    <w:p w14:paraId="74BCBBB4" w14:textId="77777777" w:rsidR="001F53D9" w:rsidRDefault="001F53D9" w:rsidP="004F32A1">
      <w:pPr>
        <w:rPr>
          <w:spacing w:val="4"/>
          <w:sz w:val="20"/>
        </w:rPr>
      </w:pPr>
    </w:p>
    <w:p w14:paraId="0779D304" w14:textId="77777777" w:rsidR="004E7972" w:rsidRPr="007F3771" w:rsidRDefault="004E7972" w:rsidP="004F32A1">
      <w:pPr>
        <w:rPr>
          <w:spacing w:val="4"/>
          <w:sz w:val="20"/>
        </w:rPr>
      </w:pPr>
    </w:p>
    <w:tbl>
      <w:tblPr>
        <w:tblStyle w:val="TableGrid"/>
        <w:tblW w:w="0" w:type="auto"/>
        <w:tblLook w:val="04A0" w:firstRow="1" w:lastRow="0" w:firstColumn="1" w:lastColumn="0" w:noHBand="0" w:noVBand="1"/>
      </w:tblPr>
      <w:tblGrid>
        <w:gridCol w:w="4503"/>
      </w:tblGrid>
      <w:tr w:rsidR="004212D9" w14:paraId="27782394" w14:textId="77777777" w:rsidTr="000C0DD4">
        <w:tc>
          <w:tcPr>
            <w:tcW w:w="4503" w:type="dxa"/>
            <w:tcBorders>
              <w:top w:val="nil"/>
              <w:left w:val="nil"/>
              <w:bottom w:val="nil"/>
              <w:right w:val="nil"/>
            </w:tcBorders>
          </w:tcPr>
          <w:p w14:paraId="67A10636" w14:textId="77777777" w:rsidR="000C0DD4" w:rsidRPr="004E7972" w:rsidRDefault="00000000" w:rsidP="00C04DED">
            <w:pPr>
              <w:jc w:val="left"/>
              <w:rPr>
                <w:szCs w:val="24"/>
                <w:lang w:eastAsia="lv-LV"/>
              </w:rPr>
            </w:pPr>
            <w:r w:rsidRPr="004E7972">
              <w:rPr>
                <w:noProof/>
                <w:szCs w:val="24"/>
                <w:lang w:eastAsia="lv-LV"/>
              </w:rPr>
              <w:t>Par neatbilstības ziņojumu</w:t>
            </w:r>
          </w:p>
        </w:tc>
      </w:tr>
    </w:tbl>
    <w:p w14:paraId="46F9B610" w14:textId="77777777" w:rsidR="00E04F00" w:rsidRPr="00615936" w:rsidRDefault="00E04F00" w:rsidP="00C04DED">
      <w:pPr>
        <w:jc w:val="left"/>
        <w:rPr>
          <w:szCs w:val="24"/>
        </w:rPr>
      </w:pPr>
    </w:p>
    <w:p w14:paraId="74CA60B8" w14:textId="77777777" w:rsidR="006D6710" w:rsidRPr="00615936" w:rsidRDefault="006D6710" w:rsidP="007F3771">
      <w:pPr>
        <w:rPr>
          <w:szCs w:val="24"/>
        </w:rPr>
      </w:pPr>
    </w:p>
    <w:p w14:paraId="12ED7C0A" w14:textId="77777777" w:rsidR="00845161" w:rsidRDefault="00000000" w:rsidP="00845161">
      <w:pPr>
        <w:tabs>
          <w:tab w:val="left" w:pos="6740"/>
        </w:tabs>
        <w:ind w:firstLine="567"/>
        <w:rPr>
          <w:szCs w:val="24"/>
        </w:rPr>
      </w:pPr>
      <w:r>
        <w:rPr>
          <w:szCs w:val="24"/>
        </w:rPr>
        <w:t xml:space="preserve">Finanšu ministrija ir saņēmusi Fiskālās disciplīnas padomes 2025. gada 2. jūnija neatbilstības ziņojumu par Fiskālās disciplīnas likuma pārkāpumu un atbilstoši savai kompetencei sniedz viedokli. </w:t>
      </w:r>
    </w:p>
    <w:p w14:paraId="3BBC5596" w14:textId="77777777" w:rsidR="00845161" w:rsidRPr="00FB0E02" w:rsidRDefault="00000000" w:rsidP="00845161">
      <w:pPr>
        <w:tabs>
          <w:tab w:val="left" w:pos="6740"/>
        </w:tabs>
        <w:ind w:firstLine="567"/>
        <w:rPr>
          <w:szCs w:val="24"/>
        </w:rPr>
      </w:pPr>
      <w:r w:rsidRPr="00FB0E02">
        <w:rPr>
          <w:szCs w:val="24"/>
        </w:rPr>
        <w:t>Ministru kabineta 2025. gada 27. maija sēdē tika izskatīts un atbalstīts Izglītības un zinātnes ministrijas sagatavotais likumprojekts “Grozījumi Izglītības likumā” (2</w:t>
      </w:r>
      <w:r>
        <w:rPr>
          <w:szCs w:val="24"/>
        </w:rPr>
        <w:t>4</w:t>
      </w:r>
      <w:r w:rsidRPr="00FB0E02">
        <w:rPr>
          <w:szCs w:val="24"/>
        </w:rPr>
        <w:t>-TA-234)</w:t>
      </w:r>
      <w:r>
        <w:rPr>
          <w:szCs w:val="24"/>
        </w:rPr>
        <w:t xml:space="preserve">. </w:t>
      </w:r>
      <w:r w:rsidRPr="00FB0E02">
        <w:rPr>
          <w:szCs w:val="24"/>
        </w:rPr>
        <w:t>Likumprojekts paredz noteikt:</w:t>
      </w:r>
    </w:p>
    <w:p w14:paraId="432C400C" w14:textId="77777777" w:rsidR="00845161" w:rsidRPr="00FB0E02" w:rsidRDefault="00000000" w:rsidP="00845161">
      <w:pPr>
        <w:tabs>
          <w:tab w:val="left" w:pos="6740"/>
        </w:tabs>
        <w:ind w:firstLine="567"/>
        <w:rPr>
          <w:szCs w:val="24"/>
        </w:rPr>
      </w:pPr>
      <w:r w:rsidRPr="00FB0E02">
        <w:rPr>
          <w:szCs w:val="24"/>
        </w:rPr>
        <w:t>1) ka pedagogu darba samaksa tiek nodrošināta no valsts budžeta līdzekļiem, ja izpildās Ministru kabineta noteiktie sistēmiskai izglītības kvalitātei noteiktie kritēriji atbilstoši katrai no izglītības pakāpēm;</w:t>
      </w:r>
    </w:p>
    <w:p w14:paraId="13A1DD0F" w14:textId="77777777" w:rsidR="00845161" w:rsidRPr="00FB0E02" w:rsidRDefault="00000000" w:rsidP="00845161">
      <w:pPr>
        <w:tabs>
          <w:tab w:val="left" w:pos="6740"/>
        </w:tabs>
        <w:ind w:firstLine="567"/>
        <w:rPr>
          <w:szCs w:val="24"/>
        </w:rPr>
      </w:pPr>
      <w:r w:rsidRPr="00FB0E02">
        <w:rPr>
          <w:szCs w:val="24"/>
        </w:rPr>
        <w:t>2) ja kritēriji neizpildās, pašvaldība pedagogu darba samaksu finansē no sava budžeta līdzekļiem.</w:t>
      </w:r>
    </w:p>
    <w:p w14:paraId="43AA53FA" w14:textId="77777777" w:rsidR="00845161" w:rsidRDefault="00000000" w:rsidP="00845161">
      <w:pPr>
        <w:tabs>
          <w:tab w:val="left" w:pos="6740"/>
        </w:tabs>
        <w:ind w:firstLine="567"/>
        <w:rPr>
          <w:szCs w:val="24"/>
        </w:rPr>
      </w:pPr>
      <w:r w:rsidRPr="00FB0E02">
        <w:rPr>
          <w:szCs w:val="24"/>
        </w:rPr>
        <w:t xml:space="preserve">Likumprojekta anotācijā ir norādīta ietekme 2026. gadā uz valsts budžetu 36 297 047 </w:t>
      </w:r>
      <w:r w:rsidRPr="00FB0E02">
        <w:rPr>
          <w:i/>
          <w:iCs/>
          <w:szCs w:val="24"/>
        </w:rPr>
        <w:t xml:space="preserve">euro </w:t>
      </w:r>
      <w:r w:rsidRPr="00FB0E02">
        <w:rPr>
          <w:szCs w:val="24"/>
        </w:rPr>
        <w:t xml:space="preserve">apmērā un uz pašvaldību budžetiem 3 566 543 </w:t>
      </w:r>
      <w:r w:rsidRPr="00FB0E02">
        <w:rPr>
          <w:i/>
          <w:iCs/>
          <w:szCs w:val="24"/>
        </w:rPr>
        <w:t>euro</w:t>
      </w:r>
      <w:r w:rsidRPr="00FB0E02">
        <w:rPr>
          <w:szCs w:val="24"/>
        </w:rPr>
        <w:t xml:space="preserve"> apmērā, 2027. gadā un turpmāk ik gadu uz valsts budžetu 107 240 217 </w:t>
      </w:r>
      <w:r w:rsidRPr="00FB0E02">
        <w:rPr>
          <w:i/>
          <w:iCs/>
          <w:szCs w:val="24"/>
        </w:rPr>
        <w:t>euro</w:t>
      </w:r>
      <w:r w:rsidRPr="00FB0E02">
        <w:rPr>
          <w:szCs w:val="24"/>
        </w:rPr>
        <w:t xml:space="preserve"> apmērā un uz pašvaldību budžetiem 10 699 629 </w:t>
      </w:r>
      <w:r w:rsidRPr="00FB0E02">
        <w:rPr>
          <w:i/>
          <w:iCs/>
          <w:szCs w:val="24"/>
        </w:rPr>
        <w:t>euro</w:t>
      </w:r>
      <w:r w:rsidRPr="00FB0E02">
        <w:rPr>
          <w:szCs w:val="24"/>
        </w:rPr>
        <w:t xml:space="preserve"> apmērā, vienlaikus norādīts, ka jautājums par papildu finansējuma piešķiršanu 2026., 2027., 2028. gadam un turpmākajiem gadiem skatāms likumprojekta “Par valsts budžetu 2026. gadam un budžeta ietvaru 2026., 2027. un 2028. gadam” sagatavošanas procesā.</w:t>
      </w:r>
    </w:p>
    <w:p w14:paraId="78647B41" w14:textId="77777777" w:rsidR="00845161" w:rsidRPr="00FB0E02" w:rsidRDefault="00000000" w:rsidP="00845161">
      <w:pPr>
        <w:tabs>
          <w:tab w:val="left" w:pos="6740"/>
        </w:tabs>
        <w:ind w:firstLine="567"/>
        <w:rPr>
          <w:szCs w:val="24"/>
        </w:rPr>
      </w:pPr>
      <w:r w:rsidRPr="00FB0E02">
        <w:rPr>
          <w:szCs w:val="24"/>
        </w:rPr>
        <w:t>Finanšu ministrija par Izglītības un zinātnes ministrijas izstrādāto likumprojektu “Grozījumi Izglītības likumā” (2</w:t>
      </w:r>
      <w:r>
        <w:rPr>
          <w:szCs w:val="24"/>
        </w:rPr>
        <w:t>4</w:t>
      </w:r>
      <w:r w:rsidRPr="00FB0E02">
        <w:rPr>
          <w:szCs w:val="24"/>
        </w:rPr>
        <w:t>-TA-234) snie</w:t>
      </w:r>
      <w:r>
        <w:rPr>
          <w:szCs w:val="24"/>
        </w:rPr>
        <w:t>dza</w:t>
      </w:r>
      <w:r w:rsidRPr="00FB0E02">
        <w:rPr>
          <w:szCs w:val="24"/>
        </w:rPr>
        <w:t xml:space="preserve"> atzinumu ar iebildumu</w:t>
      </w:r>
      <w:r>
        <w:rPr>
          <w:rStyle w:val="FootnoteReference"/>
          <w:szCs w:val="24"/>
        </w:rPr>
        <w:footnoteReference w:id="1"/>
      </w:r>
      <w:r w:rsidRPr="00FB0E02">
        <w:rPr>
          <w:szCs w:val="24"/>
        </w:rPr>
        <w:t xml:space="preserve">, norādot, ka 2024. gada 30. aprīlī ir stājušies spēkā ES Stabilitātes un izaugsmes pakta nosacījumi (jaunie ES fiskālie noteikumi). Saskaņā ar tiem 2025. gada 21. janvārī ir apstiprināts Latvijas Fiskāli strukturālais plāns 2025. – 2028. gadam, kurā noteikta saistoša izdevumu pieauguma trajektorija, kas līdz ar Fiskālās disciplīnas likuma nosacījumiem ir jāņem vērā turpmāko gadu valsts budžeta likumprojektu sagatavošanas procesā. Kā arī </w:t>
      </w:r>
      <w:r>
        <w:rPr>
          <w:szCs w:val="24"/>
        </w:rPr>
        <w:t>2025. gada</w:t>
      </w:r>
      <w:r w:rsidRPr="00FB0E02">
        <w:rPr>
          <w:szCs w:val="24"/>
        </w:rPr>
        <w:t xml:space="preserve"> 15. aprīlī Ministru kabinets izskatīja “Latvijas Fiskāli strukturālā plāna 2025. – 2028. gadam 2025. gada Progresa ziņojumu”, kurā ir norādītas Finanšu ministrijas aktualizētās fiskālās prognozes, t.sk. fiskālās telpas prognozes, kas ir negatīvas vidējā </w:t>
      </w:r>
      <w:r w:rsidRPr="00FB0E02">
        <w:rPr>
          <w:szCs w:val="24"/>
        </w:rPr>
        <w:lastRenderedPageBreak/>
        <w:t>termiņā</w:t>
      </w:r>
      <w:r>
        <w:rPr>
          <w:szCs w:val="24"/>
        </w:rPr>
        <w:t xml:space="preserve">. </w:t>
      </w:r>
      <w:r w:rsidRPr="00FB0E02">
        <w:rPr>
          <w:szCs w:val="24"/>
        </w:rPr>
        <w:t xml:space="preserve">Attiecīgi balstoties uz </w:t>
      </w:r>
      <w:r>
        <w:rPr>
          <w:szCs w:val="24"/>
        </w:rPr>
        <w:t>makroekonomiskajām un fiskālajām</w:t>
      </w:r>
      <w:r w:rsidRPr="00FB0E02">
        <w:rPr>
          <w:szCs w:val="24"/>
        </w:rPr>
        <w:t xml:space="preserve"> prognozēm, iespējas piešķirt papildu finanšu resursus turpmākajos gados būs ierobežotas, kas ministrijām un citām centrālajām iestādēm jāņem vērā arī plānošanas dokumentu izstrādē.</w:t>
      </w:r>
    </w:p>
    <w:p w14:paraId="41D959DC" w14:textId="77777777" w:rsidR="00845161" w:rsidRPr="00FB0E02" w:rsidRDefault="00000000" w:rsidP="00845161">
      <w:pPr>
        <w:tabs>
          <w:tab w:val="left" w:pos="6740"/>
        </w:tabs>
        <w:ind w:firstLine="567"/>
        <w:rPr>
          <w:szCs w:val="24"/>
        </w:rPr>
      </w:pPr>
      <w:r w:rsidRPr="00FB0E02">
        <w:rPr>
          <w:szCs w:val="24"/>
        </w:rPr>
        <w:t xml:space="preserve">Papildus </w:t>
      </w:r>
      <w:r>
        <w:rPr>
          <w:szCs w:val="24"/>
        </w:rPr>
        <w:t xml:space="preserve">Finanšu ministrija savā atzinumā ar iebildumu </w:t>
      </w:r>
      <w:r w:rsidRPr="00FB0E02">
        <w:rPr>
          <w:szCs w:val="24"/>
        </w:rPr>
        <w:t>norād</w:t>
      </w:r>
      <w:r>
        <w:rPr>
          <w:szCs w:val="24"/>
        </w:rPr>
        <w:t>īja</w:t>
      </w:r>
      <w:r w:rsidRPr="00FB0E02">
        <w:rPr>
          <w:szCs w:val="24"/>
        </w:rPr>
        <w:t xml:space="preserve">, ka atbilstoši Ministru kabineta 2025. gada 27. marta rīkojuma Nr. 179 “Par likumprojekta “Par valsts budžetu 2026. gadam un budžeta ietvaru 2026., 2027. un 2028. gadam” sagatavošanas grafiku” 2.1. apakšpunktam, nozaru ministrijām līdz 2025. gada 30. jūnijam </w:t>
      </w:r>
      <w:r>
        <w:rPr>
          <w:szCs w:val="24"/>
        </w:rPr>
        <w:t xml:space="preserve">bija </w:t>
      </w:r>
      <w:r w:rsidRPr="00FB0E02">
        <w:rPr>
          <w:szCs w:val="24"/>
        </w:rPr>
        <w:t xml:space="preserve">jāveic nozaru budžetu izdevumu analīze, </w:t>
      </w:r>
      <w:r>
        <w:rPr>
          <w:szCs w:val="24"/>
        </w:rPr>
        <w:t>jā</w:t>
      </w:r>
      <w:r w:rsidRPr="00FB0E02">
        <w:rPr>
          <w:szCs w:val="24"/>
        </w:rPr>
        <w:t>sagatavo priekšlikum</w:t>
      </w:r>
      <w:r>
        <w:rPr>
          <w:szCs w:val="24"/>
        </w:rPr>
        <w:t>i</w:t>
      </w:r>
      <w:r w:rsidRPr="00FB0E02">
        <w:rPr>
          <w:szCs w:val="24"/>
        </w:rPr>
        <w:t xml:space="preserve"> sava budžeta resora izdevumu efektivizēšanai (tai skaitā izdevumu samazināšanai, optimizējot funkcijas, publiskos pakalpojumus un veicot strukturālas reformas), savukārt minētā rīkojuma pielikuma 9.</w:t>
      </w:r>
      <w:r>
        <w:rPr>
          <w:szCs w:val="24"/>
        </w:rPr>
        <w:t xml:space="preserve"> </w:t>
      </w:r>
      <w:r w:rsidRPr="00FB0E02">
        <w:rPr>
          <w:szCs w:val="24"/>
        </w:rPr>
        <w:t>punkts paredz</w:t>
      </w:r>
      <w:r>
        <w:rPr>
          <w:szCs w:val="24"/>
        </w:rPr>
        <w:t>ēja</w:t>
      </w:r>
      <w:r w:rsidRPr="00FB0E02">
        <w:rPr>
          <w:szCs w:val="24"/>
        </w:rPr>
        <w:t>, ka priekšlikum</w:t>
      </w:r>
      <w:r>
        <w:rPr>
          <w:szCs w:val="24"/>
        </w:rPr>
        <w:t>us</w:t>
      </w:r>
      <w:r w:rsidRPr="00FB0E02">
        <w:rPr>
          <w:szCs w:val="24"/>
        </w:rPr>
        <w:t xml:space="preserve"> par finansējuma piešķiršanu prioritārajiem pasākumiem nozaru ministrijas iesniedz tikai aizsardzības un demogrāfijas pasākumu īstenošanai.</w:t>
      </w:r>
    </w:p>
    <w:p w14:paraId="4A592077" w14:textId="77777777" w:rsidR="00845161" w:rsidRPr="00FB0E02" w:rsidRDefault="00000000" w:rsidP="00845161">
      <w:pPr>
        <w:tabs>
          <w:tab w:val="left" w:pos="6740"/>
        </w:tabs>
        <w:ind w:firstLine="567"/>
        <w:rPr>
          <w:szCs w:val="24"/>
        </w:rPr>
      </w:pPr>
      <w:r w:rsidRPr="00FB0E02">
        <w:rPr>
          <w:szCs w:val="24"/>
        </w:rPr>
        <w:t xml:space="preserve">Ņemot vērā to, ka nav atbalstāma tādu normu iekļaušana likumprojektā, kurām nav finansiālā seguma, Finanšu ministrija </w:t>
      </w:r>
      <w:r>
        <w:rPr>
          <w:szCs w:val="24"/>
        </w:rPr>
        <w:t xml:space="preserve">savā </w:t>
      </w:r>
      <w:r w:rsidRPr="00FB0E02">
        <w:rPr>
          <w:szCs w:val="24"/>
        </w:rPr>
        <w:t xml:space="preserve">atzinumā norādīja, ka šobrīd </w:t>
      </w:r>
      <w:r w:rsidRPr="00FB0E02">
        <w:rPr>
          <w:b/>
          <w:bCs/>
          <w:szCs w:val="24"/>
        </w:rPr>
        <w:t>nevar atbalstīt likumprojekta tālāku virzību līdz brīdim, kad Ministru kabinetā būs pieņemts lēmums par finansējuma piešķiršanu.</w:t>
      </w:r>
      <w:r w:rsidRPr="00FB0E02">
        <w:rPr>
          <w:szCs w:val="24"/>
        </w:rPr>
        <w:t xml:space="preserve"> </w:t>
      </w:r>
    </w:p>
    <w:p w14:paraId="583F6360" w14:textId="77777777" w:rsidR="00845161" w:rsidRPr="00FB0E02" w:rsidRDefault="00000000" w:rsidP="00845161">
      <w:pPr>
        <w:tabs>
          <w:tab w:val="left" w:pos="6740"/>
        </w:tabs>
        <w:ind w:firstLine="567"/>
        <w:rPr>
          <w:szCs w:val="24"/>
        </w:rPr>
      </w:pPr>
      <w:r w:rsidRPr="00FB0E02">
        <w:rPr>
          <w:szCs w:val="24"/>
        </w:rPr>
        <w:t>Fiskālās disciplīnas likuma 9.</w:t>
      </w:r>
      <w:r>
        <w:rPr>
          <w:szCs w:val="24"/>
        </w:rPr>
        <w:t xml:space="preserve"> </w:t>
      </w:r>
      <w:r w:rsidRPr="00FB0E02">
        <w:rPr>
          <w:szCs w:val="24"/>
        </w:rPr>
        <w:t>panta pirmā daļa paredz, ka, ja Ministru kabinets iesniedz Saeimā izskatīšanai likumprojektu, kas izraisa vidēja termiņa budžeta ietvara likumā noteikto koriģēto maksimāli pieļaujamo valsts budžeta izdevumu pārsniegumu, Ministru kabinets vienlaikus iesniedz Saeimai arī likumprojektu vai likumprojektus, kas paredz izdevumu pieauguma kompensēšanu. Kompensēšana notiek, palielinot ieņēmumus vai samazinot izdevumus.</w:t>
      </w:r>
    </w:p>
    <w:p w14:paraId="12D4342B" w14:textId="77777777" w:rsidR="00845161" w:rsidRDefault="00000000" w:rsidP="00845161">
      <w:pPr>
        <w:tabs>
          <w:tab w:val="left" w:pos="6740"/>
        </w:tabs>
        <w:ind w:firstLine="567"/>
        <w:rPr>
          <w:szCs w:val="24"/>
        </w:rPr>
      </w:pPr>
      <w:r w:rsidRPr="00FB0E02">
        <w:rPr>
          <w:szCs w:val="24"/>
        </w:rPr>
        <w:t xml:space="preserve">Ņemot vērā to, ka likumprojekts "Grozījumi Izglītības likumā" izraisa vidēja termiņa budžeta ietvara likumā noteikto koriģēto maksimāli pieļaujamo valsts budžeta izdevumu pārsniegumu, bet vienlaicīgi Saeimā </w:t>
      </w:r>
      <w:r>
        <w:rPr>
          <w:szCs w:val="24"/>
        </w:rPr>
        <w:t xml:space="preserve">nav </w:t>
      </w:r>
      <w:r w:rsidRPr="00FB0E02">
        <w:rPr>
          <w:szCs w:val="24"/>
        </w:rPr>
        <w:t>iesniegt</w:t>
      </w:r>
      <w:r>
        <w:rPr>
          <w:szCs w:val="24"/>
        </w:rPr>
        <w:t>s</w:t>
      </w:r>
      <w:r w:rsidRPr="00FB0E02">
        <w:rPr>
          <w:szCs w:val="24"/>
        </w:rPr>
        <w:t xml:space="preserve"> likumprojektu, kas paredz izdevumu pieauguma kompensēšanu,</w:t>
      </w:r>
      <w:r>
        <w:rPr>
          <w:szCs w:val="24"/>
        </w:rPr>
        <w:t xml:space="preserve"> </w:t>
      </w:r>
      <w:r w:rsidRPr="00986B1C">
        <w:rPr>
          <w:b/>
          <w:bCs/>
          <w:szCs w:val="24"/>
        </w:rPr>
        <w:t>Finanšu ministrija piekrīt Fiskālās disciplīnas padomei, ka ir veikts Fiskālās disciplīnas likuma pārkāpums.</w:t>
      </w:r>
    </w:p>
    <w:p w14:paraId="71E20460" w14:textId="77777777" w:rsidR="0015384D" w:rsidRPr="00615936" w:rsidRDefault="0015384D" w:rsidP="007F3771">
      <w:pPr>
        <w:rPr>
          <w:szCs w:val="24"/>
        </w:rPr>
      </w:pPr>
    </w:p>
    <w:p w14:paraId="06CEBDE8" w14:textId="77777777" w:rsidR="00557B49" w:rsidRPr="00615936" w:rsidRDefault="00557B49" w:rsidP="007F3771">
      <w:pPr>
        <w:rPr>
          <w:szCs w:val="24"/>
        </w:rPr>
      </w:pPr>
    </w:p>
    <w:p w14:paraId="44581777" w14:textId="77777777" w:rsidR="003F2252" w:rsidRPr="00615936" w:rsidRDefault="003F2252" w:rsidP="007F3771">
      <w:pPr>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2977"/>
      </w:tblGrid>
      <w:tr w:rsidR="004212D9" w14:paraId="54CCE054" w14:textId="77777777" w:rsidTr="00AA6DC1">
        <w:tc>
          <w:tcPr>
            <w:tcW w:w="4395" w:type="dxa"/>
          </w:tcPr>
          <w:p w14:paraId="02891430" w14:textId="77777777" w:rsidR="00AA6DC1" w:rsidRPr="00615936" w:rsidRDefault="00000000" w:rsidP="007F3771">
            <w:pPr>
              <w:rPr>
                <w:szCs w:val="24"/>
              </w:rPr>
            </w:pPr>
            <w:r>
              <w:rPr>
                <w:noProof/>
                <w:szCs w:val="24"/>
              </w:rPr>
              <w:t>Finanšu ministrs</w:t>
            </w:r>
          </w:p>
        </w:tc>
        <w:tc>
          <w:tcPr>
            <w:tcW w:w="1984" w:type="dxa"/>
          </w:tcPr>
          <w:p w14:paraId="5FD834C0" w14:textId="77777777" w:rsidR="00AA6DC1" w:rsidRDefault="00000000" w:rsidP="00AA6DC1">
            <w:pPr>
              <w:jc w:val="center"/>
              <w:rPr>
                <w:szCs w:val="24"/>
              </w:rPr>
            </w:pPr>
            <w:bookmarkStart w:id="1" w:name="edoc_info2"/>
            <w:r>
              <w:rPr>
                <w:szCs w:val="24"/>
              </w:rPr>
              <w:t>(paraksts*)</w:t>
            </w:r>
            <w:bookmarkEnd w:id="1"/>
          </w:p>
        </w:tc>
        <w:tc>
          <w:tcPr>
            <w:tcW w:w="2977" w:type="dxa"/>
            <w:vAlign w:val="bottom"/>
          </w:tcPr>
          <w:p w14:paraId="046C9641" w14:textId="77777777" w:rsidR="00AA6DC1" w:rsidRPr="00615936" w:rsidRDefault="00000000" w:rsidP="00483407">
            <w:pPr>
              <w:jc w:val="right"/>
              <w:rPr>
                <w:szCs w:val="24"/>
              </w:rPr>
            </w:pPr>
            <w:r>
              <w:rPr>
                <w:noProof/>
                <w:szCs w:val="24"/>
              </w:rPr>
              <w:t>Arvils Ašeradens</w:t>
            </w:r>
          </w:p>
        </w:tc>
      </w:tr>
      <w:tr w:rsidR="004212D9" w14:paraId="4C7005C8" w14:textId="77777777" w:rsidTr="00AA6DC1">
        <w:tc>
          <w:tcPr>
            <w:tcW w:w="4395" w:type="dxa"/>
          </w:tcPr>
          <w:p w14:paraId="52C6D081" w14:textId="77777777" w:rsidR="00AA6DC1" w:rsidRPr="00615936" w:rsidRDefault="00AA6DC1" w:rsidP="007F3771">
            <w:pPr>
              <w:rPr>
                <w:szCs w:val="24"/>
              </w:rPr>
            </w:pPr>
          </w:p>
        </w:tc>
        <w:tc>
          <w:tcPr>
            <w:tcW w:w="1984" w:type="dxa"/>
          </w:tcPr>
          <w:p w14:paraId="3039C479" w14:textId="77777777" w:rsidR="00AA6DC1" w:rsidRPr="00615936" w:rsidRDefault="00AA6DC1" w:rsidP="000C0DD4">
            <w:pPr>
              <w:jc w:val="right"/>
              <w:rPr>
                <w:szCs w:val="24"/>
              </w:rPr>
            </w:pPr>
          </w:p>
        </w:tc>
        <w:tc>
          <w:tcPr>
            <w:tcW w:w="2977" w:type="dxa"/>
            <w:vAlign w:val="bottom"/>
          </w:tcPr>
          <w:p w14:paraId="3333271B" w14:textId="77777777" w:rsidR="00AA6DC1" w:rsidRPr="00615936" w:rsidRDefault="00AA6DC1" w:rsidP="000C0DD4">
            <w:pPr>
              <w:jc w:val="right"/>
              <w:rPr>
                <w:szCs w:val="24"/>
              </w:rPr>
            </w:pPr>
          </w:p>
        </w:tc>
      </w:tr>
    </w:tbl>
    <w:tbl>
      <w:tblPr>
        <w:tblW w:w="8647" w:type="dxa"/>
        <w:tblLook w:val="04A0" w:firstRow="1" w:lastRow="0" w:firstColumn="1" w:lastColumn="0" w:noHBand="0" w:noVBand="1"/>
      </w:tblPr>
      <w:tblGrid>
        <w:gridCol w:w="8647"/>
      </w:tblGrid>
      <w:tr w:rsidR="004212D9" w14:paraId="4A143310" w14:textId="77777777" w:rsidTr="00AA6DC1">
        <w:trPr>
          <w:cantSplit/>
          <w:trHeight w:val="615"/>
        </w:trPr>
        <w:tc>
          <w:tcPr>
            <w:tcW w:w="8647" w:type="dxa"/>
          </w:tcPr>
          <w:p w14:paraId="009AB4BC" w14:textId="77777777" w:rsidR="002D6CB4" w:rsidRPr="00AA6DC1" w:rsidRDefault="00000000" w:rsidP="00AA6DC1">
            <w:pPr>
              <w:pStyle w:val="BodyTextIndent"/>
              <w:tabs>
                <w:tab w:val="left" w:pos="8397"/>
              </w:tabs>
              <w:ind w:left="0"/>
              <w:rPr>
                <w:sz w:val="24"/>
                <w:szCs w:val="24"/>
              </w:rPr>
            </w:pPr>
            <w:bookmarkStart w:id="2" w:name="edoc_info" w:colFirst="0" w:colLast="0"/>
            <w:r w:rsidRPr="00AA6DC1">
              <w:rPr>
                <w:sz w:val="24"/>
                <w:szCs w:val="24"/>
              </w:rPr>
              <w:t>*Dokuments ir parakstīts ar drošu elektronisko parakstu</w:t>
            </w:r>
          </w:p>
        </w:tc>
      </w:tr>
      <w:bookmarkEnd w:id="2"/>
    </w:tbl>
    <w:p w14:paraId="03F7D172" w14:textId="77777777" w:rsidR="00826D51" w:rsidRDefault="00826D51" w:rsidP="007F3771">
      <w:pPr>
        <w:rPr>
          <w:sz w:val="20"/>
        </w:rPr>
      </w:pPr>
    </w:p>
    <w:p w14:paraId="552ABF2E" w14:textId="77777777" w:rsidR="00845161" w:rsidRDefault="00845161" w:rsidP="007F3771">
      <w:pPr>
        <w:rPr>
          <w:sz w:val="20"/>
        </w:rPr>
      </w:pPr>
    </w:p>
    <w:p w14:paraId="63F52D76" w14:textId="77777777" w:rsidR="00901FD8" w:rsidRDefault="00000000" w:rsidP="00961A65">
      <w:pPr>
        <w:jc w:val="left"/>
        <w:rPr>
          <w:sz w:val="20"/>
        </w:rPr>
      </w:pPr>
      <w:r>
        <w:rPr>
          <w:noProof/>
          <w:sz w:val="20"/>
        </w:rPr>
        <w:t>Edgars Vītols</w:t>
      </w:r>
      <w:r>
        <w:rPr>
          <w:sz w:val="20"/>
        </w:rPr>
        <w:t>,</w:t>
      </w:r>
      <w:r w:rsidR="00DD2410">
        <w:rPr>
          <w:sz w:val="20"/>
        </w:rPr>
        <w:t xml:space="preserve"> </w:t>
      </w:r>
    </w:p>
    <w:p w14:paraId="4FDDFB55" w14:textId="77777777" w:rsidR="00901FD8" w:rsidRDefault="00000000" w:rsidP="00961A65">
      <w:pPr>
        <w:jc w:val="left"/>
        <w:rPr>
          <w:sz w:val="20"/>
        </w:rPr>
      </w:pPr>
      <w:r w:rsidRPr="00901FD8">
        <w:rPr>
          <w:noProof/>
          <w:sz w:val="20"/>
        </w:rPr>
        <w:t>29382150</w:t>
      </w:r>
      <w:r>
        <w:rPr>
          <w:sz w:val="20"/>
        </w:rPr>
        <w:t xml:space="preserve">, </w:t>
      </w:r>
    </w:p>
    <w:p w14:paraId="11FFC233" w14:textId="77777777" w:rsidR="000C0DD4" w:rsidRPr="006D6710" w:rsidRDefault="00000000" w:rsidP="00961A65">
      <w:pPr>
        <w:jc w:val="left"/>
        <w:rPr>
          <w:sz w:val="20"/>
        </w:rPr>
      </w:pPr>
      <w:r>
        <w:rPr>
          <w:noProof/>
          <w:sz w:val="20"/>
        </w:rPr>
        <w:t>e</w:t>
      </w:r>
      <w:r w:rsidRPr="00961A65">
        <w:rPr>
          <w:noProof/>
          <w:sz w:val="20"/>
        </w:rPr>
        <w:t>dgars.</w:t>
      </w:r>
      <w:r>
        <w:rPr>
          <w:noProof/>
          <w:sz w:val="20"/>
        </w:rPr>
        <w:t>v</w:t>
      </w:r>
      <w:r w:rsidRPr="00961A65">
        <w:rPr>
          <w:noProof/>
          <w:sz w:val="20"/>
        </w:rPr>
        <w:t>itols@fm.gov.lv</w:t>
      </w:r>
    </w:p>
    <w:sectPr w:rsidR="000C0DD4" w:rsidRPr="006D6710" w:rsidSect="00140C77">
      <w:headerReference w:type="even" r:id="rId9"/>
      <w:headerReference w:type="default" r:id="rId10"/>
      <w:footerReference w:type="default" r:id="rId11"/>
      <w:headerReference w:type="first" r:id="rId12"/>
      <w:footerReference w:type="first" r:id="rId13"/>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33D4" w14:textId="77777777" w:rsidR="004819F1" w:rsidRDefault="004819F1">
      <w:r>
        <w:separator/>
      </w:r>
    </w:p>
  </w:endnote>
  <w:endnote w:type="continuationSeparator" w:id="0">
    <w:p w14:paraId="114BC13D" w14:textId="77777777" w:rsidR="004819F1" w:rsidRDefault="0048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412046"/>
      <w:docPartObj>
        <w:docPartGallery w:val="Page Numbers (Bottom of Page)"/>
        <w:docPartUnique/>
      </w:docPartObj>
    </w:sdtPr>
    <w:sdtContent>
      <w:p w14:paraId="65BA96E4" w14:textId="77777777" w:rsidR="0015384D" w:rsidRDefault="00000000">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0C0DD4">
          <w:rPr>
            <w:noProof/>
            <w:sz w:val="24"/>
            <w:szCs w:val="24"/>
          </w:rPr>
          <w:t>2</w:t>
        </w:r>
        <w:r w:rsidRPr="00557B49">
          <w:rPr>
            <w:sz w:val="24"/>
            <w:szCs w:val="24"/>
          </w:rPr>
          <w:fldChar w:fldCharType="end"/>
        </w:r>
      </w:p>
    </w:sdtContent>
  </w:sdt>
  <w:p w14:paraId="423B8451" w14:textId="77777777" w:rsidR="0015384D" w:rsidRDefault="0015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3D91" w14:textId="77777777" w:rsidR="0015384D" w:rsidRDefault="0015384D">
    <w:pPr>
      <w:pStyle w:val="Footer"/>
      <w:jc w:val="center"/>
    </w:pPr>
  </w:p>
  <w:p w14:paraId="4710A4A3" w14:textId="77777777" w:rsidR="0015384D" w:rsidRDefault="0015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3F92" w14:textId="77777777" w:rsidR="004819F1" w:rsidRDefault="004819F1">
      <w:r>
        <w:separator/>
      </w:r>
    </w:p>
  </w:footnote>
  <w:footnote w:type="continuationSeparator" w:id="0">
    <w:p w14:paraId="3B733330" w14:textId="77777777" w:rsidR="004819F1" w:rsidRDefault="004819F1">
      <w:r>
        <w:continuationSeparator/>
      </w:r>
    </w:p>
  </w:footnote>
  <w:footnote w:id="1">
    <w:p w14:paraId="7C70104A" w14:textId="77777777" w:rsidR="00845161" w:rsidRPr="00AF3C83" w:rsidRDefault="00000000" w:rsidP="00845161">
      <w:pPr>
        <w:pStyle w:val="FootnoteText"/>
      </w:pPr>
      <w:r w:rsidRPr="00AF3C83">
        <w:rPr>
          <w:rStyle w:val="FootnoteReference"/>
        </w:rPr>
        <w:footnoteRef/>
      </w:r>
      <w:r w:rsidRPr="00AF3C83">
        <w:t xml:space="preserve"> Finanšu ministrijas 2025. gada 1</w:t>
      </w:r>
      <w:r>
        <w:t>2</w:t>
      </w:r>
      <w:r w:rsidRPr="00AF3C83">
        <w:t xml:space="preserve">. maija atzinums ar iebildumu ir pieejams: </w:t>
      </w:r>
      <w:hyperlink r:id="rId1" w:history="1">
        <w:r w:rsidR="00845161" w:rsidRPr="00AF3C83">
          <w:rPr>
            <w:rStyle w:val="Hyperlink"/>
          </w:rPr>
          <w:t>https://tapportals.mk.gov.lv/reviews/resolutions/230641d0-7ffd-493a-bdf0-dd9b83b2ed7b</w:t>
        </w:r>
      </w:hyperlink>
      <w:r w:rsidRPr="00AF3C8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1DE9" w14:textId="77777777" w:rsidR="00F33DBE"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14:paraId="5952313C" w14:textId="77777777" w:rsidR="00F33DBE" w:rsidRDefault="00F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3AA4" w14:textId="77777777" w:rsidR="00F33DBE" w:rsidRDefault="00000000" w:rsidP="008C508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7DBC" w14:textId="77777777" w:rsidR="002C22B9" w:rsidRDefault="002C22B9">
    <w:pPr>
      <w:pStyle w:val="Header"/>
    </w:pPr>
  </w:p>
  <w:p w14:paraId="1EEC4568" w14:textId="77777777" w:rsidR="002C22B9" w:rsidRDefault="002C22B9">
    <w:pPr>
      <w:pStyle w:val="Header"/>
    </w:pPr>
  </w:p>
  <w:p w14:paraId="692F59C9" w14:textId="77777777" w:rsidR="002C22B9" w:rsidRDefault="002C22B9">
    <w:pPr>
      <w:pStyle w:val="Header"/>
    </w:pPr>
  </w:p>
  <w:p w14:paraId="58947079" w14:textId="77777777" w:rsidR="002C22B9" w:rsidRDefault="00000000" w:rsidP="002C22B9">
    <w:pPr>
      <w:pStyle w:val="Header"/>
      <w:tabs>
        <w:tab w:val="clear" w:pos="4153"/>
        <w:tab w:val="clear" w:pos="8306"/>
      </w:tabs>
    </w:pPr>
    <w:r>
      <w:rPr>
        <w:noProof/>
        <w:lang w:eastAsia="lv-LV"/>
      </w:rPr>
      <mc:AlternateContent>
        <mc:Choice Requires="wps">
          <w:drawing>
            <wp:anchor distT="0" distB="0" distL="114300" distR="114300" simplePos="0" relativeHeight="251660288" behindDoc="1" locked="0" layoutInCell="1" allowOverlap="1" wp14:anchorId="6A640BDC" wp14:editId="1B27D4F6">
              <wp:simplePos x="0" y="0"/>
              <wp:positionH relativeFrom="page">
                <wp:posOffset>1066800</wp:posOffset>
              </wp:positionH>
              <wp:positionV relativeFrom="page">
                <wp:posOffset>2030730</wp:posOffset>
              </wp:positionV>
              <wp:extent cx="5943600" cy="314325"/>
              <wp:effectExtent l="0" t="0" r="0" b="952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4E2B" w14:textId="77777777" w:rsidR="002C22B9" w:rsidRDefault="00000000"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68pt;height:24.75pt;margin-top:159.9pt;margin-left: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C22B9" w:rsidP="002C22B9" w14:paraId="734BBABC" w14:textId="77777777">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v:textbox>
            </v:shape>
          </w:pict>
        </mc:Fallback>
      </mc:AlternateContent>
    </w:r>
    <w:r w:rsidRPr="002C22B9">
      <w:rPr>
        <w:noProof/>
        <w:lang w:eastAsia="lv-LV"/>
      </w:rPr>
      <w:drawing>
        <wp:anchor distT="0" distB="0" distL="114300" distR="114300" simplePos="0" relativeHeight="251662336" behindDoc="1" locked="0" layoutInCell="1" allowOverlap="1" wp14:anchorId="62219345" wp14:editId="3D1B96DB">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it-skrod\Desktop\veidlapas_jaunas\paraugi\vienkrasu_header_veidlapa_22.png"/>
                  <pic:cNvPicPr>
                    <a:picLocks noChangeAspect="1" noChangeArrowheads="1"/>
                  </pic:cNvPicPr>
                </pic:nvPicPr>
                <pic:blipFill>
                  <a:blip r:embed="rId1" cstate="print">
                    <a:extLst>
                      <a:ext uri="{BEBA8EAE-BF5A-486C-A8C5-ECC9F3942E4B}">
                        <a14:imgProps xmlns:a14="http://schemas.microsoft.com/office/drawing/2010/main">
                          <a14:imgLayer>
                            <a14:imgEffect>
                              <a14:brightnessContrast contrast="100000"/>
                            </a14:imgEffect>
                          </a14:imgLayer>
                        </a14:imgProps>
                      </a:ext>
                      <a:ext uri="{28A0092B-C50C-407E-A947-70E740481C1C}">
                        <a14:useLocalDpi xmlns:a14="http://schemas.microsoft.com/office/drawing/2010/main" val="0"/>
                      </a:ext>
                    </a:extLst>
                  </a:blip>
                  <a:srcRect l="1249" t="1374" r="-1249" b="-1372"/>
                  <a:stretch>
                    <a:fillRect/>
                  </a:stretch>
                </pic:blipFill>
                <pic:spPr bwMode="auto">
                  <a:xfrm>
                    <a:off x="0" y="0"/>
                    <a:ext cx="5914390" cy="10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ABC6D8" w14:textId="77777777" w:rsidR="002C22B9" w:rsidRDefault="002C22B9">
    <w:pPr>
      <w:pStyle w:val="Header"/>
    </w:pPr>
  </w:p>
  <w:p w14:paraId="45F83418" w14:textId="77777777" w:rsidR="002C22B9" w:rsidRDefault="002C22B9">
    <w:pPr>
      <w:pStyle w:val="Header"/>
    </w:pPr>
  </w:p>
  <w:p w14:paraId="5DF35E93" w14:textId="77777777" w:rsidR="002C22B9" w:rsidRDefault="002C22B9">
    <w:pPr>
      <w:pStyle w:val="Header"/>
    </w:pPr>
  </w:p>
  <w:p w14:paraId="5C800FC8" w14:textId="77777777" w:rsidR="002C22B9" w:rsidRDefault="002C22B9">
    <w:pPr>
      <w:pStyle w:val="Header"/>
    </w:pPr>
  </w:p>
  <w:p w14:paraId="37EA5874" w14:textId="77777777" w:rsidR="002C22B9" w:rsidRDefault="002C22B9">
    <w:pPr>
      <w:pStyle w:val="Header"/>
    </w:pPr>
  </w:p>
  <w:p w14:paraId="34502A17" w14:textId="77777777" w:rsidR="002C22B9" w:rsidRDefault="002C22B9">
    <w:pPr>
      <w:pStyle w:val="Header"/>
    </w:pPr>
  </w:p>
  <w:p w14:paraId="026B86EE" w14:textId="77777777" w:rsidR="002C22B9" w:rsidRDefault="00000000">
    <w:pPr>
      <w:pStyle w:val="Header"/>
    </w:pPr>
    <w:r>
      <w:rPr>
        <w:noProof/>
        <w:lang w:eastAsia="lv-LV"/>
      </w:rPr>
      <mc:AlternateContent>
        <mc:Choice Requires="wpg">
          <w:drawing>
            <wp:anchor distT="0" distB="0" distL="114300" distR="114300" simplePos="0" relativeHeight="251658240" behindDoc="1" locked="0" layoutInCell="1" allowOverlap="1" wp14:anchorId="667732C3" wp14:editId="05E34F91">
              <wp:simplePos x="0" y="0"/>
              <wp:positionH relativeFrom="margin">
                <wp:posOffset>-34290</wp:posOffset>
              </wp:positionH>
              <wp:positionV relativeFrom="page">
                <wp:posOffset>1903095</wp:posOffset>
              </wp:positionV>
              <wp:extent cx="5937250" cy="45085"/>
              <wp:effectExtent l="0" t="0" r="25400" b="0"/>
              <wp:wrapNone/>
              <wp:docPr id="9" name="Group 41"/>
              <wp:cNvGraphicFramePr/>
              <a:graphic xmlns:a="http://schemas.openxmlformats.org/drawingml/2006/main">
                <a:graphicData uri="http://schemas.microsoft.com/office/word/2010/wordprocessingGroup">
                  <wpg:wgp>
                    <wpg:cNvGrpSpPr/>
                    <wpg:grpSpPr>
                      <a:xfrm>
                        <a:off x="0" y="0"/>
                        <a:ext cx="5937250" cy="45085"/>
                        <a:chOff x="2915" y="2998"/>
                        <a:chExt cx="6926" cy="2"/>
                      </a:xfrm>
                    </wpg:grpSpPr>
                    <wps:wsp>
                      <wps:cNvPr id="10"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467.5pt;height:3.55pt;margin-top:149.85pt;margin-left:-2.7pt;mso-position-horizontal-relative:margin;mso-position-vertical-relative:page;position:absolute;z-index:-251657216"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w10:wrap anchorx="margin"/>
            </v:group>
          </w:pict>
        </mc:Fallback>
      </mc:AlternateContent>
    </w:r>
  </w:p>
  <w:p w14:paraId="72241261" w14:textId="77777777" w:rsidR="002C22B9" w:rsidRDefault="002C22B9">
    <w:pPr>
      <w:pStyle w:val="Header"/>
    </w:pPr>
  </w:p>
  <w:p w14:paraId="6CE1FCBD" w14:textId="77777777" w:rsidR="002C22B9" w:rsidRDefault="002C22B9">
    <w:pPr>
      <w:pStyle w:val="Header"/>
    </w:pPr>
  </w:p>
  <w:p w14:paraId="34A9C5FD" w14:textId="77777777" w:rsidR="002C22B9" w:rsidRDefault="002C2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51"/>
    <w:rsid w:val="000165AF"/>
    <w:rsid w:val="0002005E"/>
    <w:rsid w:val="00025906"/>
    <w:rsid w:val="00051BDB"/>
    <w:rsid w:val="00054277"/>
    <w:rsid w:val="00062D32"/>
    <w:rsid w:val="00063804"/>
    <w:rsid w:val="000704C8"/>
    <w:rsid w:val="00072A98"/>
    <w:rsid w:val="00074C0E"/>
    <w:rsid w:val="0008360A"/>
    <w:rsid w:val="000859B0"/>
    <w:rsid w:val="00086189"/>
    <w:rsid w:val="000A0A49"/>
    <w:rsid w:val="000A2273"/>
    <w:rsid w:val="000A4A49"/>
    <w:rsid w:val="000B5E98"/>
    <w:rsid w:val="000B75CE"/>
    <w:rsid w:val="000C0DD4"/>
    <w:rsid w:val="000C1481"/>
    <w:rsid w:val="000D4ACD"/>
    <w:rsid w:val="000E05A4"/>
    <w:rsid w:val="000E7902"/>
    <w:rsid w:val="00101EF2"/>
    <w:rsid w:val="00102247"/>
    <w:rsid w:val="001042A3"/>
    <w:rsid w:val="00114955"/>
    <w:rsid w:val="00130802"/>
    <w:rsid w:val="00140C77"/>
    <w:rsid w:val="001421E1"/>
    <w:rsid w:val="001428D4"/>
    <w:rsid w:val="001459C6"/>
    <w:rsid w:val="00146475"/>
    <w:rsid w:val="00146FE3"/>
    <w:rsid w:val="0015384D"/>
    <w:rsid w:val="00156874"/>
    <w:rsid w:val="00160F55"/>
    <w:rsid w:val="0017402C"/>
    <w:rsid w:val="00176F63"/>
    <w:rsid w:val="0018218D"/>
    <w:rsid w:val="00184AB5"/>
    <w:rsid w:val="001943EE"/>
    <w:rsid w:val="001D78A7"/>
    <w:rsid w:val="001F53D9"/>
    <w:rsid w:val="00203705"/>
    <w:rsid w:val="0021300E"/>
    <w:rsid w:val="00220CEE"/>
    <w:rsid w:val="00224396"/>
    <w:rsid w:val="00227D91"/>
    <w:rsid w:val="0023013F"/>
    <w:rsid w:val="0023472C"/>
    <w:rsid w:val="00235349"/>
    <w:rsid w:val="00240DC2"/>
    <w:rsid w:val="00244390"/>
    <w:rsid w:val="00260557"/>
    <w:rsid w:val="00261352"/>
    <w:rsid w:val="002644F0"/>
    <w:rsid w:val="00266CF2"/>
    <w:rsid w:val="00267E3D"/>
    <w:rsid w:val="00292E11"/>
    <w:rsid w:val="0029448D"/>
    <w:rsid w:val="00297E6E"/>
    <w:rsid w:val="002A05CD"/>
    <w:rsid w:val="002A20A3"/>
    <w:rsid w:val="002B2B9A"/>
    <w:rsid w:val="002C22B9"/>
    <w:rsid w:val="002D0DAE"/>
    <w:rsid w:val="002D2EFD"/>
    <w:rsid w:val="002D6CB4"/>
    <w:rsid w:val="002E06CD"/>
    <w:rsid w:val="002E288C"/>
    <w:rsid w:val="002F5D59"/>
    <w:rsid w:val="003026CE"/>
    <w:rsid w:val="00302D28"/>
    <w:rsid w:val="00304112"/>
    <w:rsid w:val="003043C9"/>
    <w:rsid w:val="00305DC3"/>
    <w:rsid w:val="00314B6D"/>
    <w:rsid w:val="0031519D"/>
    <w:rsid w:val="00325CE2"/>
    <w:rsid w:val="00330C2A"/>
    <w:rsid w:val="00332AF9"/>
    <w:rsid w:val="00341839"/>
    <w:rsid w:val="00366991"/>
    <w:rsid w:val="0037045B"/>
    <w:rsid w:val="00374C0D"/>
    <w:rsid w:val="00380855"/>
    <w:rsid w:val="00383D87"/>
    <w:rsid w:val="00386F28"/>
    <w:rsid w:val="00392EBE"/>
    <w:rsid w:val="00393EB9"/>
    <w:rsid w:val="00396BF4"/>
    <w:rsid w:val="003A324A"/>
    <w:rsid w:val="003B329B"/>
    <w:rsid w:val="003B4764"/>
    <w:rsid w:val="003D09AE"/>
    <w:rsid w:val="003D179D"/>
    <w:rsid w:val="003F2252"/>
    <w:rsid w:val="003F2673"/>
    <w:rsid w:val="003F4635"/>
    <w:rsid w:val="003F79A5"/>
    <w:rsid w:val="004059A7"/>
    <w:rsid w:val="004212D9"/>
    <w:rsid w:val="004218E7"/>
    <w:rsid w:val="004241B4"/>
    <w:rsid w:val="00434A02"/>
    <w:rsid w:val="0043643E"/>
    <w:rsid w:val="004478B9"/>
    <w:rsid w:val="00450E77"/>
    <w:rsid w:val="00474D18"/>
    <w:rsid w:val="004819F1"/>
    <w:rsid w:val="00483407"/>
    <w:rsid w:val="004978CB"/>
    <w:rsid w:val="004A4074"/>
    <w:rsid w:val="004D5D78"/>
    <w:rsid w:val="004E2880"/>
    <w:rsid w:val="004E45F2"/>
    <w:rsid w:val="004E4C3B"/>
    <w:rsid w:val="004E7972"/>
    <w:rsid w:val="004F221F"/>
    <w:rsid w:val="004F32A1"/>
    <w:rsid w:val="004F671B"/>
    <w:rsid w:val="004F7DFD"/>
    <w:rsid w:val="00500907"/>
    <w:rsid w:val="005053F3"/>
    <w:rsid w:val="00513B65"/>
    <w:rsid w:val="00526E86"/>
    <w:rsid w:val="0053353D"/>
    <w:rsid w:val="005377EF"/>
    <w:rsid w:val="00546FDE"/>
    <w:rsid w:val="00550841"/>
    <w:rsid w:val="00550BA5"/>
    <w:rsid w:val="00557B49"/>
    <w:rsid w:val="0056044A"/>
    <w:rsid w:val="00566B07"/>
    <w:rsid w:val="00573174"/>
    <w:rsid w:val="00583887"/>
    <w:rsid w:val="00583F38"/>
    <w:rsid w:val="005846CE"/>
    <w:rsid w:val="00584ED6"/>
    <w:rsid w:val="005910E7"/>
    <w:rsid w:val="005A0BBB"/>
    <w:rsid w:val="005D7171"/>
    <w:rsid w:val="005E3D1E"/>
    <w:rsid w:val="005F3139"/>
    <w:rsid w:val="006001D8"/>
    <w:rsid w:val="00613984"/>
    <w:rsid w:val="00615936"/>
    <w:rsid w:val="00616295"/>
    <w:rsid w:val="006205B8"/>
    <w:rsid w:val="00622CFD"/>
    <w:rsid w:val="006240D2"/>
    <w:rsid w:val="00636996"/>
    <w:rsid w:val="00642EE6"/>
    <w:rsid w:val="00643F3C"/>
    <w:rsid w:val="006610B8"/>
    <w:rsid w:val="00667635"/>
    <w:rsid w:val="00673E0E"/>
    <w:rsid w:val="00683E8B"/>
    <w:rsid w:val="00697AB8"/>
    <w:rsid w:val="006A05F7"/>
    <w:rsid w:val="006A3594"/>
    <w:rsid w:val="006A4D4A"/>
    <w:rsid w:val="006A707B"/>
    <w:rsid w:val="006B33CB"/>
    <w:rsid w:val="006B42A2"/>
    <w:rsid w:val="006D24EC"/>
    <w:rsid w:val="006D6710"/>
    <w:rsid w:val="006E11A6"/>
    <w:rsid w:val="006E45DD"/>
    <w:rsid w:val="006E689E"/>
    <w:rsid w:val="006E6DBE"/>
    <w:rsid w:val="00701105"/>
    <w:rsid w:val="0070258A"/>
    <w:rsid w:val="00706C69"/>
    <w:rsid w:val="0070718E"/>
    <w:rsid w:val="00707ADE"/>
    <w:rsid w:val="007101D9"/>
    <w:rsid w:val="0071276C"/>
    <w:rsid w:val="00730E2D"/>
    <w:rsid w:val="00733696"/>
    <w:rsid w:val="00733C31"/>
    <w:rsid w:val="00751786"/>
    <w:rsid w:val="007523B6"/>
    <w:rsid w:val="00765592"/>
    <w:rsid w:val="00786DAF"/>
    <w:rsid w:val="00792DE6"/>
    <w:rsid w:val="007A2915"/>
    <w:rsid w:val="007A5BA9"/>
    <w:rsid w:val="007A73EC"/>
    <w:rsid w:val="007B32A0"/>
    <w:rsid w:val="007C5B7E"/>
    <w:rsid w:val="007E021E"/>
    <w:rsid w:val="007E3858"/>
    <w:rsid w:val="007E7EA0"/>
    <w:rsid w:val="007F3771"/>
    <w:rsid w:val="007F6888"/>
    <w:rsid w:val="00812E64"/>
    <w:rsid w:val="008237C6"/>
    <w:rsid w:val="00826D51"/>
    <w:rsid w:val="008360BD"/>
    <w:rsid w:val="00837277"/>
    <w:rsid w:val="00845161"/>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1FD8"/>
    <w:rsid w:val="00903B9C"/>
    <w:rsid w:val="00911470"/>
    <w:rsid w:val="00914649"/>
    <w:rsid w:val="00920076"/>
    <w:rsid w:val="009212D8"/>
    <w:rsid w:val="009328EF"/>
    <w:rsid w:val="00961A65"/>
    <w:rsid w:val="00963ACC"/>
    <w:rsid w:val="00973529"/>
    <w:rsid w:val="009767F7"/>
    <w:rsid w:val="009819D5"/>
    <w:rsid w:val="0098433C"/>
    <w:rsid w:val="00986B1C"/>
    <w:rsid w:val="00996DC8"/>
    <w:rsid w:val="009B2296"/>
    <w:rsid w:val="009B7929"/>
    <w:rsid w:val="009C29A7"/>
    <w:rsid w:val="009C643F"/>
    <w:rsid w:val="009E200C"/>
    <w:rsid w:val="009F3293"/>
    <w:rsid w:val="009F48D8"/>
    <w:rsid w:val="009F77B9"/>
    <w:rsid w:val="00A03231"/>
    <w:rsid w:val="00A17946"/>
    <w:rsid w:val="00A21D44"/>
    <w:rsid w:val="00A30AED"/>
    <w:rsid w:val="00A318B0"/>
    <w:rsid w:val="00A4004D"/>
    <w:rsid w:val="00A41446"/>
    <w:rsid w:val="00A54546"/>
    <w:rsid w:val="00A87DFA"/>
    <w:rsid w:val="00A94030"/>
    <w:rsid w:val="00AA21A4"/>
    <w:rsid w:val="00AA6DC1"/>
    <w:rsid w:val="00AA74E7"/>
    <w:rsid w:val="00AB2288"/>
    <w:rsid w:val="00AB278E"/>
    <w:rsid w:val="00AC60C1"/>
    <w:rsid w:val="00AD576B"/>
    <w:rsid w:val="00AE2200"/>
    <w:rsid w:val="00AF02BA"/>
    <w:rsid w:val="00AF21C7"/>
    <w:rsid w:val="00AF3C83"/>
    <w:rsid w:val="00B12561"/>
    <w:rsid w:val="00B26E48"/>
    <w:rsid w:val="00B30E51"/>
    <w:rsid w:val="00B45C16"/>
    <w:rsid w:val="00B55A55"/>
    <w:rsid w:val="00B9570C"/>
    <w:rsid w:val="00BB4400"/>
    <w:rsid w:val="00BD24E4"/>
    <w:rsid w:val="00BE3E7A"/>
    <w:rsid w:val="00BE5011"/>
    <w:rsid w:val="00BE78C7"/>
    <w:rsid w:val="00BF11EB"/>
    <w:rsid w:val="00BF233C"/>
    <w:rsid w:val="00C038B7"/>
    <w:rsid w:val="00C041F7"/>
    <w:rsid w:val="00C04DED"/>
    <w:rsid w:val="00C1122C"/>
    <w:rsid w:val="00C21975"/>
    <w:rsid w:val="00C345B8"/>
    <w:rsid w:val="00C375DF"/>
    <w:rsid w:val="00C41856"/>
    <w:rsid w:val="00C44804"/>
    <w:rsid w:val="00C45100"/>
    <w:rsid w:val="00C50C30"/>
    <w:rsid w:val="00C53A90"/>
    <w:rsid w:val="00C54CFF"/>
    <w:rsid w:val="00C56C1D"/>
    <w:rsid w:val="00C6145F"/>
    <w:rsid w:val="00C640B7"/>
    <w:rsid w:val="00C81055"/>
    <w:rsid w:val="00C87CD4"/>
    <w:rsid w:val="00CD3BB8"/>
    <w:rsid w:val="00CE0655"/>
    <w:rsid w:val="00CF7CC2"/>
    <w:rsid w:val="00D0332A"/>
    <w:rsid w:val="00D06A60"/>
    <w:rsid w:val="00D1142D"/>
    <w:rsid w:val="00D149A6"/>
    <w:rsid w:val="00D3049B"/>
    <w:rsid w:val="00D4070C"/>
    <w:rsid w:val="00D462B6"/>
    <w:rsid w:val="00D51CC7"/>
    <w:rsid w:val="00D57801"/>
    <w:rsid w:val="00D65123"/>
    <w:rsid w:val="00D67E61"/>
    <w:rsid w:val="00D70A7C"/>
    <w:rsid w:val="00D73652"/>
    <w:rsid w:val="00D873B0"/>
    <w:rsid w:val="00DA3EAF"/>
    <w:rsid w:val="00DA7256"/>
    <w:rsid w:val="00DA7D9E"/>
    <w:rsid w:val="00DB1E3A"/>
    <w:rsid w:val="00DB5AB6"/>
    <w:rsid w:val="00DB71CF"/>
    <w:rsid w:val="00DB7949"/>
    <w:rsid w:val="00DC1310"/>
    <w:rsid w:val="00DC1600"/>
    <w:rsid w:val="00DC461E"/>
    <w:rsid w:val="00DD2410"/>
    <w:rsid w:val="00DD4524"/>
    <w:rsid w:val="00DD56CC"/>
    <w:rsid w:val="00DD5E25"/>
    <w:rsid w:val="00DE7EC9"/>
    <w:rsid w:val="00DF1EC1"/>
    <w:rsid w:val="00DF75CE"/>
    <w:rsid w:val="00E04F00"/>
    <w:rsid w:val="00E0527A"/>
    <w:rsid w:val="00E13483"/>
    <w:rsid w:val="00E15F9B"/>
    <w:rsid w:val="00E25982"/>
    <w:rsid w:val="00E31881"/>
    <w:rsid w:val="00E32801"/>
    <w:rsid w:val="00E3743F"/>
    <w:rsid w:val="00E436F0"/>
    <w:rsid w:val="00E44ADB"/>
    <w:rsid w:val="00E50D99"/>
    <w:rsid w:val="00E71316"/>
    <w:rsid w:val="00E95294"/>
    <w:rsid w:val="00EA7310"/>
    <w:rsid w:val="00EB1825"/>
    <w:rsid w:val="00EB2C30"/>
    <w:rsid w:val="00EE1908"/>
    <w:rsid w:val="00EF2339"/>
    <w:rsid w:val="00F06A13"/>
    <w:rsid w:val="00F14918"/>
    <w:rsid w:val="00F220D5"/>
    <w:rsid w:val="00F33DBE"/>
    <w:rsid w:val="00F33E54"/>
    <w:rsid w:val="00F350B2"/>
    <w:rsid w:val="00F35615"/>
    <w:rsid w:val="00F365B1"/>
    <w:rsid w:val="00F37820"/>
    <w:rsid w:val="00F462A6"/>
    <w:rsid w:val="00F62E54"/>
    <w:rsid w:val="00F84ADE"/>
    <w:rsid w:val="00F949B7"/>
    <w:rsid w:val="00F952BC"/>
    <w:rsid w:val="00FB0E02"/>
    <w:rsid w:val="00FB1DB2"/>
    <w:rsid w:val="00FB225E"/>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A939E0"/>
  <w15:docId w15:val="{2CD99BFC-0B14-4ABE-B442-61A8F77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uiPriority w:val="99"/>
    <w:semiHidden/>
    <w:rsid w:val="00903B9C"/>
    <w:rPr>
      <w:sz w:val="20"/>
    </w:rPr>
  </w:style>
  <w:style w:type="character" w:styleId="FootnoteReference">
    <w:name w:val="footnote reference"/>
    <w:uiPriority w:val="99"/>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uiPriority w:val="99"/>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uiPriority w:val="99"/>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reviews/resolutions/230641d0-7ffd-493a-bdf0-dd9b83b2ed7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D70216784EE74DB31C404EA9411A16" ma:contentTypeVersion="7" ma:contentTypeDescription="Izveidot jaunu dokumentu." ma:contentTypeScope="" ma:versionID="9239c0859cce409234e7300afe8f6220">
  <xsd:schema xmlns:xsd="http://www.w3.org/2001/XMLSchema" xmlns:xs="http://www.w3.org/2001/XMLSchema" xmlns:p="http://schemas.microsoft.com/office/2006/metadata/properties" xmlns:ns1="http://schemas.microsoft.com/sharepoint/v3" xmlns:ns2="31e03d30-2e8d-4e33-818d-98013f8c7710" xmlns:ns3="572299aa-60cd-4594-8586-d66157377caf" targetNamespace="http://schemas.microsoft.com/office/2006/metadata/properties" ma:root="true" ma:fieldsID="4568e8d3e1232c8f0458f99f7af59157" ns1:_="" ns2:_="" ns3:_="">
    <xsd:import namespace="http://schemas.microsoft.com/sharepoint/v3"/>
    <xsd:import namespace="31e03d30-2e8d-4e33-818d-98013f8c7710"/>
    <xsd:import namespace="572299aa-60cd-4594-8586-d66157377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Vienotās atbilstības politikas rekvizīti" ma:hidden="true" ma:internalName="_ip_UnifiedCompliancePolicyProperties">
      <xsd:simpleType>
        <xsd:restriction base="dms:Note"/>
      </xsd:simpleType>
    </xsd:element>
    <xsd:element name="_ip_UnifiedCompliancePolicyUIAction" ma:index="14"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3d30-2e8d-4e33-818d-98013f8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299aa-60cd-4594-8586-d66157377caf"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04C02-885C-4172-8D6A-F5F74234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03d30-2e8d-4e33-818d-98013f8c7710"/>
    <ds:schemaRef ds:uri="572299aa-60cd-4594-8586-d6615737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10535-1B5D-49D5-AC58-1C4DD3F77A33}">
  <ds:schemaRefs>
    <ds:schemaRef ds:uri="http://schemas.microsoft.com/sharepoint/v3/contenttype/forms"/>
  </ds:schemaRefs>
</ds:datastoreItem>
</file>

<file path=customXml/itemProps3.xml><?xml version="1.0" encoding="utf-8"?>
<ds:datastoreItem xmlns:ds="http://schemas.openxmlformats.org/officeDocument/2006/customXml" ds:itemID="{1E230024-E6EF-4C50-B4AC-FC54616EFAC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3967</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FM</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FM</dc:creator>
  <cp:lastModifiedBy>Edgars Vītols</cp:lastModifiedBy>
  <cp:revision>2</cp:revision>
  <cp:lastPrinted>2007-06-25T10:49:00Z</cp:lastPrinted>
  <dcterms:created xsi:type="dcterms:W3CDTF">2026-01-07T07:39:00Z</dcterms:created>
  <dcterms:modified xsi:type="dcterms:W3CDTF">2026-01-07T07:39:00Z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