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09F6" w14:textId="77777777" w:rsidR="00786DAF" w:rsidRDefault="00786DAF" w:rsidP="002C22B9">
      <w:pPr>
        <w:jc w:val="center"/>
        <w:rPr>
          <w:sz w:val="20"/>
        </w:rPr>
      </w:pPr>
    </w:p>
    <w:p w14:paraId="43282C3C" w14:textId="77777777" w:rsidR="002C22B9" w:rsidRDefault="005E669A" w:rsidP="002C22B9">
      <w:pPr>
        <w:jc w:val="center"/>
        <w:rPr>
          <w:sz w:val="20"/>
        </w:rPr>
      </w:pPr>
      <w:r w:rsidRPr="00914649">
        <w:rPr>
          <w:sz w:val="20"/>
        </w:rPr>
        <w:t>Rīgā</w:t>
      </w:r>
    </w:p>
    <w:p w14:paraId="7735DC06" w14:textId="77777777" w:rsidR="002C22B9" w:rsidRDefault="002C22B9" w:rsidP="007F3771">
      <w:pPr>
        <w:rPr>
          <w:spacing w:val="4"/>
          <w:sz w:val="20"/>
        </w:rPr>
      </w:pPr>
    </w:p>
    <w:tbl>
      <w:tblPr>
        <w:tblW w:w="0" w:type="auto"/>
        <w:tblLook w:val="0000" w:firstRow="0" w:lastRow="0" w:firstColumn="0" w:lastColumn="0" w:noHBand="0" w:noVBand="0"/>
      </w:tblPr>
      <w:tblGrid>
        <w:gridCol w:w="450"/>
        <w:gridCol w:w="1785"/>
        <w:gridCol w:w="708"/>
        <w:gridCol w:w="2727"/>
      </w:tblGrid>
      <w:tr w:rsidR="00C32739" w14:paraId="30BC884D" w14:textId="77777777" w:rsidTr="009F77B9">
        <w:tc>
          <w:tcPr>
            <w:tcW w:w="450" w:type="dxa"/>
            <w:tcBorders>
              <w:top w:val="nil"/>
              <w:left w:val="nil"/>
              <w:bottom w:val="nil"/>
              <w:right w:val="nil"/>
            </w:tcBorders>
          </w:tcPr>
          <w:p w14:paraId="6846D766" w14:textId="77777777" w:rsidR="002C22B9" w:rsidRPr="00615936" w:rsidRDefault="002C22B9" w:rsidP="002C22B9">
            <w:pPr>
              <w:tabs>
                <w:tab w:val="left" w:pos="360"/>
                <w:tab w:val="left" w:pos="3960"/>
              </w:tabs>
              <w:rPr>
                <w:sz w:val="20"/>
              </w:rPr>
            </w:pPr>
          </w:p>
        </w:tc>
        <w:tc>
          <w:tcPr>
            <w:tcW w:w="1785" w:type="dxa"/>
            <w:tcBorders>
              <w:top w:val="nil"/>
              <w:left w:val="nil"/>
              <w:bottom w:val="single" w:sz="4" w:space="0" w:color="auto"/>
              <w:right w:val="nil"/>
            </w:tcBorders>
          </w:tcPr>
          <w:p w14:paraId="00C262C3" w14:textId="77777777" w:rsidR="002C22B9" w:rsidRPr="00615936" w:rsidRDefault="005E669A" w:rsidP="002C22B9">
            <w:pPr>
              <w:tabs>
                <w:tab w:val="left" w:pos="3960"/>
              </w:tabs>
              <w:rPr>
                <w:szCs w:val="24"/>
              </w:rPr>
            </w:pPr>
            <w:r>
              <w:rPr>
                <w:noProof/>
              </w:rPr>
              <w:t>09.02.2026</w:t>
            </w:r>
          </w:p>
        </w:tc>
        <w:tc>
          <w:tcPr>
            <w:tcW w:w="708" w:type="dxa"/>
            <w:tcBorders>
              <w:top w:val="nil"/>
              <w:left w:val="nil"/>
              <w:bottom w:val="nil"/>
              <w:right w:val="nil"/>
            </w:tcBorders>
          </w:tcPr>
          <w:p w14:paraId="3C538C3C" w14:textId="77777777" w:rsidR="002C22B9" w:rsidRPr="00615936" w:rsidRDefault="005E669A" w:rsidP="002C22B9">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tcPr>
          <w:p w14:paraId="6C37B8E1" w14:textId="77777777" w:rsidR="002C22B9" w:rsidRPr="00615936" w:rsidRDefault="005E669A" w:rsidP="002C22B9">
            <w:pPr>
              <w:tabs>
                <w:tab w:val="left" w:pos="360"/>
                <w:tab w:val="left" w:pos="3960"/>
              </w:tabs>
              <w:rPr>
                <w:szCs w:val="24"/>
              </w:rPr>
            </w:pPr>
            <w:r>
              <w:rPr>
                <w:noProof/>
              </w:rPr>
              <w:t>2.1-3/3-1/355</w:t>
            </w:r>
          </w:p>
        </w:tc>
      </w:tr>
      <w:tr w:rsidR="00C32739" w14:paraId="2A5541E7" w14:textId="77777777" w:rsidTr="009F77B9">
        <w:trPr>
          <w:trHeight w:val="188"/>
        </w:trPr>
        <w:tc>
          <w:tcPr>
            <w:tcW w:w="450" w:type="dxa"/>
            <w:tcBorders>
              <w:top w:val="nil"/>
              <w:left w:val="nil"/>
              <w:bottom w:val="nil"/>
              <w:right w:val="nil"/>
            </w:tcBorders>
          </w:tcPr>
          <w:p w14:paraId="4BC5AF7D" w14:textId="77777777" w:rsidR="002C22B9" w:rsidRPr="00615936" w:rsidRDefault="002C22B9" w:rsidP="002C22B9">
            <w:pPr>
              <w:tabs>
                <w:tab w:val="left" w:pos="360"/>
                <w:tab w:val="left" w:pos="3960"/>
              </w:tabs>
              <w:rPr>
                <w:sz w:val="20"/>
              </w:rPr>
            </w:pPr>
          </w:p>
        </w:tc>
        <w:tc>
          <w:tcPr>
            <w:tcW w:w="1785" w:type="dxa"/>
            <w:tcBorders>
              <w:top w:val="single" w:sz="4" w:space="0" w:color="auto"/>
              <w:left w:val="nil"/>
              <w:bottom w:val="nil"/>
              <w:right w:val="nil"/>
            </w:tcBorders>
          </w:tcPr>
          <w:p w14:paraId="79EA2D1E" w14:textId="77777777" w:rsidR="002C22B9" w:rsidRPr="00615936" w:rsidRDefault="002C22B9" w:rsidP="002C22B9">
            <w:pPr>
              <w:tabs>
                <w:tab w:val="left" w:pos="360"/>
                <w:tab w:val="left" w:pos="3960"/>
              </w:tabs>
              <w:rPr>
                <w:sz w:val="20"/>
              </w:rPr>
            </w:pPr>
          </w:p>
        </w:tc>
        <w:tc>
          <w:tcPr>
            <w:tcW w:w="708" w:type="dxa"/>
            <w:tcBorders>
              <w:top w:val="nil"/>
              <w:left w:val="nil"/>
              <w:bottom w:val="nil"/>
              <w:right w:val="nil"/>
            </w:tcBorders>
          </w:tcPr>
          <w:p w14:paraId="27D1C884" w14:textId="77777777" w:rsidR="002C22B9" w:rsidRPr="00615936" w:rsidRDefault="002C22B9" w:rsidP="002C22B9">
            <w:pPr>
              <w:tabs>
                <w:tab w:val="left" w:pos="360"/>
                <w:tab w:val="left" w:pos="3960"/>
              </w:tabs>
              <w:jc w:val="center"/>
              <w:rPr>
                <w:sz w:val="20"/>
              </w:rPr>
            </w:pPr>
          </w:p>
        </w:tc>
        <w:tc>
          <w:tcPr>
            <w:tcW w:w="2727" w:type="dxa"/>
            <w:tcBorders>
              <w:top w:val="single" w:sz="4" w:space="0" w:color="auto"/>
              <w:left w:val="nil"/>
              <w:bottom w:val="nil"/>
              <w:right w:val="nil"/>
            </w:tcBorders>
          </w:tcPr>
          <w:p w14:paraId="36064A18" w14:textId="77777777" w:rsidR="002C22B9" w:rsidRPr="00615936" w:rsidRDefault="002C22B9" w:rsidP="002C22B9">
            <w:pPr>
              <w:tabs>
                <w:tab w:val="left" w:pos="360"/>
                <w:tab w:val="left" w:pos="3960"/>
              </w:tabs>
              <w:rPr>
                <w:sz w:val="20"/>
              </w:rPr>
            </w:pPr>
          </w:p>
        </w:tc>
      </w:tr>
      <w:tr w:rsidR="00C32739" w14:paraId="152F2DB1" w14:textId="77777777" w:rsidTr="009F77B9">
        <w:tc>
          <w:tcPr>
            <w:tcW w:w="450" w:type="dxa"/>
            <w:tcBorders>
              <w:top w:val="nil"/>
              <w:left w:val="nil"/>
              <w:bottom w:val="nil"/>
              <w:right w:val="nil"/>
            </w:tcBorders>
          </w:tcPr>
          <w:p w14:paraId="23CE03D3" w14:textId="77777777" w:rsidR="002C22B9" w:rsidRPr="00615936" w:rsidRDefault="005E669A" w:rsidP="002C22B9">
            <w:pPr>
              <w:tabs>
                <w:tab w:val="left" w:pos="360"/>
                <w:tab w:val="left" w:pos="3960"/>
              </w:tabs>
              <w:rPr>
                <w:sz w:val="20"/>
              </w:rPr>
            </w:pPr>
            <w:r w:rsidRPr="00615936">
              <w:rPr>
                <w:sz w:val="20"/>
              </w:rPr>
              <w:t>Uz</w:t>
            </w:r>
          </w:p>
        </w:tc>
        <w:tc>
          <w:tcPr>
            <w:tcW w:w="1785" w:type="dxa"/>
            <w:tcBorders>
              <w:top w:val="nil"/>
              <w:left w:val="nil"/>
              <w:bottom w:val="single" w:sz="4" w:space="0" w:color="auto"/>
              <w:right w:val="nil"/>
            </w:tcBorders>
          </w:tcPr>
          <w:p w14:paraId="31758561" w14:textId="77777777" w:rsidR="002C22B9" w:rsidRPr="00615936" w:rsidRDefault="005E669A" w:rsidP="002C22B9">
            <w:pPr>
              <w:tabs>
                <w:tab w:val="left" w:pos="360"/>
                <w:tab w:val="left" w:pos="3960"/>
              </w:tabs>
              <w:rPr>
                <w:szCs w:val="24"/>
              </w:rPr>
            </w:pPr>
            <w:r>
              <w:rPr>
                <w:noProof/>
              </w:rPr>
              <w:t>05.01.2026</w:t>
            </w:r>
          </w:p>
        </w:tc>
        <w:tc>
          <w:tcPr>
            <w:tcW w:w="708" w:type="dxa"/>
            <w:tcBorders>
              <w:top w:val="nil"/>
              <w:left w:val="nil"/>
              <w:bottom w:val="nil"/>
              <w:right w:val="nil"/>
            </w:tcBorders>
          </w:tcPr>
          <w:p w14:paraId="048A97E9" w14:textId="77777777" w:rsidR="002C22B9" w:rsidRPr="00615936" w:rsidRDefault="005E669A" w:rsidP="002C22B9">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tcPr>
          <w:p w14:paraId="53F26590" w14:textId="77777777" w:rsidR="002C22B9" w:rsidRPr="00615936" w:rsidRDefault="005E669A" w:rsidP="002C22B9">
            <w:pPr>
              <w:tabs>
                <w:tab w:val="left" w:pos="360"/>
                <w:tab w:val="left" w:pos="3960"/>
              </w:tabs>
              <w:rPr>
                <w:szCs w:val="24"/>
              </w:rPr>
            </w:pPr>
            <w:r>
              <w:rPr>
                <w:noProof/>
                <w:szCs w:val="24"/>
              </w:rPr>
              <w:t>1-08/7</w:t>
            </w:r>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32739" w14:paraId="0FB96106" w14:textId="77777777" w:rsidTr="000C0DD4">
        <w:trPr>
          <w:jc w:val="right"/>
        </w:trPr>
        <w:tc>
          <w:tcPr>
            <w:tcW w:w="4644" w:type="dxa"/>
          </w:tcPr>
          <w:p w14:paraId="4DF893C0" w14:textId="77777777" w:rsidR="004E7972" w:rsidRPr="00901FD8" w:rsidRDefault="004E7972" w:rsidP="004978CB">
            <w:pPr>
              <w:jc w:val="right"/>
              <w:rPr>
                <w:szCs w:val="24"/>
                <w:lang w:eastAsia="lv-LV"/>
              </w:rPr>
            </w:pPr>
            <w:bookmarkStart w:id="0" w:name="org_nos"/>
          </w:p>
          <w:p w14:paraId="54490C48" w14:textId="77777777" w:rsidR="004E7972" w:rsidRPr="00901FD8" w:rsidRDefault="004E7972" w:rsidP="004978CB">
            <w:pPr>
              <w:jc w:val="right"/>
              <w:rPr>
                <w:szCs w:val="24"/>
                <w:lang w:eastAsia="lv-LV"/>
              </w:rPr>
            </w:pPr>
          </w:p>
          <w:p w14:paraId="116916B4" w14:textId="77777777" w:rsidR="006A4D4A" w:rsidRPr="00901FD8" w:rsidRDefault="005E669A" w:rsidP="006A4D4A">
            <w:pPr>
              <w:jc w:val="right"/>
              <w:rPr>
                <w:szCs w:val="24"/>
                <w:lang w:eastAsia="lv-LV"/>
              </w:rPr>
            </w:pPr>
            <w:r w:rsidRPr="00901FD8">
              <w:rPr>
                <w:szCs w:val="24"/>
                <w:lang w:eastAsia="lv-LV"/>
              </w:rPr>
              <w:t xml:space="preserve"> </w:t>
            </w:r>
            <w:r w:rsidRPr="00901FD8">
              <w:rPr>
                <w:noProof/>
                <w:szCs w:val="24"/>
                <w:lang w:eastAsia="lv-LV"/>
              </w:rPr>
              <w:t>Fiskālās disciplīnas padome</w:t>
            </w:r>
          </w:p>
          <w:p w14:paraId="0798A420" w14:textId="77777777" w:rsidR="006A4D4A" w:rsidRPr="00901FD8" w:rsidRDefault="006A4D4A" w:rsidP="006A4D4A">
            <w:pPr>
              <w:jc w:val="right"/>
              <w:rPr>
                <w:szCs w:val="24"/>
                <w:lang w:eastAsia="lv-LV"/>
              </w:rPr>
            </w:pPr>
          </w:p>
          <w:p w14:paraId="05DD23F7" w14:textId="77777777" w:rsidR="000C0DD4" w:rsidRPr="00901FD8" w:rsidRDefault="005E669A" w:rsidP="006A4D4A">
            <w:pPr>
              <w:jc w:val="right"/>
              <w:rPr>
                <w:szCs w:val="24"/>
                <w:lang w:eastAsia="lv-LV"/>
              </w:rPr>
            </w:pPr>
            <w:r w:rsidRPr="00901FD8">
              <w:rPr>
                <w:szCs w:val="24"/>
                <w:lang w:eastAsia="lv-LV"/>
              </w:rPr>
              <w:t xml:space="preserve">Paziņošanai </w:t>
            </w:r>
            <w:proofErr w:type="spellStart"/>
            <w:r w:rsidRPr="00901FD8">
              <w:rPr>
                <w:szCs w:val="24"/>
                <w:lang w:eastAsia="lv-LV"/>
              </w:rPr>
              <w:t>eAdresē</w:t>
            </w:r>
            <w:proofErr w:type="spellEnd"/>
          </w:p>
        </w:tc>
      </w:tr>
      <w:bookmarkEnd w:id="0"/>
    </w:tbl>
    <w:p w14:paraId="55CBCFB0" w14:textId="77777777" w:rsidR="001F53D9" w:rsidRDefault="001F53D9" w:rsidP="004F32A1">
      <w:pPr>
        <w:rPr>
          <w:spacing w:val="4"/>
          <w:sz w:val="20"/>
        </w:rPr>
      </w:pPr>
    </w:p>
    <w:p w14:paraId="06EB68BC" w14:textId="77777777" w:rsidR="004E7972" w:rsidRPr="007F3771" w:rsidRDefault="004E7972" w:rsidP="004F32A1">
      <w:pPr>
        <w:rPr>
          <w:spacing w:val="4"/>
          <w:sz w:val="20"/>
        </w:rPr>
      </w:pPr>
    </w:p>
    <w:tbl>
      <w:tblPr>
        <w:tblStyle w:val="TableGrid"/>
        <w:tblW w:w="0" w:type="auto"/>
        <w:tblLook w:val="04A0" w:firstRow="1" w:lastRow="0" w:firstColumn="1" w:lastColumn="0" w:noHBand="0" w:noVBand="1"/>
      </w:tblPr>
      <w:tblGrid>
        <w:gridCol w:w="4503"/>
      </w:tblGrid>
      <w:tr w:rsidR="00C32739" w14:paraId="5C9A8A06" w14:textId="77777777" w:rsidTr="000C0DD4">
        <w:tc>
          <w:tcPr>
            <w:tcW w:w="4503" w:type="dxa"/>
            <w:tcBorders>
              <w:top w:val="nil"/>
              <w:left w:val="nil"/>
              <w:bottom w:val="nil"/>
              <w:right w:val="nil"/>
            </w:tcBorders>
          </w:tcPr>
          <w:p w14:paraId="101DA6F4" w14:textId="77777777" w:rsidR="000C0DD4" w:rsidRPr="004E7972" w:rsidRDefault="005E669A" w:rsidP="00C04DED">
            <w:pPr>
              <w:jc w:val="left"/>
              <w:rPr>
                <w:szCs w:val="24"/>
                <w:lang w:eastAsia="lv-LV"/>
              </w:rPr>
            </w:pPr>
            <w:r w:rsidRPr="004E7972">
              <w:rPr>
                <w:noProof/>
                <w:szCs w:val="24"/>
                <w:lang w:eastAsia="lv-LV"/>
              </w:rPr>
              <w:t>Par neatbilstības ziņojumu</w:t>
            </w:r>
          </w:p>
        </w:tc>
      </w:tr>
    </w:tbl>
    <w:p w14:paraId="2FADE88A" w14:textId="77777777" w:rsidR="00E04F00" w:rsidRPr="00615936" w:rsidRDefault="00E04F00" w:rsidP="00C04DED">
      <w:pPr>
        <w:jc w:val="left"/>
        <w:rPr>
          <w:szCs w:val="24"/>
        </w:rPr>
      </w:pPr>
    </w:p>
    <w:p w14:paraId="3DBEC03D" w14:textId="77777777" w:rsidR="0077309E" w:rsidRDefault="005E669A" w:rsidP="0077309E">
      <w:pPr>
        <w:tabs>
          <w:tab w:val="left" w:pos="6740"/>
        </w:tabs>
        <w:ind w:firstLine="567"/>
        <w:rPr>
          <w:szCs w:val="24"/>
        </w:rPr>
      </w:pPr>
      <w:r>
        <w:rPr>
          <w:szCs w:val="24"/>
        </w:rPr>
        <w:t xml:space="preserve">Finanšu ministrija ir saņēmusi Fiskālās disciplīnas padomes 2026. gada 5. janvāra neatbilstības ziņojumu par Fiskālās disciplīnas likuma pārkāpumu un atbilstoši savai kompetencei sniedz viedokli. </w:t>
      </w:r>
    </w:p>
    <w:p w14:paraId="59E1B049" w14:textId="77777777" w:rsidR="0077309E" w:rsidRPr="00FB0E02" w:rsidRDefault="005E669A" w:rsidP="0077309E">
      <w:pPr>
        <w:tabs>
          <w:tab w:val="left" w:pos="6740"/>
        </w:tabs>
        <w:ind w:firstLine="567"/>
        <w:rPr>
          <w:szCs w:val="24"/>
        </w:rPr>
      </w:pPr>
      <w:r w:rsidRPr="00FB0E02">
        <w:rPr>
          <w:szCs w:val="24"/>
        </w:rPr>
        <w:t xml:space="preserve">Ministru kabineta 2025. gada </w:t>
      </w:r>
      <w:r>
        <w:rPr>
          <w:szCs w:val="24"/>
        </w:rPr>
        <w:t>12</w:t>
      </w:r>
      <w:r w:rsidRPr="00FB0E02">
        <w:rPr>
          <w:szCs w:val="24"/>
        </w:rPr>
        <w:t>.</w:t>
      </w:r>
      <w:r>
        <w:rPr>
          <w:szCs w:val="24"/>
        </w:rPr>
        <w:t xml:space="preserve"> decembra</w:t>
      </w:r>
      <w:r w:rsidRPr="00FB0E02">
        <w:rPr>
          <w:szCs w:val="24"/>
        </w:rPr>
        <w:t xml:space="preserve"> sēdē </w:t>
      </w:r>
      <w:r>
        <w:rPr>
          <w:szCs w:val="24"/>
        </w:rPr>
        <w:t>(</w:t>
      </w:r>
      <w:r w:rsidRPr="00FB1563">
        <w:rPr>
          <w:szCs w:val="24"/>
        </w:rPr>
        <w:t>protokol</w:t>
      </w:r>
      <w:r>
        <w:rPr>
          <w:szCs w:val="24"/>
        </w:rPr>
        <w:t>s</w:t>
      </w:r>
      <w:r w:rsidRPr="00FB1563">
        <w:rPr>
          <w:szCs w:val="24"/>
        </w:rPr>
        <w:t xml:space="preserve"> Nr.</w:t>
      </w:r>
      <w:r>
        <w:rPr>
          <w:szCs w:val="24"/>
        </w:rPr>
        <w:t>53</w:t>
      </w:r>
      <w:r w:rsidRPr="00FB1563">
        <w:rPr>
          <w:szCs w:val="24"/>
        </w:rPr>
        <w:t>/</w:t>
      </w:r>
      <w:r>
        <w:rPr>
          <w:szCs w:val="24"/>
        </w:rPr>
        <w:t>98</w:t>
      </w:r>
      <w:r w:rsidRPr="00FB1563">
        <w:rPr>
          <w:szCs w:val="24"/>
        </w:rPr>
        <w:t>.§</w:t>
      </w:r>
      <w:r>
        <w:rPr>
          <w:szCs w:val="24"/>
        </w:rPr>
        <w:t xml:space="preserve">) </w:t>
      </w:r>
      <w:r w:rsidRPr="00FB0E02">
        <w:rPr>
          <w:szCs w:val="24"/>
        </w:rPr>
        <w:t xml:space="preserve">tika izskatīts un atbalstīts Izglītības un zinātnes ministrijas sagatavotais </w:t>
      </w:r>
      <w:r>
        <w:rPr>
          <w:szCs w:val="24"/>
        </w:rPr>
        <w:t>rīkojuma projekts</w:t>
      </w:r>
      <w:r w:rsidRPr="00FB0E02">
        <w:rPr>
          <w:szCs w:val="24"/>
        </w:rPr>
        <w:t xml:space="preserve"> “</w:t>
      </w:r>
      <w:r>
        <w:rPr>
          <w:szCs w:val="24"/>
        </w:rPr>
        <w:t>Par pedagogu zemākās darba samaksas likmes pieauguma grafiku laikposmam no 2026. gada 1. janvāra līdz 2030. gada 31. decembrim</w:t>
      </w:r>
      <w:r w:rsidRPr="00FB0E02">
        <w:rPr>
          <w:szCs w:val="24"/>
        </w:rPr>
        <w:t>” (2</w:t>
      </w:r>
      <w:r>
        <w:rPr>
          <w:szCs w:val="24"/>
        </w:rPr>
        <w:t>5</w:t>
      </w:r>
      <w:r w:rsidRPr="00FB0E02">
        <w:rPr>
          <w:szCs w:val="24"/>
        </w:rPr>
        <w:t>-TA-</w:t>
      </w:r>
      <w:r>
        <w:rPr>
          <w:szCs w:val="24"/>
        </w:rPr>
        <w:t>2747</w:t>
      </w:r>
      <w:r w:rsidRPr="00FB0E02">
        <w:rPr>
          <w:szCs w:val="24"/>
        </w:rPr>
        <w:t>)</w:t>
      </w:r>
      <w:r>
        <w:rPr>
          <w:szCs w:val="24"/>
        </w:rPr>
        <w:t>. Attiecīgi 2025. gada 22. decembra Ministru kabineta rīkojums Nr.899</w:t>
      </w:r>
      <w:r>
        <w:rPr>
          <w:rStyle w:val="FootnoteReference"/>
          <w:szCs w:val="24"/>
        </w:rPr>
        <w:footnoteReference w:id="1"/>
      </w:r>
      <w:r>
        <w:rPr>
          <w:szCs w:val="24"/>
        </w:rPr>
        <w:t xml:space="preserve"> (turpmāk – rīkojums)</w:t>
      </w:r>
      <w:r w:rsidRPr="00FB0E02">
        <w:rPr>
          <w:szCs w:val="24"/>
        </w:rPr>
        <w:t xml:space="preserve"> paredz:</w:t>
      </w:r>
    </w:p>
    <w:p w14:paraId="4234CF57" w14:textId="77777777" w:rsidR="0077309E" w:rsidRPr="00FB0E02" w:rsidRDefault="005E669A" w:rsidP="0077309E">
      <w:pPr>
        <w:tabs>
          <w:tab w:val="left" w:pos="6740"/>
        </w:tabs>
        <w:ind w:firstLine="567"/>
        <w:rPr>
          <w:szCs w:val="24"/>
        </w:rPr>
      </w:pPr>
      <w:r w:rsidRPr="00FB0E02">
        <w:rPr>
          <w:szCs w:val="24"/>
        </w:rPr>
        <w:t xml:space="preserve">1) </w:t>
      </w:r>
      <w:r>
        <w:rPr>
          <w:szCs w:val="24"/>
        </w:rPr>
        <w:t xml:space="preserve">atbalstīt </w:t>
      </w:r>
      <w:r w:rsidRPr="00FB0E02">
        <w:rPr>
          <w:szCs w:val="24"/>
        </w:rPr>
        <w:t xml:space="preserve">pedagogu </w:t>
      </w:r>
      <w:r>
        <w:rPr>
          <w:szCs w:val="24"/>
        </w:rPr>
        <w:t xml:space="preserve">zemākās </w:t>
      </w:r>
      <w:r w:rsidRPr="00FB0E02">
        <w:rPr>
          <w:szCs w:val="24"/>
        </w:rPr>
        <w:t xml:space="preserve">darba </w:t>
      </w:r>
      <w:r w:rsidRPr="0070484F">
        <w:rPr>
          <w:szCs w:val="24"/>
        </w:rPr>
        <w:t>samaksas pieauguma indikatīvo grafiku laikposmam no 2026. gada 1. janvāra līdz 2030. gada 31. decembrim, ņemot vērā valsts ekonomisko situāciju attiecīgajā gadā</w:t>
      </w:r>
      <w:r w:rsidRPr="00FB0E02">
        <w:rPr>
          <w:szCs w:val="24"/>
        </w:rPr>
        <w:t>;</w:t>
      </w:r>
    </w:p>
    <w:p w14:paraId="7F0308E1" w14:textId="77777777" w:rsidR="0077309E" w:rsidRDefault="005E669A" w:rsidP="0077309E">
      <w:pPr>
        <w:tabs>
          <w:tab w:val="left" w:pos="6740"/>
        </w:tabs>
        <w:ind w:firstLine="567"/>
        <w:rPr>
          <w:szCs w:val="24"/>
        </w:rPr>
      </w:pPr>
      <w:r w:rsidRPr="00FB0E02">
        <w:rPr>
          <w:szCs w:val="24"/>
        </w:rPr>
        <w:t xml:space="preserve">2) </w:t>
      </w:r>
      <w:r w:rsidRPr="00970C92">
        <w:rPr>
          <w:szCs w:val="24"/>
        </w:rPr>
        <w:t>Izglītības un zinātnes ministrijai atbilstoši pieņemtajiem lēmumiem par izglītības iestāžu tīkla sakārtošanu un likumā par valsts budžetu kārtējam gadam un budžeta ietvaru nākamajiem gadiem plānotajam finansējumam sagatavot un izglītības un zinātnes ministram katru gadu līdz 1.</w:t>
      </w:r>
      <w:r>
        <w:rPr>
          <w:szCs w:val="24"/>
        </w:rPr>
        <w:t xml:space="preserve"> </w:t>
      </w:r>
      <w:r w:rsidRPr="00970C92">
        <w:rPr>
          <w:szCs w:val="24"/>
        </w:rPr>
        <w:t>decembrim iesniegt Ministru kabinetā tiesību akta projektu par attiecīgajiem grozījumiem Ministru kabineta 2016. gada 5. jūlija noteikumos Nr. 445 "Pedagogu darba samaksas noteikumi"</w:t>
      </w:r>
      <w:r>
        <w:rPr>
          <w:szCs w:val="24"/>
        </w:rPr>
        <w:t>;</w:t>
      </w:r>
    </w:p>
    <w:p w14:paraId="32789C7F" w14:textId="77777777" w:rsidR="0077309E" w:rsidRDefault="005E669A" w:rsidP="0077309E">
      <w:pPr>
        <w:tabs>
          <w:tab w:val="left" w:pos="6740"/>
        </w:tabs>
        <w:ind w:firstLine="567"/>
        <w:rPr>
          <w:szCs w:val="24"/>
        </w:rPr>
      </w:pPr>
      <w:r>
        <w:rPr>
          <w:szCs w:val="24"/>
        </w:rPr>
        <w:t>3) j</w:t>
      </w:r>
      <w:r w:rsidRPr="0070484F">
        <w:rPr>
          <w:szCs w:val="24"/>
        </w:rPr>
        <w:t>autājumu par papildu finansējuma piešķiršanu 2027. gadam un turpmāk izskatīt Ministru kabinetā likumprojekta "Par valsts budžetu 2027. gadam un budžeta ietvaru 2027., 2028. un 2029. gadam" izstrādes procesā</w:t>
      </w:r>
      <w:r>
        <w:rPr>
          <w:szCs w:val="24"/>
        </w:rPr>
        <w:t>;</w:t>
      </w:r>
    </w:p>
    <w:p w14:paraId="5818783F" w14:textId="77777777" w:rsidR="0077309E" w:rsidRPr="00FB0E02" w:rsidRDefault="005E669A" w:rsidP="0077309E">
      <w:pPr>
        <w:tabs>
          <w:tab w:val="left" w:pos="6740"/>
        </w:tabs>
        <w:ind w:firstLine="567"/>
        <w:rPr>
          <w:szCs w:val="24"/>
        </w:rPr>
      </w:pPr>
      <w:r>
        <w:rPr>
          <w:szCs w:val="24"/>
        </w:rPr>
        <w:t>4) n</w:t>
      </w:r>
      <w:r w:rsidRPr="00970C92">
        <w:rPr>
          <w:szCs w:val="24"/>
        </w:rPr>
        <w:t xml:space="preserve">oteikt Izglītības un zinātnes ministriju par atbildīgo institūciju pedagogu zemākās darba samaksas pieauguma grafika īstenošanā un Aizsardzības ministriju, Kultūras ministriju, Labklājības ministriju, Veselības ministriju, Zemkopības ministriju un </w:t>
      </w:r>
      <w:proofErr w:type="spellStart"/>
      <w:r w:rsidRPr="00970C92">
        <w:rPr>
          <w:szCs w:val="24"/>
        </w:rPr>
        <w:t>Iekšlietu</w:t>
      </w:r>
      <w:proofErr w:type="spellEnd"/>
      <w:r w:rsidRPr="00970C92">
        <w:rPr>
          <w:szCs w:val="24"/>
        </w:rPr>
        <w:t xml:space="preserve"> ministriju par līdzatbildīgajām institūcijām. Iesaistītajām institūcijām atbilstoši kompetencei sadarboties ar pašvaldībām un veikt nepieciešamās darbības grafika īstenošanai.</w:t>
      </w:r>
    </w:p>
    <w:p w14:paraId="3DC9E6FF" w14:textId="77777777" w:rsidR="0077309E" w:rsidRDefault="005E669A" w:rsidP="00844760">
      <w:pPr>
        <w:tabs>
          <w:tab w:val="left" w:pos="6740"/>
        </w:tabs>
        <w:ind w:firstLine="567"/>
        <w:rPr>
          <w:szCs w:val="24"/>
        </w:rPr>
      </w:pPr>
      <w:r>
        <w:rPr>
          <w:szCs w:val="24"/>
        </w:rPr>
        <w:t>Rīkojuma</w:t>
      </w:r>
      <w:r w:rsidRPr="00FB0E02">
        <w:rPr>
          <w:szCs w:val="24"/>
        </w:rPr>
        <w:t xml:space="preserve"> anotācij</w:t>
      </w:r>
      <w:r>
        <w:rPr>
          <w:szCs w:val="24"/>
        </w:rPr>
        <w:t>ā ir iekļauta informācija</w:t>
      </w:r>
      <w:r w:rsidRPr="00727064">
        <w:rPr>
          <w:szCs w:val="24"/>
        </w:rPr>
        <w:t>, ka 2026. gada budžeta veidošanas procesā vidēja termiņa budžetā nav paredzēts finansējums pedagogu zemākās algas likmes celšanai, sagatavojot likumprojektu "Par valsts budžetu 2027. gadam un budžeta ietvaru 2027., 2028.</w:t>
      </w:r>
      <w:r>
        <w:rPr>
          <w:szCs w:val="24"/>
        </w:rPr>
        <w:t>,</w:t>
      </w:r>
      <w:r w:rsidRPr="00727064">
        <w:rPr>
          <w:szCs w:val="24"/>
        </w:rPr>
        <w:t xml:space="preserve"> 2029. un 2030. </w:t>
      </w:r>
      <w:r w:rsidRPr="00727064">
        <w:rPr>
          <w:szCs w:val="24"/>
        </w:rPr>
        <w:lastRenderedPageBreak/>
        <w:t>gadam", lai nodrošinātu pedagogu zemākās darba algas likmes pieaugumu no 2027. gada 1. janvāra, attiecīgi jāparedz papildu finansējums attiecīgā kalendārā gada budžeta sagatavošanas laikā.</w:t>
      </w:r>
      <w:r>
        <w:rPr>
          <w:szCs w:val="24"/>
        </w:rPr>
        <w:t xml:space="preserve"> </w:t>
      </w:r>
    </w:p>
    <w:p w14:paraId="05AFA3E0" w14:textId="77777777" w:rsidR="0077309E" w:rsidRDefault="005E669A" w:rsidP="0077309E">
      <w:pPr>
        <w:tabs>
          <w:tab w:val="left" w:pos="567"/>
          <w:tab w:val="left" w:pos="1276"/>
          <w:tab w:val="left" w:pos="6740"/>
        </w:tabs>
        <w:ind w:firstLine="567"/>
        <w:rPr>
          <w:szCs w:val="24"/>
        </w:rPr>
      </w:pPr>
      <w:r w:rsidRPr="00727064">
        <w:rPr>
          <w:szCs w:val="24"/>
        </w:rPr>
        <w:t>Kopējais projekta indikatīvais papildu nepieciešamais finansējums, ņemot vērā procentuālo algas likmes pieaugumu salīdzinājumā pret 2027.</w:t>
      </w:r>
      <w:r>
        <w:rPr>
          <w:szCs w:val="24"/>
        </w:rPr>
        <w:t xml:space="preserve"> </w:t>
      </w:r>
      <w:r w:rsidRPr="00727064">
        <w:rPr>
          <w:szCs w:val="24"/>
        </w:rPr>
        <w:t>gada plānoto budžetu, ņemot vērā 2025./2026. mācību gada izglītojamo datus:</w:t>
      </w:r>
    </w:p>
    <w:p w14:paraId="3E2E76AE" w14:textId="77777777" w:rsidR="0077309E" w:rsidRPr="00727064" w:rsidRDefault="005E669A" w:rsidP="0077309E">
      <w:pPr>
        <w:pStyle w:val="ListParagraph"/>
        <w:numPr>
          <w:ilvl w:val="0"/>
          <w:numId w:val="1"/>
        </w:numPr>
        <w:tabs>
          <w:tab w:val="left" w:pos="709"/>
          <w:tab w:val="left" w:pos="1276"/>
          <w:tab w:val="left" w:pos="6740"/>
        </w:tabs>
        <w:spacing w:after="0" w:line="240" w:lineRule="auto"/>
        <w:jc w:val="both"/>
        <w:rPr>
          <w:rFonts w:ascii="Times New Roman" w:hAnsi="Times New Roman"/>
          <w:sz w:val="24"/>
          <w:szCs w:val="24"/>
        </w:rPr>
      </w:pPr>
      <w:r w:rsidRPr="00727064">
        <w:rPr>
          <w:rFonts w:ascii="Times New Roman" w:hAnsi="Times New Roman"/>
          <w:sz w:val="24"/>
          <w:szCs w:val="24"/>
        </w:rPr>
        <w:t>2027. gadā ir 55 996 103 </w:t>
      </w:r>
      <w:proofErr w:type="spellStart"/>
      <w:r w:rsidRPr="003E4AB0">
        <w:rPr>
          <w:rFonts w:ascii="Times New Roman" w:hAnsi="Times New Roman"/>
          <w:i/>
          <w:iCs/>
          <w:sz w:val="24"/>
          <w:szCs w:val="24"/>
        </w:rPr>
        <w:t>euro</w:t>
      </w:r>
      <w:proofErr w:type="spellEnd"/>
      <w:r w:rsidRPr="00727064">
        <w:rPr>
          <w:rFonts w:ascii="Times New Roman" w:hAnsi="Times New Roman"/>
          <w:sz w:val="24"/>
          <w:szCs w:val="24"/>
        </w:rPr>
        <w:t xml:space="preserve">: </w:t>
      </w:r>
    </w:p>
    <w:p w14:paraId="178BD4CB" w14:textId="77777777" w:rsidR="0077309E" w:rsidRDefault="005E669A" w:rsidP="0077309E">
      <w:pPr>
        <w:tabs>
          <w:tab w:val="left" w:pos="709"/>
          <w:tab w:val="left" w:pos="1276"/>
          <w:tab w:val="left" w:pos="6740"/>
        </w:tabs>
        <w:ind w:firstLine="567"/>
        <w:rPr>
          <w:szCs w:val="24"/>
        </w:rPr>
      </w:pPr>
      <w:r w:rsidRPr="00727064">
        <w:rPr>
          <w:szCs w:val="24"/>
        </w:rPr>
        <w:t xml:space="preserve">- papildus nepieciešamais finansējums akadēmiskā personāla atlīdzībai 4 842 730 </w:t>
      </w:r>
      <w:proofErr w:type="spellStart"/>
      <w:r w:rsidRPr="003E4AB0">
        <w:rPr>
          <w:i/>
          <w:iCs/>
          <w:szCs w:val="24"/>
        </w:rPr>
        <w:t>euro</w:t>
      </w:r>
      <w:proofErr w:type="spellEnd"/>
      <w:r w:rsidRPr="00727064">
        <w:rPr>
          <w:szCs w:val="24"/>
        </w:rPr>
        <w:t xml:space="preserve"> apmērā tiks nodrošināts Izglītības un zinātnes ministrijai ietvertā institucionālā finansēšanas modeļa ieviešanai atvēlētā finansējumā;</w:t>
      </w:r>
    </w:p>
    <w:p w14:paraId="6A6F3294" w14:textId="77777777" w:rsidR="0077309E" w:rsidRDefault="005E669A" w:rsidP="0077309E">
      <w:pPr>
        <w:tabs>
          <w:tab w:val="left" w:pos="709"/>
          <w:tab w:val="left" w:pos="1276"/>
          <w:tab w:val="left" w:pos="6740"/>
        </w:tabs>
        <w:ind w:firstLine="567"/>
        <w:rPr>
          <w:szCs w:val="24"/>
        </w:rPr>
      </w:pPr>
      <w:r w:rsidRPr="00727064">
        <w:rPr>
          <w:szCs w:val="24"/>
        </w:rPr>
        <w:t>- pārējais nepieciešamais finansējums 51 153 373 </w:t>
      </w:r>
      <w:proofErr w:type="spellStart"/>
      <w:r w:rsidRPr="003E4AB0">
        <w:rPr>
          <w:i/>
          <w:iCs/>
          <w:szCs w:val="24"/>
        </w:rPr>
        <w:t>euro</w:t>
      </w:r>
      <w:proofErr w:type="spellEnd"/>
      <w:r w:rsidRPr="00727064">
        <w:rPr>
          <w:szCs w:val="24"/>
        </w:rPr>
        <w:t xml:space="preserve"> apmērā.</w:t>
      </w:r>
    </w:p>
    <w:p w14:paraId="46F458DE" w14:textId="77777777" w:rsidR="0077309E" w:rsidRPr="00727064" w:rsidRDefault="005E669A" w:rsidP="0077309E">
      <w:pPr>
        <w:pStyle w:val="ListParagraph"/>
        <w:numPr>
          <w:ilvl w:val="0"/>
          <w:numId w:val="1"/>
        </w:numPr>
        <w:tabs>
          <w:tab w:val="left" w:pos="709"/>
          <w:tab w:val="left" w:pos="1276"/>
          <w:tab w:val="left" w:pos="6740"/>
        </w:tabs>
        <w:spacing w:after="0" w:line="240" w:lineRule="auto"/>
        <w:jc w:val="both"/>
        <w:rPr>
          <w:rFonts w:ascii="Times New Roman" w:hAnsi="Times New Roman"/>
          <w:sz w:val="24"/>
          <w:szCs w:val="24"/>
        </w:rPr>
      </w:pPr>
      <w:r w:rsidRPr="00727064">
        <w:rPr>
          <w:rFonts w:ascii="Times New Roman" w:hAnsi="Times New Roman"/>
          <w:sz w:val="24"/>
          <w:szCs w:val="24"/>
        </w:rPr>
        <w:t>2028. gadā ir 114 981 372 </w:t>
      </w:r>
      <w:proofErr w:type="spellStart"/>
      <w:r w:rsidRPr="003E4AB0">
        <w:rPr>
          <w:rFonts w:ascii="Times New Roman" w:hAnsi="Times New Roman"/>
          <w:i/>
          <w:iCs/>
          <w:sz w:val="24"/>
          <w:szCs w:val="24"/>
        </w:rPr>
        <w:t>euro</w:t>
      </w:r>
      <w:proofErr w:type="spellEnd"/>
      <w:r w:rsidRPr="00727064">
        <w:rPr>
          <w:rFonts w:ascii="Times New Roman" w:hAnsi="Times New Roman"/>
          <w:sz w:val="24"/>
          <w:szCs w:val="24"/>
        </w:rPr>
        <w:t>:</w:t>
      </w:r>
    </w:p>
    <w:p w14:paraId="27021537" w14:textId="77777777" w:rsidR="0077309E" w:rsidRDefault="005E669A" w:rsidP="0077309E">
      <w:pPr>
        <w:tabs>
          <w:tab w:val="left" w:pos="709"/>
          <w:tab w:val="left" w:pos="1276"/>
          <w:tab w:val="left" w:pos="6740"/>
        </w:tabs>
        <w:ind w:firstLine="567"/>
        <w:rPr>
          <w:szCs w:val="24"/>
        </w:rPr>
      </w:pPr>
      <w:r w:rsidRPr="00727064">
        <w:rPr>
          <w:szCs w:val="24"/>
        </w:rPr>
        <w:t>- papildus nepieciešamais finansējums akadēmiskā personāla atlīdzībai 9 962 306 </w:t>
      </w:r>
      <w:proofErr w:type="spellStart"/>
      <w:r w:rsidRPr="003E4AB0">
        <w:rPr>
          <w:i/>
          <w:iCs/>
          <w:szCs w:val="24"/>
        </w:rPr>
        <w:t>euro</w:t>
      </w:r>
      <w:proofErr w:type="spellEnd"/>
      <w:r w:rsidRPr="00727064">
        <w:rPr>
          <w:szCs w:val="24"/>
        </w:rPr>
        <w:t xml:space="preserve"> apmērā (5 000 000 </w:t>
      </w:r>
      <w:proofErr w:type="spellStart"/>
      <w:r w:rsidRPr="003E4AB0">
        <w:rPr>
          <w:i/>
          <w:iCs/>
          <w:szCs w:val="24"/>
        </w:rPr>
        <w:t>euro</w:t>
      </w:r>
      <w:proofErr w:type="spellEnd"/>
      <w:r w:rsidRPr="00727064">
        <w:rPr>
          <w:szCs w:val="24"/>
        </w:rPr>
        <w:t xml:space="preserve"> apmērā tiks nodrošināts Izglītības un zinātnes ministrijai ietvertā institucionālā finansēšanas modeļa ieviešanai atvēlētā finansējumā);</w:t>
      </w:r>
    </w:p>
    <w:p w14:paraId="15F4AD49" w14:textId="77777777" w:rsidR="0077309E" w:rsidRDefault="005E669A" w:rsidP="0077309E">
      <w:pPr>
        <w:tabs>
          <w:tab w:val="left" w:pos="709"/>
          <w:tab w:val="left" w:pos="1276"/>
          <w:tab w:val="left" w:pos="6740"/>
        </w:tabs>
        <w:ind w:firstLine="567"/>
        <w:rPr>
          <w:szCs w:val="24"/>
        </w:rPr>
      </w:pPr>
      <w:r w:rsidRPr="00727064">
        <w:rPr>
          <w:szCs w:val="24"/>
        </w:rPr>
        <w:t>- pārējais nepieciešamais finansējums 105 019 066 </w:t>
      </w:r>
      <w:proofErr w:type="spellStart"/>
      <w:r w:rsidRPr="003E4AB0">
        <w:rPr>
          <w:i/>
          <w:iCs/>
          <w:szCs w:val="24"/>
        </w:rPr>
        <w:t>euro</w:t>
      </w:r>
      <w:proofErr w:type="spellEnd"/>
      <w:r w:rsidRPr="00727064">
        <w:rPr>
          <w:szCs w:val="24"/>
        </w:rPr>
        <w:t xml:space="preserve"> apmērā.</w:t>
      </w:r>
    </w:p>
    <w:p w14:paraId="66A875E0" w14:textId="77777777" w:rsidR="0077309E" w:rsidRDefault="005E669A" w:rsidP="0077309E">
      <w:pPr>
        <w:tabs>
          <w:tab w:val="left" w:pos="709"/>
          <w:tab w:val="left" w:pos="1276"/>
          <w:tab w:val="left" w:pos="6740"/>
        </w:tabs>
        <w:ind w:firstLine="567"/>
        <w:rPr>
          <w:szCs w:val="24"/>
        </w:rPr>
      </w:pPr>
      <w:r w:rsidRPr="00727064">
        <w:rPr>
          <w:szCs w:val="24"/>
        </w:rPr>
        <w:t>3) 2029. gadā ir 177 349 657 </w:t>
      </w:r>
      <w:proofErr w:type="spellStart"/>
      <w:r w:rsidRPr="003E4AB0">
        <w:rPr>
          <w:i/>
          <w:iCs/>
          <w:szCs w:val="24"/>
        </w:rPr>
        <w:t>euro</w:t>
      </w:r>
      <w:proofErr w:type="spellEnd"/>
      <w:r w:rsidRPr="00727064">
        <w:rPr>
          <w:szCs w:val="24"/>
        </w:rPr>
        <w:t>:</w:t>
      </w:r>
    </w:p>
    <w:p w14:paraId="67BF0098" w14:textId="77777777" w:rsidR="0077309E" w:rsidRDefault="005E669A" w:rsidP="0077309E">
      <w:pPr>
        <w:tabs>
          <w:tab w:val="left" w:pos="709"/>
          <w:tab w:val="left" w:pos="1276"/>
          <w:tab w:val="left" w:pos="6740"/>
        </w:tabs>
        <w:ind w:firstLine="567"/>
        <w:rPr>
          <w:szCs w:val="24"/>
        </w:rPr>
      </w:pPr>
      <w:r w:rsidRPr="00727064">
        <w:rPr>
          <w:szCs w:val="24"/>
        </w:rPr>
        <w:t>- papildus nepieciešamais finansējums akadēmiskā personāla atlīdzībai 15 367 620 </w:t>
      </w:r>
      <w:proofErr w:type="spellStart"/>
      <w:r w:rsidRPr="00727064">
        <w:rPr>
          <w:szCs w:val="24"/>
        </w:rPr>
        <w:t>euro</w:t>
      </w:r>
      <w:proofErr w:type="spellEnd"/>
      <w:r w:rsidRPr="00727064">
        <w:rPr>
          <w:szCs w:val="24"/>
        </w:rPr>
        <w:t xml:space="preserve"> apmērā (5 000 000 </w:t>
      </w:r>
      <w:proofErr w:type="spellStart"/>
      <w:r w:rsidRPr="003E4AB0">
        <w:rPr>
          <w:i/>
          <w:iCs/>
          <w:szCs w:val="24"/>
        </w:rPr>
        <w:t>euro</w:t>
      </w:r>
      <w:proofErr w:type="spellEnd"/>
      <w:r w:rsidRPr="00727064">
        <w:rPr>
          <w:szCs w:val="24"/>
        </w:rPr>
        <w:t xml:space="preserve"> apmērā tiks nodrošināts Izglītības un zinātnes ministrijai ietvertā institucionālā finansēšanas modeļa ieviešanai atvēlētā finansējumā);</w:t>
      </w:r>
    </w:p>
    <w:p w14:paraId="2586A87A" w14:textId="77777777" w:rsidR="0077309E" w:rsidRDefault="005E669A" w:rsidP="0077309E">
      <w:pPr>
        <w:tabs>
          <w:tab w:val="left" w:pos="709"/>
          <w:tab w:val="left" w:pos="1276"/>
          <w:tab w:val="left" w:pos="6740"/>
        </w:tabs>
        <w:ind w:firstLine="567"/>
        <w:rPr>
          <w:szCs w:val="24"/>
        </w:rPr>
      </w:pPr>
      <w:r w:rsidRPr="00727064">
        <w:rPr>
          <w:szCs w:val="24"/>
        </w:rPr>
        <w:t>- pārējais nepieciešamais finansējums 161 982 037 </w:t>
      </w:r>
      <w:proofErr w:type="spellStart"/>
      <w:r w:rsidRPr="003E4AB0">
        <w:rPr>
          <w:i/>
          <w:iCs/>
          <w:szCs w:val="24"/>
        </w:rPr>
        <w:t>euro</w:t>
      </w:r>
      <w:proofErr w:type="spellEnd"/>
      <w:r w:rsidRPr="00727064">
        <w:rPr>
          <w:szCs w:val="24"/>
        </w:rPr>
        <w:t xml:space="preserve"> apmērā.</w:t>
      </w:r>
    </w:p>
    <w:p w14:paraId="39FA2152" w14:textId="77777777" w:rsidR="0077309E" w:rsidRDefault="005E669A" w:rsidP="0077309E">
      <w:pPr>
        <w:tabs>
          <w:tab w:val="left" w:pos="709"/>
          <w:tab w:val="left" w:pos="1276"/>
          <w:tab w:val="left" w:pos="6740"/>
        </w:tabs>
        <w:ind w:firstLine="567"/>
        <w:rPr>
          <w:szCs w:val="24"/>
        </w:rPr>
      </w:pPr>
      <w:r w:rsidRPr="00727064">
        <w:rPr>
          <w:szCs w:val="24"/>
        </w:rPr>
        <w:t>4) 2030. gadā ir 243 295 918 </w:t>
      </w:r>
      <w:proofErr w:type="spellStart"/>
      <w:r w:rsidRPr="003E4AB0">
        <w:rPr>
          <w:i/>
          <w:iCs/>
          <w:szCs w:val="24"/>
        </w:rPr>
        <w:t>euro</w:t>
      </w:r>
      <w:proofErr w:type="spellEnd"/>
      <w:r w:rsidRPr="00727064">
        <w:rPr>
          <w:szCs w:val="24"/>
        </w:rPr>
        <w:t>:</w:t>
      </w:r>
    </w:p>
    <w:p w14:paraId="4BDD07D4" w14:textId="77777777" w:rsidR="0077309E" w:rsidRDefault="005E669A" w:rsidP="0077309E">
      <w:pPr>
        <w:tabs>
          <w:tab w:val="left" w:pos="709"/>
          <w:tab w:val="left" w:pos="1276"/>
          <w:tab w:val="left" w:pos="6740"/>
        </w:tabs>
        <w:ind w:firstLine="567"/>
        <w:rPr>
          <w:szCs w:val="24"/>
        </w:rPr>
      </w:pPr>
      <w:r w:rsidRPr="00727064">
        <w:rPr>
          <w:szCs w:val="24"/>
        </w:rPr>
        <w:t>- papildus nepieciešamais finansējums akadēmiskā personāla atlīdzībai 21 075 539 </w:t>
      </w:r>
      <w:proofErr w:type="spellStart"/>
      <w:r w:rsidRPr="003E4AB0">
        <w:rPr>
          <w:i/>
          <w:iCs/>
          <w:szCs w:val="24"/>
        </w:rPr>
        <w:t>euro</w:t>
      </w:r>
      <w:proofErr w:type="spellEnd"/>
      <w:r w:rsidRPr="00727064">
        <w:rPr>
          <w:szCs w:val="24"/>
        </w:rPr>
        <w:t xml:space="preserve"> apmērā (5 000 000 </w:t>
      </w:r>
      <w:proofErr w:type="spellStart"/>
      <w:r w:rsidRPr="003E4AB0">
        <w:rPr>
          <w:i/>
          <w:iCs/>
          <w:szCs w:val="24"/>
        </w:rPr>
        <w:t>euro</w:t>
      </w:r>
      <w:proofErr w:type="spellEnd"/>
      <w:r w:rsidRPr="00727064">
        <w:rPr>
          <w:szCs w:val="24"/>
        </w:rPr>
        <w:t xml:space="preserve"> apmērā tiks nodrošināts Izglītības un zinātnes ministrijai ietvertā institucionālā finansēšanas modeļa ieviešanai atvēlētā finansējumā);</w:t>
      </w:r>
    </w:p>
    <w:p w14:paraId="79821CF7" w14:textId="77777777" w:rsidR="0077309E" w:rsidRDefault="005E669A" w:rsidP="0077309E">
      <w:pPr>
        <w:tabs>
          <w:tab w:val="left" w:pos="709"/>
          <w:tab w:val="left" w:pos="1276"/>
          <w:tab w:val="left" w:pos="6740"/>
        </w:tabs>
        <w:ind w:firstLine="567"/>
        <w:rPr>
          <w:szCs w:val="24"/>
        </w:rPr>
      </w:pPr>
      <w:r w:rsidRPr="00727064">
        <w:rPr>
          <w:szCs w:val="24"/>
        </w:rPr>
        <w:t>- pārējais nepieciešamais finansējums 222 220 379 </w:t>
      </w:r>
      <w:proofErr w:type="spellStart"/>
      <w:r w:rsidRPr="003E4AB0">
        <w:rPr>
          <w:i/>
          <w:iCs/>
          <w:szCs w:val="24"/>
        </w:rPr>
        <w:t>euro</w:t>
      </w:r>
      <w:proofErr w:type="spellEnd"/>
      <w:r w:rsidRPr="00727064">
        <w:rPr>
          <w:szCs w:val="24"/>
        </w:rPr>
        <w:t xml:space="preserve"> apmērā.</w:t>
      </w:r>
    </w:p>
    <w:p w14:paraId="0F9E1E7A" w14:textId="77777777" w:rsidR="0077309E" w:rsidRDefault="005E669A" w:rsidP="0077309E">
      <w:pPr>
        <w:tabs>
          <w:tab w:val="left" w:pos="567"/>
          <w:tab w:val="left" w:pos="1276"/>
          <w:tab w:val="left" w:pos="6740"/>
        </w:tabs>
        <w:ind w:firstLine="567"/>
        <w:rPr>
          <w:szCs w:val="24"/>
        </w:rPr>
      </w:pPr>
      <w:r w:rsidRPr="00727064">
        <w:rPr>
          <w:szCs w:val="24"/>
        </w:rPr>
        <w:t>Atbilstoš</w:t>
      </w:r>
      <w:r>
        <w:rPr>
          <w:szCs w:val="24"/>
        </w:rPr>
        <w:t>i Valsts izglītības informācijas sistēmas</w:t>
      </w:r>
      <w:r w:rsidRPr="00727064">
        <w:rPr>
          <w:szCs w:val="24"/>
        </w:rPr>
        <w:t xml:space="preserve"> datiem par 2025./2026. m</w:t>
      </w:r>
      <w:r>
        <w:rPr>
          <w:szCs w:val="24"/>
        </w:rPr>
        <w:t xml:space="preserve">ācību gadu </w:t>
      </w:r>
      <w:r w:rsidRPr="00727064">
        <w:rPr>
          <w:szCs w:val="24"/>
        </w:rPr>
        <w:t xml:space="preserve">no pašvaldības budžeta finansēto interešu izglītības, pirmsskolas izglītības un vispārējās izglītības pedagogu darba samaksai izlietotais finansējums ~ 18,5 milj. mēnesī, gadā ~222,2 milj. Ņemot vērā ministrijas plānoto pedagogu zemākās mēneša darba algas likmes pieaugumu no 2027. gada 1. janvāra +5,75% un no 01.01.2028. +5,75%, indikatīvais papildus nepieciešamais finansējums no pašvaldību budžeta 2027. gadā - 12,8 milj. </w:t>
      </w:r>
      <w:proofErr w:type="spellStart"/>
      <w:r w:rsidRPr="003E4AB0">
        <w:rPr>
          <w:i/>
          <w:iCs/>
          <w:szCs w:val="24"/>
        </w:rPr>
        <w:t>euro</w:t>
      </w:r>
      <w:proofErr w:type="spellEnd"/>
      <w:r w:rsidRPr="00727064">
        <w:rPr>
          <w:szCs w:val="24"/>
        </w:rPr>
        <w:t>, 202</w:t>
      </w:r>
      <w:r w:rsidRPr="00727064">
        <w:rPr>
          <w:szCs w:val="24"/>
        </w:rPr>
        <w:t>8.</w:t>
      </w:r>
      <w:r>
        <w:rPr>
          <w:szCs w:val="24"/>
        </w:rPr>
        <w:t xml:space="preserve"> </w:t>
      </w:r>
      <w:r w:rsidRPr="00727064">
        <w:rPr>
          <w:szCs w:val="24"/>
        </w:rPr>
        <w:t xml:space="preserve">gadā - 26,3 milj. </w:t>
      </w:r>
      <w:proofErr w:type="spellStart"/>
      <w:r w:rsidRPr="003E4AB0">
        <w:rPr>
          <w:i/>
          <w:iCs/>
          <w:szCs w:val="24"/>
        </w:rPr>
        <w:t>euro</w:t>
      </w:r>
      <w:proofErr w:type="spellEnd"/>
      <w:r w:rsidRPr="00727064">
        <w:rPr>
          <w:szCs w:val="24"/>
        </w:rPr>
        <w:t xml:space="preserve">, 2029. gada - 40,6 milj. </w:t>
      </w:r>
      <w:proofErr w:type="spellStart"/>
      <w:r w:rsidRPr="003E4AB0">
        <w:rPr>
          <w:i/>
          <w:iCs/>
          <w:szCs w:val="24"/>
        </w:rPr>
        <w:t>euro</w:t>
      </w:r>
      <w:proofErr w:type="spellEnd"/>
      <w:r w:rsidRPr="00727064">
        <w:rPr>
          <w:szCs w:val="24"/>
        </w:rPr>
        <w:t xml:space="preserve">, 2030. gadā - 55,7 milj. </w:t>
      </w:r>
      <w:proofErr w:type="spellStart"/>
      <w:r w:rsidRPr="003E4AB0">
        <w:rPr>
          <w:i/>
          <w:iCs/>
          <w:szCs w:val="24"/>
        </w:rPr>
        <w:t>euro</w:t>
      </w:r>
      <w:proofErr w:type="spellEnd"/>
      <w:r w:rsidRPr="00727064">
        <w:rPr>
          <w:szCs w:val="24"/>
        </w:rPr>
        <w:t>. </w:t>
      </w:r>
      <w:r>
        <w:rPr>
          <w:szCs w:val="24"/>
        </w:rPr>
        <w:t xml:space="preserve"> </w:t>
      </w:r>
    </w:p>
    <w:p w14:paraId="4003F3C7" w14:textId="77777777" w:rsidR="0077309E" w:rsidRPr="00FB1563" w:rsidRDefault="005E669A" w:rsidP="0077309E">
      <w:pPr>
        <w:tabs>
          <w:tab w:val="left" w:pos="6740"/>
        </w:tabs>
        <w:ind w:firstLine="567"/>
        <w:rPr>
          <w:szCs w:val="24"/>
        </w:rPr>
      </w:pPr>
      <w:r w:rsidRPr="00FB0E02">
        <w:rPr>
          <w:szCs w:val="24"/>
        </w:rPr>
        <w:t xml:space="preserve">Finanšu ministrija par Izglītības un zinātnes ministrijas izstrādāto </w:t>
      </w:r>
      <w:r>
        <w:rPr>
          <w:szCs w:val="24"/>
        </w:rPr>
        <w:t>rīkojuma projektu</w:t>
      </w:r>
      <w:r w:rsidRPr="00FB0E02">
        <w:rPr>
          <w:szCs w:val="24"/>
        </w:rPr>
        <w:t xml:space="preserve"> “</w:t>
      </w:r>
      <w:r>
        <w:rPr>
          <w:szCs w:val="24"/>
        </w:rPr>
        <w:t>Par pedagogu zemākās darba samaksas likmes pieauguma grafiku laikposmam no 2026. gada 1. janvāra līdz 2030. gada 31. decembrim</w:t>
      </w:r>
      <w:r w:rsidRPr="00FB0E02">
        <w:rPr>
          <w:szCs w:val="24"/>
        </w:rPr>
        <w:t>” (2</w:t>
      </w:r>
      <w:r>
        <w:rPr>
          <w:szCs w:val="24"/>
        </w:rPr>
        <w:t>5</w:t>
      </w:r>
      <w:r w:rsidRPr="00FB0E02">
        <w:rPr>
          <w:szCs w:val="24"/>
        </w:rPr>
        <w:t>-TA-</w:t>
      </w:r>
      <w:r>
        <w:rPr>
          <w:szCs w:val="24"/>
        </w:rPr>
        <w:t>2747</w:t>
      </w:r>
      <w:r w:rsidRPr="00FB0E02">
        <w:rPr>
          <w:szCs w:val="24"/>
        </w:rPr>
        <w:t>) snie</w:t>
      </w:r>
      <w:r>
        <w:rPr>
          <w:szCs w:val="24"/>
        </w:rPr>
        <w:t>dza</w:t>
      </w:r>
      <w:r w:rsidRPr="00FB0E02">
        <w:rPr>
          <w:szCs w:val="24"/>
        </w:rPr>
        <w:t xml:space="preserve"> atzinumu ar iebildum</w:t>
      </w:r>
      <w:r>
        <w:rPr>
          <w:szCs w:val="24"/>
        </w:rPr>
        <w:t>iem</w:t>
      </w:r>
      <w:r>
        <w:rPr>
          <w:rStyle w:val="FootnoteReference"/>
          <w:szCs w:val="24"/>
        </w:rPr>
        <w:footnoteReference w:id="2"/>
      </w:r>
      <w:r w:rsidRPr="00FB0E02">
        <w:rPr>
          <w:szCs w:val="24"/>
        </w:rPr>
        <w:t xml:space="preserve">, norādot, ka </w:t>
      </w:r>
      <w:r>
        <w:rPr>
          <w:szCs w:val="24"/>
        </w:rPr>
        <w:t>2025. gada</w:t>
      </w:r>
      <w:r w:rsidRPr="00FB1563">
        <w:rPr>
          <w:szCs w:val="24"/>
        </w:rPr>
        <w:t xml:space="preserve"> 4.</w:t>
      </w:r>
      <w:r>
        <w:rPr>
          <w:szCs w:val="24"/>
        </w:rPr>
        <w:t xml:space="preserve"> </w:t>
      </w:r>
      <w:r w:rsidRPr="00FB1563">
        <w:rPr>
          <w:szCs w:val="24"/>
        </w:rPr>
        <w:t>decembrī Saeimā ir pieņemts likums “Par valsts budžetu 2026.</w:t>
      </w:r>
      <w:r>
        <w:rPr>
          <w:szCs w:val="24"/>
        </w:rPr>
        <w:t xml:space="preserve"> </w:t>
      </w:r>
      <w:r w:rsidRPr="00FB1563">
        <w:rPr>
          <w:szCs w:val="24"/>
        </w:rPr>
        <w:t>gadam un budžeta ietvaru 2026., 2027. un 2028.</w:t>
      </w:r>
      <w:r>
        <w:rPr>
          <w:szCs w:val="24"/>
        </w:rPr>
        <w:t xml:space="preserve"> </w:t>
      </w:r>
      <w:r w:rsidRPr="00FB1563">
        <w:rPr>
          <w:szCs w:val="24"/>
        </w:rPr>
        <w:t>gadam”, kura 12. pantā noteikti ietvara maksimāli pieļaujamie valsts budžeta izdevumi 2026. gadā, 2027. gadā un 2028. gadā.</w:t>
      </w:r>
      <w:r>
        <w:rPr>
          <w:szCs w:val="24"/>
        </w:rPr>
        <w:t xml:space="preserve"> </w:t>
      </w:r>
      <w:r w:rsidRPr="00FB1563">
        <w:rPr>
          <w:szCs w:val="24"/>
        </w:rPr>
        <w:t>Atbilstoši Fiskālās disciplīnas likuma 9. panta otrai daļai, ja Ministru kabinets pieņem normatīvo aktu, kas izraisa valsts budžeta likumā noteikto ietvara maksimāli pieļaujamo valsts budžeta izdevumu pārsniegumu, Ministru kabinets nodrošina, ka vienla</w:t>
      </w:r>
      <w:r w:rsidRPr="00FB1563">
        <w:rPr>
          <w:szCs w:val="24"/>
        </w:rPr>
        <w:t>ikus stājas spēkā arī tāds normatīvais akts vai tādi normatīvie akti, kas kompensē izdevumu pieaugumu.</w:t>
      </w:r>
      <w:r>
        <w:rPr>
          <w:szCs w:val="24"/>
        </w:rPr>
        <w:t xml:space="preserve"> Finanšu ministrija savā iebildumā norādīja, ka </w:t>
      </w:r>
      <w:r>
        <w:rPr>
          <w:b/>
          <w:bCs/>
          <w:szCs w:val="24"/>
        </w:rPr>
        <w:t>ņ</w:t>
      </w:r>
      <w:r w:rsidRPr="005D0F73">
        <w:rPr>
          <w:b/>
          <w:bCs/>
          <w:szCs w:val="24"/>
        </w:rPr>
        <w:t>emot vērā, ka ir nepieciešams būtisks papildus valsts budžeta finansējums pedagogu zemākās algas likmes celšanai, ir nepieciešams rast arī papildu izdevumus kompensējošos pasākumus – ieņēmumus palielinošos vai izdevumus samazinošos. Gadījumā, ja normatīvais akts tiek apstiprināts bez kompensējošiem pasākumiem, tad ir konstatējams Fiskālās disciplīnas likuma p</w:t>
      </w:r>
      <w:r w:rsidRPr="005D0F73">
        <w:rPr>
          <w:b/>
          <w:bCs/>
          <w:szCs w:val="24"/>
        </w:rPr>
        <w:t>ārkāpums.</w:t>
      </w:r>
    </w:p>
    <w:p w14:paraId="72AC01BE" w14:textId="77777777" w:rsidR="0077309E" w:rsidRDefault="005E669A" w:rsidP="0077309E">
      <w:pPr>
        <w:tabs>
          <w:tab w:val="left" w:pos="567"/>
          <w:tab w:val="left" w:pos="1276"/>
          <w:tab w:val="left" w:pos="6740"/>
        </w:tabs>
        <w:ind w:firstLine="567"/>
        <w:rPr>
          <w:szCs w:val="24"/>
        </w:rPr>
      </w:pPr>
      <w:r>
        <w:rPr>
          <w:szCs w:val="24"/>
        </w:rPr>
        <w:t xml:space="preserve">Lai gan Ministru kabineta 2025. gada 12. decembra sēdes </w:t>
      </w:r>
      <w:r w:rsidRPr="00FB1563">
        <w:rPr>
          <w:szCs w:val="24"/>
        </w:rPr>
        <w:t>protokol</w:t>
      </w:r>
      <w:r>
        <w:rPr>
          <w:szCs w:val="24"/>
        </w:rPr>
        <w:t>a</w:t>
      </w:r>
      <w:r w:rsidRPr="00FB1563">
        <w:rPr>
          <w:szCs w:val="24"/>
        </w:rPr>
        <w:t xml:space="preserve"> Nr.</w:t>
      </w:r>
      <w:r>
        <w:rPr>
          <w:szCs w:val="24"/>
        </w:rPr>
        <w:t>53</w:t>
      </w:r>
      <w:r w:rsidRPr="00FB1563">
        <w:rPr>
          <w:szCs w:val="24"/>
        </w:rPr>
        <w:t>/</w:t>
      </w:r>
      <w:r>
        <w:rPr>
          <w:szCs w:val="24"/>
        </w:rPr>
        <w:t>98</w:t>
      </w:r>
      <w:r w:rsidRPr="00FB1563">
        <w:rPr>
          <w:szCs w:val="24"/>
        </w:rPr>
        <w:t>.§</w:t>
      </w:r>
      <w:r>
        <w:rPr>
          <w:szCs w:val="24"/>
        </w:rPr>
        <w:t xml:space="preserve"> 4. punktā ir norādīts, ka,</w:t>
      </w:r>
      <w:r w:rsidRPr="00FB1563">
        <w:t xml:space="preserve"> </w:t>
      </w:r>
      <w:r>
        <w:rPr>
          <w:szCs w:val="24"/>
        </w:rPr>
        <w:t>l</w:t>
      </w:r>
      <w:r w:rsidRPr="00FB1563">
        <w:rPr>
          <w:szCs w:val="24"/>
        </w:rPr>
        <w:t xml:space="preserve">ai nodrošinātu Izglītības un zinātnes ministrijas indikatīvi aprēķināto papildu </w:t>
      </w:r>
      <w:r w:rsidRPr="00FB1563">
        <w:rPr>
          <w:szCs w:val="24"/>
        </w:rPr>
        <w:lastRenderedPageBreak/>
        <w:t xml:space="preserve">nepieciešamo finansējumu pedagogu zemākās darba samaksas likmes pieauguma grafikam 2027. gadā 55 996 103 </w:t>
      </w:r>
      <w:proofErr w:type="spellStart"/>
      <w:r w:rsidRPr="00FB1563">
        <w:rPr>
          <w:i/>
          <w:iCs/>
          <w:szCs w:val="24"/>
        </w:rPr>
        <w:t>euro</w:t>
      </w:r>
      <w:proofErr w:type="spellEnd"/>
      <w:r w:rsidRPr="00FB1563">
        <w:rPr>
          <w:szCs w:val="24"/>
        </w:rPr>
        <w:t xml:space="preserve"> apmērā, 2028. gadā 114 981 372 </w:t>
      </w:r>
      <w:proofErr w:type="spellStart"/>
      <w:r w:rsidRPr="00FB1563">
        <w:rPr>
          <w:i/>
          <w:iCs/>
          <w:szCs w:val="24"/>
        </w:rPr>
        <w:t>euro</w:t>
      </w:r>
      <w:proofErr w:type="spellEnd"/>
      <w:r w:rsidRPr="00FB1563">
        <w:rPr>
          <w:szCs w:val="24"/>
        </w:rPr>
        <w:t xml:space="preserve"> apmērā, 2029. gadā 177 349 657 </w:t>
      </w:r>
      <w:proofErr w:type="spellStart"/>
      <w:r w:rsidRPr="00FB1563">
        <w:rPr>
          <w:i/>
          <w:iCs/>
          <w:szCs w:val="24"/>
        </w:rPr>
        <w:t>euro</w:t>
      </w:r>
      <w:proofErr w:type="spellEnd"/>
      <w:r w:rsidRPr="00FB1563">
        <w:rPr>
          <w:szCs w:val="24"/>
        </w:rPr>
        <w:t xml:space="preserve"> apmērā un 2030. gadā 243 295 918 </w:t>
      </w:r>
      <w:proofErr w:type="spellStart"/>
      <w:r w:rsidRPr="00FB1563">
        <w:rPr>
          <w:i/>
          <w:iCs/>
          <w:szCs w:val="24"/>
        </w:rPr>
        <w:t>euro</w:t>
      </w:r>
      <w:proofErr w:type="spellEnd"/>
      <w:r w:rsidRPr="00FB1563">
        <w:rPr>
          <w:szCs w:val="24"/>
        </w:rPr>
        <w:t xml:space="preserve"> apmērā, veikt publiskā sektora izdevumu samazinājumu, funkciju pārskatīšanu un procesu </w:t>
      </w:r>
      <w:proofErr w:type="spellStart"/>
      <w:r w:rsidRPr="00FB1563">
        <w:rPr>
          <w:szCs w:val="24"/>
        </w:rPr>
        <w:t>efektivizāciju</w:t>
      </w:r>
      <w:proofErr w:type="spellEnd"/>
      <w:r w:rsidRPr="00FB1563">
        <w:rPr>
          <w:szCs w:val="24"/>
        </w:rPr>
        <w:t xml:space="preserve">, </w:t>
      </w:r>
      <w:proofErr w:type="spellStart"/>
      <w:r w:rsidRPr="00FB1563">
        <w:rPr>
          <w:szCs w:val="24"/>
        </w:rPr>
        <w:t>prioritizējot</w:t>
      </w:r>
      <w:proofErr w:type="spellEnd"/>
      <w:r w:rsidRPr="00FB1563">
        <w:rPr>
          <w:szCs w:val="24"/>
        </w:rPr>
        <w:t xml:space="preserve"> izglītības sektoru, kā arī ņemt vērā skolu tīk</w:t>
      </w:r>
      <w:r w:rsidRPr="00FB1563">
        <w:rPr>
          <w:szCs w:val="24"/>
        </w:rPr>
        <w:t>la optimizācijas, izglītojamo un pedagogu skaita izmaiņu finansiālo ietekmi</w:t>
      </w:r>
      <w:r>
        <w:rPr>
          <w:szCs w:val="24"/>
        </w:rPr>
        <w:t>, Ministru kabinetā nav pieņemti lēmumi par konkrētiem izdevumu pieaugumu kompensējošiem pasākumiem.</w:t>
      </w:r>
    </w:p>
    <w:p w14:paraId="4BCBB7CE" w14:textId="77777777" w:rsidR="0077309E" w:rsidRDefault="005E669A" w:rsidP="0077309E">
      <w:pPr>
        <w:tabs>
          <w:tab w:val="left" w:pos="6740"/>
        </w:tabs>
        <w:ind w:firstLine="567"/>
        <w:rPr>
          <w:szCs w:val="24"/>
        </w:rPr>
      </w:pPr>
      <w:r w:rsidRPr="00FB0E02">
        <w:rPr>
          <w:szCs w:val="24"/>
        </w:rPr>
        <w:t xml:space="preserve">Ņemot vērā </w:t>
      </w:r>
      <w:r>
        <w:rPr>
          <w:szCs w:val="24"/>
        </w:rPr>
        <w:t xml:space="preserve">minēto, </w:t>
      </w:r>
      <w:r w:rsidRPr="00986B1C">
        <w:rPr>
          <w:b/>
          <w:bCs/>
          <w:szCs w:val="24"/>
        </w:rPr>
        <w:t>Finanšu ministrija piekrīt Fiskālās disciplīnas padomei, ka ir veikts Fiskālās disciplīnas likuma pārkāpums.</w:t>
      </w:r>
    </w:p>
    <w:p w14:paraId="61573552" w14:textId="77777777" w:rsidR="006D6710" w:rsidRPr="00615936" w:rsidRDefault="006D6710" w:rsidP="007F3771">
      <w:pPr>
        <w:rPr>
          <w:szCs w:val="24"/>
        </w:rPr>
      </w:pPr>
    </w:p>
    <w:p w14:paraId="69A582AC" w14:textId="77777777" w:rsidR="00557B49" w:rsidRPr="00615936" w:rsidRDefault="00557B49" w:rsidP="007F3771">
      <w:pPr>
        <w:rPr>
          <w:szCs w:val="24"/>
        </w:rPr>
      </w:pPr>
    </w:p>
    <w:p w14:paraId="0D92F24E" w14:textId="77777777" w:rsidR="003F2252" w:rsidRPr="00615936" w:rsidRDefault="003F2252" w:rsidP="007F3771">
      <w:pPr>
        <w:rPr>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2977"/>
      </w:tblGrid>
      <w:tr w:rsidR="00C32739" w14:paraId="4FFD278A" w14:textId="77777777" w:rsidTr="00AA6DC1">
        <w:tc>
          <w:tcPr>
            <w:tcW w:w="4395" w:type="dxa"/>
          </w:tcPr>
          <w:p w14:paraId="59664A70" w14:textId="77777777" w:rsidR="00AA6DC1" w:rsidRPr="00615936" w:rsidRDefault="005E669A" w:rsidP="007F3771">
            <w:pPr>
              <w:rPr>
                <w:szCs w:val="24"/>
              </w:rPr>
            </w:pPr>
            <w:r>
              <w:rPr>
                <w:noProof/>
                <w:szCs w:val="24"/>
              </w:rPr>
              <w:t>Ministrs</w:t>
            </w:r>
          </w:p>
        </w:tc>
        <w:tc>
          <w:tcPr>
            <w:tcW w:w="1984" w:type="dxa"/>
          </w:tcPr>
          <w:p w14:paraId="44429C0E" w14:textId="77777777" w:rsidR="00AA6DC1" w:rsidRDefault="005E669A" w:rsidP="00AA6DC1">
            <w:pPr>
              <w:jc w:val="center"/>
              <w:rPr>
                <w:szCs w:val="24"/>
              </w:rPr>
            </w:pPr>
            <w:bookmarkStart w:id="1" w:name="edoc_info2"/>
            <w:r>
              <w:rPr>
                <w:szCs w:val="24"/>
              </w:rPr>
              <w:t>(paraksts*)</w:t>
            </w:r>
            <w:bookmarkEnd w:id="1"/>
          </w:p>
        </w:tc>
        <w:tc>
          <w:tcPr>
            <w:tcW w:w="2977" w:type="dxa"/>
            <w:vAlign w:val="bottom"/>
          </w:tcPr>
          <w:p w14:paraId="4A69981B" w14:textId="77777777" w:rsidR="00AA6DC1" w:rsidRPr="00615936" w:rsidRDefault="005E669A" w:rsidP="00483407">
            <w:pPr>
              <w:jc w:val="right"/>
              <w:rPr>
                <w:szCs w:val="24"/>
              </w:rPr>
            </w:pPr>
            <w:r>
              <w:rPr>
                <w:noProof/>
                <w:szCs w:val="24"/>
              </w:rPr>
              <w:t>ARVILS AŠERADENS</w:t>
            </w:r>
          </w:p>
        </w:tc>
      </w:tr>
      <w:tr w:rsidR="00C32739" w14:paraId="479659EE" w14:textId="77777777" w:rsidTr="00AA6DC1">
        <w:tc>
          <w:tcPr>
            <w:tcW w:w="4395" w:type="dxa"/>
          </w:tcPr>
          <w:p w14:paraId="3DE2A9E8" w14:textId="77777777" w:rsidR="00AA6DC1" w:rsidRPr="00615936" w:rsidRDefault="00AA6DC1" w:rsidP="007F3771">
            <w:pPr>
              <w:rPr>
                <w:szCs w:val="24"/>
              </w:rPr>
            </w:pPr>
          </w:p>
        </w:tc>
        <w:tc>
          <w:tcPr>
            <w:tcW w:w="1984" w:type="dxa"/>
          </w:tcPr>
          <w:p w14:paraId="3B9CFBC7" w14:textId="77777777" w:rsidR="00AA6DC1" w:rsidRPr="00615936" w:rsidRDefault="00AA6DC1" w:rsidP="000C0DD4">
            <w:pPr>
              <w:jc w:val="right"/>
              <w:rPr>
                <w:szCs w:val="24"/>
              </w:rPr>
            </w:pPr>
          </w:p>
        </w:tc>
        <w:tc>
          <w:tcPr>
            <w:tcW w:w="2977" w:type="dxa"/>
            <w:vAlign w:val="bottom"/>
          </w:tcPr>
          <w:p w14:paraId="1073DA9C" w14:textId="77777777" w:rsidR="00AA6DC1" w:rsidRPr="00615936" w:rsidRDefault="00AA6DC1" w:rsidP="000C0DD4">
            <w:pPr>
              <w:jc w:val="right"/>
              <w:rPr>
                <w:szCs w:val="24"/>
              </w:rPr>
            </w:pPr>
          </w:p>
        </w:tc>
      </w:tr>
    </w:tbl>
    <w:tbl>
      <w:tblPr>
        <w:tblW w:w="8647" w:type="dxa"/>
        <w:tblLook w:val="04A0" w:firstRow="1" w:lastRow="0" w:firstColumn="1" w:lastColumn="0" w:noHBand="0" w:noVBand="1"/>
      </w:tblPr>
      <w:tblGrid>
        <w:gridCol w:w="8647"/>
      </w:tblGrid>
      <w:tr w:rsidR="00C32739" w14:paraId="4992E1D8" w14:textId="77777777" w:rsidTr="00AA6DC1">
        <w:trPr>
          <w:cantSplit/>
          <w:trHeight w:val="615"/>
        </w:trPr>
        <w:tc>
          <w:tcPr>
            <w:tcW w:w="8647" w:type="dxa"/>
          </w:tcPr>
          <w:p w14:paraId="6E04CF55" w14:textId="77777777" w:rsidR="002D6CB4" w:rsidRPr="00AA6DC1" w:rsidRDefault="005E669A" w:rsidP="00AA6DC1">
            <w:pPr>
              <w:pStyle w:val="BodyTextIndent"/>
              <w:tabs>
                <w:tab w:val="left" w:pos="8397"/>
              </w:tabs>
              <w:ind w:left="0"/>
              <w:rPr>
                <w:sz w:val="24"/>
                <w:szCs w:val="24"/>
              </w:rPr>
            </w:pPr>
            <w:bookmarkStart w:id="2" w:name="edoc_info" w:colFirst="0" w:colLast="0"/>
            <w:r w:rsidRPr="00AA6DC1">
              <w:rPr>
                <w:sz w:val="24"/>
                <w:szCs w:val="24"/>
              </w:rPr>
              <w:t>*Dokuments ir parakstīts ar drošu elektronisko parakstu</w:t>
            </w:r>
          </w:p>
        </w:tc>
      </w:tr>
      <w:bookmarkEnd w:id="2"/>
    </w:tbl>
    <w:p w14:paraId="22EEFFF3" w14:textId="77777777" w:rsidR="00826D51" w:rsidRDefault="00826D51" w:rsidP="007F3771">
      <w:pPr>
        <w:rPr>
          <w:sz w:val="20"/>
        </w:rPr>
      </w:pPr>
    </w:p>
    <w:p w14:paraId="45DDD702" w14:textId="77777777" w:rsidR="00901FD8" w:rsidRDefault="005E669A" w:rsidP="00961A65">
      <w:pPr>
        <w:jc w:val="left"/>
        <w:rPr>
          <w:sz w:val="20"/>
        </w:rPr>
      </w:pPr>
      <w:r>
        <w:rPr>
          <w:noProof/>
          <w:sz w:val="20"/>
        </w:rPr>
        <w:t>Vītols</w:t>
      </w:r>
      <w:r>
        <w:rPr>
          <w:sz w:val="20"/>
        </w:rPr>
        <w:t xml:space="preserve"> </w:t>
      </w:r>
      <w:r w:rsidRPr="00901FD8">
        <w:rPr>
          <w:noProof/>
          <w:sz w:val="20"/>
        </w:rPr>
        <w:t>29382150</w:t>
      </w:r>
    </w:p>
    <w:p w14:paraId="6A8E3760" w14:textId="77777777" w:rsidR="000C0DD4" w:rsidRPr="006D6710" w:rsidRDefault="005E669A" w:rsidP="00961A65">
      <w:pPr>
        <w:jc w:val="left"/>
        <w:rPr>
          <w:sz w:val="20"/>
        </w:rPr>
      </w:pPr>
      <w:r w:rsidRPr="00961A65">
        <w:rPr>
          <w:noProof/>
          <w:sz w:val="20"/>
        </w:rPr>
        <w:t>Edgars.Vitols@fm.gov.lv</w:t>
      </w:r>
    </w:p>
    <w:sectPr w:rsidR="000C0DD4" w:rsidRPr="006D6710" w:rsidSect="00140C77">
      <w:headerReference w:type="even" r:id="rId10"/>
      <w:headerReference w:type="default" r:id="rId11"/>
      <w:footerReference w:type="default" r:id="rId12"/>
      <w:headerReference w:type="first" r:id="rId13"/>
      <w:footerReference w:type="first" r:id="rId14"/>
      <w:pgSz w:w="11907" w:h="16840" w:code="9"/>
      <w:pgMar w:top="567"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7A9A" w14:textId="77777777" w:rsidR="005E669A" w:rsidRDefault="005E669A">
      <w:r>
        <w:separator/>
      </w:r>
    </w:p>
  </w:endnote>
  <w:endnote w:type="continuationSeparator" w:id="0">
    <w:p w14:paraId="2A498705" w14:textId="77777777" w:rsidR="005E669A" w:rsidRDefault="005E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43301"/>
      <w:docPartObj>
        <w:docPartGallery w:val="Page Numbers (Bottom of Page)"/>
        <w:docPartUnique/>
      </w:docPartObj>
    </w:sdtPr>
    <w:sdtEndPr/>
    <w:sdtContent>
      <w:p w14:paraId="079C51E5" w14:textId="77777777" w:rsidR="0015384D" w:rsidRDefault="005E669A">
        <w:pPr>
          <w:pStyle w:val="Footer"/>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0C0DD4">
          <w:rPr>
            <w:noProof/>
            <w:sz w:val="24"/>
            <w:szCs w:val="24"/>
          </w:rPr>
          <w:t>3</w:t>
        </w:r>
        <w:r w:rsidRPr="00557B49">
          <w:rPr>
            <w:sz w:val="24"/>
            <w:szCs w:val="24"/>
          </w:rPr>
          <w:fldChar w:fldCharType="end"/>
        </w:r>
      </w:p>
    </w:sdtContent>
  </w:sdt>
  <w:p w14:paraId="12FE8274" w14:textId="77777777" w:rsidR="0015384D" w:rsidRDefault="0015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A343" w14:textId="77777777" w:rsidR="0015384D" w:rsidRDefault="0015384D">
    <w:pPr>
      <w:pStyle w:val="Footer"/>
      <w:jc w:val="center"/>
    </w:pPr>
  </w:p>
  <w:p w14:paraId="0C782CB7" w14:textId="77777777" w:rsidR="0015384D" w:rsidRDefault="0015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D398" w14:textId="77777777" w:rsidR="0077309E" w:rsidRDefault="005E669A">
      <w:r>
        <w:separator/>
      </w:r>
    </w:p>
  </w:footnote>
  <w:footnote w:type="continuationSeparator" w:id="0">
    <w:p w14:paraId="6809A2C3" w14:textId="77777777" w:rsidR="0077309E" w:rsidRDefault="005E669A">
      <w:r>
        <w:continuationSeparator/>
      </w:r>
    </w:p>
  </w:footnote>
  <w:footnote w:id="1">
    <w:p w14:paraId="32EC907B" w14:textId="77777777" w:rsidR="0077309E" w:rsidRDefault="005E669A" w:rsidP="0077309E">
      <w:pPr>
        <w:pStyle w:val="FootnoteText"/>
      </w:pPr>
      <w:r>
        <w:rPr>
          <w:rStyle w:val="FootnoteReference"/>
        </w:rPr>
        <w:footnoteRef/>
      </w:r>
      <w:r>
        <w:t xml:space="preserve"> </w:t>
      </w:r>
      <w:hyperlink r:id="rId1" w:history="1">
        <w:r w:rsidR="0077309E">
          <w:rPr>
            <w:rStyle w:val="Hyperlink"/>
          </w:rPr>
          <w:t>https://www.vestnesis.lv/op/2025/248.64</w:t>
        </w:r>
      </w:hyperlink>
    </w:p>
  </w:footnote>
  <w:footnote w:id="2">
    <w:p w14:paraId="386F803F" w14:textId="77777777" w:rsidR="0077309E" w:rsidRPr="00FB1563" w:rsidRDefault="005E669A" w:rsidP="0077309E">
      <w:pPr>
        <w:pStyle w:val="FootnoteText"/>
      </w:pPr>
      <w:r w:rsidRPr="00FB1563">
        <w:rPr>
          <w:rStyle w:val="FootnoteReference"/>
        </w:rPr>
        <w:footnoteRef/>
      </w:r>
      <w:r w:rsidRPr="00FB1563">
        <w:t xml:space="preserve"> </w:t>
      </w:r>
      <w:r w:rsidRPr="00FB1563">
        <w:t xml:space="preserve">Finanšu ministrijas 2025. gada </w:t>
      </w:r>
      <w:r>
        <w:t>16</w:t>
      </w:r>
      <w:r w:rsidRPr="00FB1563">
        <w:t xml:space="preserve">. </w:t>
      </w:r>
      <w:r>
        <w:t>decembra</w:t>
      </w:r>
      <w:r w:rsidRPr="00FB1563">
        <w:t xml:space="preserve"> atzinums ar iebildum</w:t>
      </w:r>
      <w:r>
        <w:t>iem</w:t>
      </w:r>
      <w:r w:rsidRPr="00FB1563">
        <w:t xml:space="preserve"> ir pieejams: </w:t>
      </w:r>
      <w:hyperlink r:id="rId2" w:history="1">
        <w:r w:rsidR="0077309E" w:rsidRPr="00FB1563">
          <w:rPr>
            <w:rStyle w:val="Hyperlink"/>
          </w:rPr>
          <w:t>https://tapportals.mk.gov.lv/reviews/resolutions/73db4899-4de3-44cd-bb93-b7763e4267da</w:t>
        </w:r>
      </w:hyperlink>
      <w:r w:rsidRPr="00FB156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3666" w14:textId="77777777" w:rsidR="00F33DBE" w:rsidRDefault="005E66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384D">
      <w:rPr>
        <w:rStyle w:val="PageNumber"/>
        <w:noProof/>
      </w:rPr>
      <w:t>2</w:t>
    </w:r>
    <w:r>
      <w:rPr>
        <w:rStyle w:val="PageNumber"/>
      </w:rPr>
      <w:fldChar w:fldCharType="end"/>
    </w:r>
  </w:p>
  <w:p w14:paraId="3048B2F5" w14:textId="77777777" w:rsidR="00F33DBE" w:rsidRDefault="00F3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2203" w14:textId="77777777" w:rsidR="00F33DBE" w:rsidRDefault="005E669A" w:rsidP="008C508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B2A5" w14:textId="77777777" w:rsidR="002C22B9" w:rsidRDefault="002C22B9">
    <w:pPr>
      <w:pStyle w:val="Header"/>
    </w:pPr>
  </w:p>
  <w:p w14:paraId="14AA395D" w14:textId="77777777" w:rsidR="002C22B9" w:rsidRDefault="002C22B9">
    <w:pPr>
      <w:pStyle w:val="Header"/>
    </w:pPr>
  </w:p>
  <w:p w14:paraId="61675AF5" w14:textId="77777777" w:rsidR="002C22B9" w:rsidRDefault="002C22B9">
    <w:pPr>
      <w:pStyle w:val="Header"/>
    </w:pPr>
  </w:p>
  <w:p w14:paraId="55194F5B" w14:textId="77777777" w:rsidR="002C22B9" w:rsidRDefault="005E669A" w:rsidP="002C22B9">
    <w:pPr>
      <w:pStyle w:val="Header"/>
      <w:tabs>
        <w:tab w:val="clear" w:pos="4153"/>
        <w:tab w:val="clear" w:pos="8306"/>
      </w:tabs>
    </w:pPr>
    <w:r>
      <w:rPr>
        <w:noProof/>
        <w:lang w:eastAsia="lv-LV"/>
      </w:rPr>
      <mc:AlternateContent>
        <mc:Choice Requires="wps">
          <w:drawing>
            <wp:anchor distT="0" distB="0" distL="114300" distR="114300" simplePos="0" relativeHeight="251660288" behindDoc="1" locked="0" layoutInCell="1" allowOverlap="1" wp14:anchorId="7C6D0304" wp14:editId="7D19BD77">
              <wp:simplePos x="0" y="0"/>
              <wp:positionH relativeFrom="page">
                <wp:posOffset>1066800</wp:posOffset>
              </wp:positionH>
              <wp:positionV relativeFrom="page">
                <wp:posOffset>2030730</wp:posOffset>
              </wp:positionV>
              <wp:extent cx="5943600" cy="314325"/>
              <wp:effectExtent l="0" t="0" r="0" b="9525"/>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A3782" w14:textId="77777777" w:rsidR="002C22B9" w:rsidRDefault="005E669A"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e-pasts pasts@fm.gov.lv, www.fm.gov.lv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68pt;height:24.75pt;margin-top:159.9pt;margin-left:84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2C22B9" w:rsidP="002C22B9" w14:paraId="72F9F340" w14:textId="77777777">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e-pasts pasts@fm.gov.lv, www.fm.gov.lv</w:t>
                    </w:r>
                  </w:p>
                </w:txbxContent>
              </v:textbox>
            </v:shape>
          </w:pict>
        </mc:Fallback>
      </mc:AlternateContent>
    </w:r>
    <w:r w:rsidRPr="002C22B9">
      <w:rPr>
        <w:noProof/>
        <w:lang w:eastAsia="lv-LV"/>
      </w:rPr>
      <w:drawing>
        <wp:anchor distT="0" distB="0" distL="114300" distR="114300" simplePos="0" relativeHeight="251662336" behindDoc="1" locked="0" layoutInCell="1" allowOverlap="1" wp14:anchorId="5F8678BD" wp14:editId="44D2C3E6">
          <wp:simplePos x="0" y="0"/>
          <wp:positionH relativeFrom="margin">
            <wp:posOffset>75565</wp:posOffset>
          </wp:positionH>
          <wp:positionV relativeFrom="page">
            <wp:posOffset>711200</wp:posOffset>
          </wp:positionV>
          <wp:extent cx="5914390" cy="1065600"/>
          <wp:effectExtent l="0" t="0" r="0" b="0"/>
          <wp:wrapNone/>
          <wp:docPr id="8" name="Picture 8" descr="C:\Users\it-skrod\Desktop\veidlapas_jaunas\paraugi\vienkrasu_header_veidlapa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it-skrod\Desktop\veidlapas_jaunas\paraugi\vienkrasu_header_veidlapa_22.png"/>
                  <pic:cNvPicPr>
                    <a:picLocks noChangeAspect="1" noChangeArrowheads="1"/>
                  </pic:cNvPicPr>
                </pic:nvPicPr>
                <pic:blipFill>
                  <a:blip r:embed="rId1" cstate="print">
                    <a:extLst>
                      <a:ext uri="{BEBA8EAE-BF5A-486C-A8C5-ECC9F3942E4B}">
                        <a14:imgProps xmlns:a14="http://schemas.microsoft.com/office/drawing/2010/main">
                          <a14:imgLayer>
                            <a14:imgEffect>
                              <a14:brightnessContrast contrast="100000"/>
                            </a14:imgEffect>
                          </a14:imgLayer>
                        </a14:imgProps>
                      </a:ext>
                      <a:ext uri="{28A0092B-C50C-407E-A947-70E740481C1C}">
                        <a14:useLocalDpi xmlns:a14="http://schemas.microsoft.com/office/drawing/2010/main" val="0"/>
                      </a:ext>
                    </a:extLst>
                  </a:blip>
                  <a:srcRect l="1249" t="1374" r="-1249" b="-1372"/>
                  <a:stretch>
                    <a:fillRect/>
                  </a:stretch>
                </pic:blipFill>
                <pic:spPr bwMode="auto">
                  <a:xfrm>
                    <a:off x="0" y="0"/>
                    <a:ext cx="5914390" cy="106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06348B" w14:textId="77777777" w:rsidR="002C22B9" w:rsidRDefault="002C22B9">
    <w:pPr>
      <w:pStyle w:val="Header"/>
    </w:pPr>
  </w:p>
  <w:p w14:paraId="541A9435" w14:textId="77777777" w:rsidR="002C22B9" w:rsidRDefault="002C22B9">
    <w:pPr>
      <w:pStyle w:val="Header"/>
    </w:pPr>
  </w:p>
  <w:p w14:paraId="1AB49BAF" w14:textId="77777777" w:rsidR="002C22B9" w:rsidRDefault="002C22B9">
    <w:pPr>
      <w:pStyle w:val="Header"/>
    </w:pPr>
  </w:p>
  <w:p w14:paraId="1DC547AB" w14:textId="77777777" w:rsidR="002C22B9" w:rsidRDefault="002C22B9">
    <w:pPr>
      <w:pStyle w:val="Header"/>
    </w:pPr>
  </w:p>
  <w:p w14:paraId="345B1C5A" w14:textId="77777777" w:rsidR="002C22B9" w:rsidRDefault="002C22B9">
    <w:pPr>
      <w:pStyle w:val="Header"/>
    </w:pPr>
  </w:p>
  <w:p w14:paraId="265B6923" w14:textId="77777777" w:rsidR="002C22B9" w:rsidRDefault="002C22B9">
    <w:pPr>
      <w:pStyle w:val="Header"/>
    </w:pPr>
  </w:p>
  <w:p w14:paraId="1BDD1F49" w14:textId="77777777" w:rsidR="002C22B9" w:rsidRDefault="005E669A">
    <w:pPr>
      <w:pStyle w:val="Header"/>
    </w:pPr>
    <w:r>
      <w:rPr>
        <w:noProof/>
        <w:lang w:eastAsia="lv-LV"/>
      </w:rPr>
      <mc:AlternateContent>
        <mc:Choice Requires="wpg">
          <w:drawing>
            <wp:anchor distT="0" distB="0" distL="114300" distR="114300" simplePos="0" relativeHeight="251658240" behindDoc="1" locked="0" layoutInCell="1" allowOverlap="1" wp14:anchorId="64B23534" wp14:editId="23B00640">
              <wp:simplePos x="0" y="0"/>
              <wp:positionH relativeFrom="margin">
                <wp:posOffset>-34290</wp:posOffset>
              </wp:positionH>
              <wp:positionV relativeFrom="page">
                <wp:posOffset>1903095</wp:posOffset>
              </wp:positionV>
              <wp:extent cx="5937250" cy="45085"/>
              <wp:effectExtent l="0" t="0" r="25400" b="0"/>
              <wp:wrapNone/>
              <wp:docPr id="9" name="Group 41"/>
              <wp:cNvGraphicFramePr/>
              <a:graphic xmlns:a="http://schemas.openxmlformats.org/drawingml/2006/main">
                <a:graphicData uri="http://schemas.microsoft.com/office/word/2010/wordprocessingGroup">
                  <wpg:wgp>
                    <wpg:cNvGrpSpPr/>
                    <wpg:grpSpPr>
                      <a:xfrm>
                        <a:off x="0" y="0"/>
                        <a:ext cx="5937250" cy="45085"/>
                        <a:chOff x="2915" y="2998"/>
                        <a:chExt cx="6926" cy="2"/>
                      </a:xfrm>
                    </wpg:grpSpPr>
                    <wps:wsp>
                      <wps:cNvPr id="10"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467.5pt;height:3.55pt;margin-top:149.85pt;margin-left:-2.7pt;mso-position-horizontal-relative:margin;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w10:wrap anchorx="margin"/>
            </v:group>
          </w:pict>
        </mc:Fallback>
      </mc:AlternateContent>
    </w:r>
  </w:p>
  <w:p w14:paraId="0D05F682" w14:textId="77777777" w:rsidR="002C22B9" w:rsidRDefault="002C22B9">
    <w:pPr>
      <w:pStyle w:val="Header"/>
    </w:pPr>
  </w:p>
  <w:p w14:paraId="38CE9B8A" w14:textId="77777777" w:rsidR="002C22B9" w:rsidRDefault="002C22B9">
    <w:pPr>
      <w:pStyle w:val="Header"/>
    </w:pPr>
  </w:p>
  <w:p w14:paraId="6931CD74" w14:textId="77777777" w:rsidR="002C22B9" w:rsidRDefault="002C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54B59"/>
    <w:multiLevelType w:val="hybridMultilevel"/>
    <w:tmpl w:val="F3E092A4"/>
    <w:lvl w:ilvl="0" w:tplc="D33644EC">
      <w:start w:val="1"/>
      <w:numFmt w:val="decimal"/>
      <w:lvlText w:val="%1)"/>
      <w:lvlJc w:val="left"/>
      <w:pPr>
        <w:ind w:left="927" w:hanging="360"/>
      </w:pPr>
      <w:rPr>
        <w:rFonts w:hint="default"/>
      </w:rPr>
    </w:lvl>
    <w:lvl w:ilvl="1" w:tplc="A1EA1240" w:tentative="1">
      <w:start w:val="1"/>
      <w:numFmt w:val="lowerLetter"/>
      <w:lvlText w:val="%2."/>
      <w:lvlJc w:val="left"/>
      <w:pPr>
        <w:ind w:left="1647" w:hanging="360"/>
      </w:pPr>
    </w:lvl>
    <w:lvl w:ilvl="2" w:tplc="6AD6180C" w:tentative="1">
      <w:start w:val="1"/>
      <w:numFmt w:val="lowerRoman"/>
      <w:lvlText w:val="%3."/>
      <w:lvlJc w:val="right"/>
      <w:pPr>
        <w:ind w:left="2367" w:hanging="180"/>
      </w:pPr>
    </w:lvl>
    <w:lvl w:ilvl="3" w:tplc="C1D81034" w:tentative="1">
      <w:start w:val="1"/>
      <w:numFmt w:val="decimal"/>
      <w:lvlText w:val="%4."/>
      <w:lvlJc w:val="left"/>
      <w:pPr>
        <w:ind w:left="3087" w:hanging="360"/>
      </w:pPr>
    </w:lvl>
    <w:lvl w:ilvl="4" w:tplc="210ADF4A" w:tentative="1">
      <w:start w:val="1"/>
      <w:numFmt w:val="lowerLetter"/>
      <w:lvlText w:val="%5."/>
      <w:lvlJc w:val="left"/>
      <w:pPr>
        <w:ind w:left="3807" w:hanging="360"/>
      </w:pPr>
    </w:lvl>
    <w:lvl w:ilvl="5" w:tplc="BE428256" w:tentative="1">
      <w:start w:val="1"/>
      <w:numFmt w:val="lowerRoman"/>
      <w:lvlText w:val="%6."/>
      <w:lvlJc w:val="right"/>
      <w:pPr>
        <w:ind w:left="4527" w:hanging="180"/>
      </w:pPr>
    </w:lvl>
    <w:lvl w:ilvl="6" w:tplc="A80C4CC4" w:tentative="1">
      <w:start w:val="1"/>
      <w:numFmt w:val="decimal"/>
      <w:lvlText w:val="%7."/>
      <w:lvlJc w:val="left"/>
      <w:pPr>
        <w:ind w:left="5247" w:hanging="360"/>
      </w:pPr>
    </w:lvl>
    <w:lvl w:ilvl="7" w:tplc="580C44CC" w:tentative="1">
      <w:start w:val="1"/>
      <w:numFmt w:val="lowerLetter"/>
      <w:lvlText w:val="%8."/>
      <w:lvlJc w:val="left"/>
      <w:pPr>
        <w:ind w:left="5967" w:hanging="360"/>
      </w:pPr>
    </w:lvl>
    <w:lvl w:ilvl="8" w:tplc="D0F60BDE" w:tentative="1">
      <w:start w:val="1"/>
      <w:numFmt w:val="lowerRoman"/>
      <w:lvlText w:val="%9."/>
      <w:lvlJc w:val="right"/>
      <w:pPr>
        <w:ind w:left="6687" w:hanging="180"/>
      </w:pPr>
    </w:lvl>
  </w:abstractNum>
  <w:num w:numId="1" w16cid:durableId="40580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51"/>
    <w:rsid w:val="000165AF"/>
    <w:rsid w:val="0002005E"/>
    <w:rsid w:val="00025906"/>
    <w:rsid w:val="00051BDB"/>
    <w:rsid w:val="00054277"/>
    <w:rsid w:val="00062D32"/>
    <w:rsid w:val="00063804"/>
    <w:rsid w:val="000704C8"/>
    <w:rsid w:val="00072A98"/>
    <w:rsid w:val="00074C0E"/>
    <w:rsid w:val="0008360A"/>
    <w:rsid w:val="000859B0"/>
    <w:rsid w:val="00086189"/>
    <w:rsid w:val="000A0A49"/>
    <w:rsid w:val="000A2273"/>
    <w:rsid w:val="000A4A49"/>
    <w:rsid w:val="000B5E98"/>
    <w:rsid w:val="000B75CE"/>
    <w:rsid w:val="000C0DD4"/>
    <w:rsid w:val="000C1481"/>
    <w:rsid w:val="000D4ACD"/>
    <w:rsid w:val="000E05A4"/>
    <w:rsid w:val="000E7902"/>
    <w:rsid w:val="00101EF2"/>
    <w:rsid w:val="00102247"/>
    <w:rsid w:val="001042A3"/>
    <w:rsid w:val="00114955"/>
    <w:rsid w:val="00130802"/>
    <w:rsid w:val="00140C77"/>
    <w:rsid w:val="001421E1"/>
    <w:rsid w:val="001428D4"/>
    <w:rsid w:val="001459C6"/>
    <w:rsid w:val="00146475"/>
    <w:rsid w:val="00146FE3"/>
    <w:rsid w:val="0015384D"/>
    <w:rsid w:val="00156874"/>
    <w:rsid w:val="00160F55"/>
    <w:rsid w:val="0017402C"/>
    <w:rsid w:val="00176F63"/>
    <w:rsid w:val="0018218D"/>
    <w:rsid w:val="00184AB5"/>
    <w:rsid w:val="001943EE"/>
    <w:rsid w:val="001D78A7"/>
    <w:rsid w:val="001F53D9"/>
    <w:rsid w:val="00203705"/>
    <w:rsid w:val="0021300E"/>
    <w:rsid w:val="00220CEE"/>
    <w:rsid w:val="00224396"/>
    <w:rsid w:val="00227D91"/>
    <w:rsid w:val="0023013F"/>
    <w:rsid w:val="0023472C"/>
    <w:rsid w:val="00235349"/>
    <w:rsid w:val="00240DC2"/>
    <w:rsid w:val="00244390"/>
    <w:rsid w:val="00260557"/>
    <w:rsid w:val="00261352"/>
    <w:rsid w:val="002644F0"/>
    <w:rsid w:val="00266CF2"/>
    <w:rsid w:val="00267E3D"/>
    <w:rsid w:val="00292E11"/>
    <w:rsid w:val="0029448D"/>
    <w:rsid w:val="00297E6E"/>
    <w:rsid w:val="002A20A3"/>
    <w:rsid w:val="002B2B9A"/>
    <w:rsid w:val="002C22B9"/>
    <w:rsid w:val="002D0DAE"/>
    <w:rsid w:val="002D2EFD"/>
    <w:rsid w:val="002D6CB4"/>
    <w:rsid w:val="002E06CD"/>
    <w:rsid w:val="002E288C"/>
    <w:rsid w:val="002F5D59"/>
    <w:rsid w:val="003026CE"/>
    <w:rsid w:val="00302D28"/>
    <w:rsid w:val="00304112"/>
    <w:rsid w:val="003043C9"/>
    <w:rsid w:val="00305DC3"/>
    <w:rsid w:val="00307A60"/>
    <w:rsid w:val="00314B6D"/>
    <w:rsid w:val="0031519D"/>
    <w:rsid w:val="00325CE2"/>
    <w:rsid w:val="00330C2A"/>
    <w:rsid w:val="00332AF9"/>
    <w:rsid w:val="00341839"/>
    <w:rsid w:val="00366991"/>
    <w:rsid w:val="0037045B"/>
    <w:rsid w:val="00374C0D"/>
    <w:rsid w:val="00380855"/>
    <w:rsid w:val="00383D87"/>
    <w:rsid w:val="00386F28"/>
    <w:rsid w:val="00392EBE"/>
    <w:rsid w:val="00393EB9"/>
    <w:rsid w:val="00396BF4"/>
    <w:rsid w:val="003A324A"/>
    <w:rsid w:val="003B329B"/>
    <w:rsid w:val="003B4764"/>
    <w:rsid w:val="003D09AE"/>
    <w:rsid w:val="003D179D"/>
    <w:rsid w:val="003E4AB0"/>
    <w:rsid w:val="003F2252"/>
    <w:rsid w:val="003F2673"/>
    <w:rsid w:val="003F4635"/>
    <w:rsid w:val="003F79A5"/>
    <w:rsid w:val="004059A7"/>
    <w:rsid w:val="004218E7"/>
    <w:rsid w:val="004241B4"/>
    <w:rsid w:val="00434A02"/>
    <w:rsid w:val="0043643E"/>
    <w:rsid w:val="004478B9"/>
    <w:rsid w:val="00450E77"/>
    <w:rsid w:val="00474D18"/>
    <w:rsid w:val="00483407"/>
    <w:rsid w:val="004978CB"/>
    <w:rsid w:val="004A4074"/>
    <w:rsid w:val="004D5D78"/>
    <w:rsid w:val="004E2880"/>
    <w:rsid w:val="004E45F2"/>
    <w:rsid w:val="004E4C3B"/>
    <w:rsid w:val="004E7972"/>
    <w:rsid w:val="004F221F"/>
    <w:rsid w:val="004F32A1"/>
    <w:rsid w:val="004F671B"/>
    <w:rsid w:val="004F7DFD"/>
    <w:rsid w:val="00500907"/>
    <w:rsid w:val="005053F3"/>
    <w:rsid w:val="00513B65"/>
    <w:rsid w:val="00526E86"/>
    <w:rsid w:val="0053353D"/>
    <w:rsid w:val="005377EF"/>
    <w:rsid w:val="00546FDE"/>
    <w:rsid w:val="00550841"/>
    <w:rsid w:val="00550BA5"/>
    <w:rsid w:val="00557B49"/>
    <w:rsid w:val="0056044A"/>
    <w:rsid w:val="00566B07"/>
    <w:rsid w:val="00573174"/>
    <w:rsid w:val="00583887"/>
    <w:rsid w:val="00583F38"/>
    <w:rsid w:val="005846CE"/>
    <w:rsid w:val="00584ED6"/>
    <w:rsid w:val="005910E7"/>
    <w:rsid w:val="005A0BBB"/>
    <w:rsid w:val="005D0F73"/>
    <w:rsid w:val="005D7171"/>
    <w:rsid w:val="005E3D1E"/>
    <w:rsid w:val="005E669A"/>
    <w:rsid w:val="005F3139"/>
    <w:rsid w:val="006001D8"/>
    <w:rsid w:val="00613984"/>
    <w:rsid w:val="00615936"/>
    <w:rsid w:val="00616295"/>
    <w:rsid w:val="006205B8"/>
    <w:rsid w:val="00622CFD"/>
    <w:rsid w:val="006240D2"/>
    <w:rsid w:val="00636996"/>
    <w:rsid w:val="00642EE6"/>
    <w:rsid w:val="00643F3C"/>
    <w:rsid w:val="006610B8"/>
    <w:rsid w:val="00667635"/>
    <w:rsid w:val="00683E8B"/>
    <w:rsid w:val="00697AB8"/>
    <w:rsid w:val="006A05F7"/>
    <w:rsid w:val="006A3594"/>
    <w:rsid w:val="006A4D4A"/>
    <w:rsid w:val="006A707B"/>
    <w:rsid w:val="006B33CB"/>
    <w:rsid w:val="006B42A2"/>
    <w:rsid w:val="006D24EC"/>
    <w:rsid w:val="006D6710"/>
    <w:rsid w:val="006E11A6"/>
    <w:rsid w:val="006E45DD"/>
    <w:rsid w:val="006E689E"/>
    <w:rsid w:val="006E6DBE"/>
    <w:rsid w:val="00701105"/>
    <w:rsid w:val="0070258A"/>
    <w:rsid w:val="0070484F"/>
    <w:rsid w:val="00706C69"/>
    <w:rsid w:val="0070718E"/>
    <w:rsid w:val="00707ADE"/>
    <w:rsid w:val="0071276C"/>
    <w:rsid w:val="00727064"/>
    <w:rsid w:val="00730E2D"/>
    <w:rsid w:val="00733696"/>
    <w:rsid w:val="00733C31"/>
    <w:rsid w:val="00751786"/>
    <w:rsid w:val="007523B6"/>
    <w:rsid w:val="00765592"/>
    <w:rsid w:val="0077309E"/>
    <w:rsid w:val="00786DAF"/>
    <w:rsid w:val="00792DE6"/>
    <w:rsid w:val="007A2915"/>
    <w:rsid w:val="007A5BA9"/>
    <w:rsid w:val="007A73EC"/>
    <w:rsid w:val="007B32A0"/>
    <w:rsid w:val="007C5B7E"/>
    <w:rsid w:val="007E021E"/>
    <w:rsid w:val="007E3858"/>
    <w:rsid w:val="007E7EA0"/>
    <w:rsid w:val="007F3771"/>
    <w:rsid w:val="007F6888"/>
    <w:rsid w:val="00812E64"/>
    <w:rsid w:val="008237C6"/>
    <w:rsid w:val="00826D51"/>
    <w:rsid w:val="008360BD"/>
    <w:rsid w:val="00837277"/>
    <w:rsid w:val="00844760"/>
    <w:rsid w:val="0086567E"/>
    <w:rsid w:val="00866595"/>
    <w:rsid w:val="00875EF1"/>
    <w:rsid w:val="00884446"/>
    <w:rsid w:val="00886C8A"/>
    <w:rsid w:val="008A5EC1"/>
    <w:rsid w:val="008C508E"/>
    <w:rsid w:val="008C65E9"/>
    <w:rsid w:val="008D22AE"/>
    <w:rsid w:val="008E4EA4"/>
    <w:rsid w:val="008E4FE5"/>
    <w:rsid w:val="008F1369"/>
    <w:rsid w:val="008F15DF"/>
    <w:rsid w:val="008F2376"/>
    <w:rsid w:val="00901FD8"/>
    <w:rsid w:val="00903B9C"/>
    <w:rsid w:val="00911470"/>
    <w:rsid w:val="00914649"/>
    <w:rsid w:val="00920076"/>
    <w:rsid w:val="009212D8"/>
    <w:rsid w:val="009328EF"/>
    <w:rsid w:val="00961A65"/>
    <w:rsid w:val="00963ACC"/>
    <w:rsid w:val="00970C92"/>
    <w:rsid w:val="00973529"/>
    <w:rsid w:val="009767F7"/>
    <w:rsid w:val="009819D5"/>
    <w:rsid w:val="0098433C"/>
    <w:rsid w:val="00986B1C"/>
    <w:rsid w:val="00996DC8"/>
    <w:rsid w:val="009B2296"/>
    <w:rsid w:val="009B7929"/>
    <w:rsid w:val="009C29A7"/>
    <w:rsid w:val="009C643F"/>
    <w:rsid w:val="009E200C"/>
    <w:rsid w:val="009F3293"/>
    <w:rsid w:val="009F48D8"/>
    <w:rsid w:val="009F77B9"/>
    <w:rsid w:val="00A03231"/>
    <w:rsid w:val="00A17946"/>
    <w:rsid w:val="00A21D44"/>
    <w:rsid w:val="00A30AED"/>
    <w:rsid w:val="00A318B0"/>
    <w:rsid w:val="00A4004D"/>
    <w:rsid w:val="00A41446"/>
    <w:rsid w:val="00A54546"/>
    <w:rsid w:val="00A87DFA"/>
    <w:rsid w:val="00A94030"/>
    <w:rsid w:val="00AA21A4"/>
    <w:rsid w:val="00AA6DC1"/>
    <w:rsid w:val="00AA74E7"/>
    <w:rsid w:val="00AB2288"/>
    <w:rsid w:val="00AB278E"/>
    <w:rsid w:val="00AC60C1"/>
    <w:rsid w:val="00AD576B"/>
    <w:rsid w:val="00AE2200"/>
    <w:rsid w:val="00AF02BA"/>
    <w:rsid w:val="00AF21C7"/>
    <w:rsid w:val="00B12561"/>
    <w:rsid w:val="00B26E48"/>
    <w:rsid w:val="00B30E51"/>
    <w:rsid w:val="00B45C16"/>
    <w:rsid w:val="00B55A55"/>
    <w:rsid w:val="00B9570C"/>
    <w:rsid w:val="00BB4400"/>
    <w:rsid w:val="00BD24E4"/>
    <w:rsid w:val="00BE3E7A"/>
    <w:rsid w:val="00BE5011"/>
    <w:rsid w:val="00BE78C7"/>
    <w:rsid w:val="00BF11EB"/>
    <w:rsid w:val="00BF233C"/>
    <w:rsid w:val="00C038B7"/>
    <w:rsid w:val="00C041F7"/>
    <w:rsid w:val="00C04DED"/>
    <w:rsid w:val="00C1122C"/>
    <w:rsid w:val="00C21975"/>
    <w:rsid w:val="00C32739"/>
    <w:rsid w:val="00C345B8"/>
    <w:rsid w:val="00C375DF"/>
    <w:rsid w:val="00C41856"/>
    <w:rsid w:val="00C44804"/>
    <w:rsid w:val="00C45100"/>
    <w:rsid w:val="00C50C30"/>
    <w:rsid w:val="00C53A90"/>
    <w:rsid w:val="00C54CFF"/>
    <w:rsid w:val="00C56C1D"/>
    <w:rsid w:val="00C6145F"/>
    <w:rsid w:val="00C640B7"/>
    <w:rsid w:val="00C81055"/>
    <w:rsid w:val="00C87CD4"/>
    <w:rsid w:val="00CD3BB8"/>
    <w:rsid w:val="00CE0655"/>
    <w:rsid w:val="00CE755A"/>
    <w:rsid w:val="00CF7CC2"/>
    <w:rsid w:val="00D0332A"/>
    <w:rsid w:val="00D06A60"/>
    <w:rsid w:val="00D1142D"/>
    <w:rsid w:val="00D149A6"/>
    <w:rsid w:val="00D260CB"/>
    <w:rsid w:val="00D3049B"/>
    <w:rsid w:val="00D4070C"/>
    <w:rsid w:val="00D462B6"/>
    <w:rsid w:val="00D51CC7"/>
    <w:rsid w:val="00D57801"/>
    <w:rsid w:val="00D65123"/>
    <w:rsid w:val="00D67E61"/>
    <w:rsid w:val="00D70A7C"/>
    <w:rsid w:val="00D73652"/>
    <w:rsid w:val="00D873B0"/>
    <w:rsid w:val="00DA3EAF"/>
    <w:rsid w:val="00DA7256"/>
    <w:rsid w:val="00DA7D9E"/>
    <w:rsid w:val="00DB1E3A"/>
    <w:rsid w:val="00DB5AB6"/>
    <w:rsid w:val="00DB71CF"/>
    <w:rsid w:val="00DB7949"/>
    <w:rsid w:val="00DC1310"/>
    <w:rsid w:val="00DC1600"/>
    <w:rsid w:val="00DC461E"/>
    <w:rsid w:val="00DD2410"/>
    <w:rsid w:val="00DD4524"/>
    <w:rsid w:val="00DD56CC"/>
    <w:rsid w:val="00DD5E25"/>
    <w:rsid w:val="00DE7EC9"/>
    <w:rsid w:val="00DF1EC1"/>
    <w:rsid w:val="00DF75CE"/>
    <w:rsid w:val="00E04F00"/>
    <w:rsid w:val="00E0527A"/>
    <w:rsid w:val="00E13483"/>
    <w:rsid w:val="00E15F9B"/>
    <w:rsid w:val="00E25982"/>
    <w:rsid w:val="00E31881"/>
    <w:rsid w:val="00E3743F"/>
    <w:rsid w:val="00E436F0"/>
    <w:rsid w:val="00E44ADB"/>
    <w:rsid w:val="00E50D99"/>
    <w:rsid w:val="00E71316"/>
    <w:rsid w:val="00E95294"/>
    <w:rsid w:val="00EA7310"/>
    <w:rsid w:val="00EB1825"/>
    <w:rsid w:val="00EB2C30"/>
    <w:rsid w:val="00EE1908"/>
    <w:rsid w:val="00EF2339"/>
    <w:rsid w:val="00F06A13"/>
    <w:rsid w:val="00F14918"/>
    <w:rsid w:val="00F220D5"/>
    <w:rsid w:val="00F33DBE"/>
    <w:rsid w:val="00F33E54"/>
    <w:rsid w:val="00F350B2"/>
    <w:rsid w:val="00F35615"/>
    <w:rsid w:val="00F365B1"/>
    <w:rsid w:val="00F37820"/>
    <w:rsid w:val="00F462A6"/>
    <w:rsid w:val="00F62E54"/>
    <w:rsid w:val="00F84ADE"/>
    <w:rsid w:val="00F949B7"/>
    <w:rsid w:val="00F952BC"/>
    <w:rsid w:val="00FB0E02"/>
    <w:rsid w:val="00FB1563"/>
    <w:rsid w:val="00FB1DB2"/>
    <w:rsid w:val="00FB225E"/>
    <w:rsid w:val="00FE2AC9"/>
    <w:rsid w:val="00FE7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37B29"/>
  <w15:docId w15:val="{2CD99BFC-0B14-4ABE-B442-61A8F77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basedOn w:val="Normal"/>
    <w:link w:val="FootnoteTextChar"/>
    <w:uiPriority w:val="99"/>
    <w:semiHidden/>
    <w:rsid w:val="00903B9C"/>
    <w:rPr>
      <w:sz w:val="20"/>
    </w:rPr>
  </w:style>
  <w:style w:type="character" w:styleId="FootnoteReference">
    <w:name w:val="footnote reference"/>
    <w:uiPriority w:val="99"/>
    <w:semiHidden/>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uiPriority w:val="99"/>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link w:val="FootnoteText"/>
    <w:uiPriority w:val="99"/>
    <w:semiHidden/>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4E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09E"/>
    <w:pPr>
      <w:widowControl w:val="0"/>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reviews/resolutions/73db4899-4de3-44cd-bb93-b7763e4267da" TargetMode="External"/><Relationship Id="rId1" Type="http://schemas.openxmlformats.org/officeDocument/2006/relationships/hyperlink" Target="https://www.vestnesis.lv/op/2025/248.6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ED70216784EE74DB31C404EA9411A16" ma:contentTypeVersion="7" ma:contentTypeDescription="Izveidot jaunu dokumentu." ma:contentTypeScope="" ma:versionID="9239c0859cce409234e7300afe8f6220">
  <xsd:schema xmlns:xsd="http://www.w3.org/2001/XMLSchema" xmlns:xs="http://www.w3.org/2001/XMLSchema" xmlns:p="http://schemas.microsoft.com/office/2006/metadata/properties" xmlns:ns1="http://schemas.microsoft.com/sharepoint/v3" xmlns:ns2="31e03d30-2e8d-4e33-818d-98013f8c7710" xmlns:ns3="572299aa-60cd-4594-8586-d66157377caf" targetNamespace="http://schemas.microsoft.com/office/2006/metadata/properties" ma:root="true" ma:fieldsID="4568e8d3e1232c8f0458f99f7af59157" ns1:_="" ns2:_="" ns3:_="">
    <xsd:import namespace="http://schemas.microsoft.com/sharepoint/v3"/>
    <xsd:import namespace="31e03d30-2e8d-4e33-818d-98013f8c7710"/>
    <xsd:import namespace="572299aa-60cd-4594-8586-d66157377c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Vienotās atbilstības politikas rekvizīti" ma:hidden="true" ma:internalName="_ip_UnifiedCompliancePolicyProperties">
      <xsd:simpleType>
        <xsd:restriction base="dms:Note"/>
      </xsd:simpleType>
    </xsd:element>
    <xsd:element name="_ip_UnifiedCompliancePolicyUIAction" ma:index="14"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3d30-2e8d-4e33-818d-98013f8c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299aa-60cd-4594-8586-d66157377caf"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10535-1B5D-49D5-AC58-1C4DD3F77A33}">
  <ds:schemaRefs>
    <ds:schemaRef ds:uri="http://schemas.microsoft.com/sharepoint/v3/contenttype/forms"/>
  </ds:schemaRefs>
</ds:datastoreItem>
</file>

<file path=customXml/itemProps2.xml><?xml version="1.0" encoding="utf-8"?>
<ds:datastoreItem xmlns:ds="http://schemas.openxmlformats.org/officeDocument/2006/customXml" ds:itemID="{F8204C02-885C-4172-8D6A-F5F74234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03d30-2e8d-4e33-818d-98013f8c7710"/>
    <ds:schemaRef ds:uri="572299aa-60cd-4594-8586-d6615737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30024-E6EF-4C50-B4AC-FC54616EFAC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6143</Characters>
  <Application>Microsoft Office Word</Application>
  <DocSecurity>0</DocSecurity>
  <Lines>161</Lines>
  <Paragraphs>71</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FM</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FM</dc:creator>
  <cp:lastModifiedBy>Edgars Vītols</cp:lastModifiedBy>
  <cp:revision>2</cp:revision>
  <cp:lastPrinted>2007-06-25T10:49:00Z</cp:lastPrinted>
  <dcterms:created xsi:type="dcterms:W3CDTF">2026-02-09T13:57:00Z</dcterms:created>
  <dcterms:modified xsi:type="dcterms:W3CDTF">2026-02-09T13:57:00Z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