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96E5" w14:textId="46C241B0" w:rsidR="002057C0" w:rsidRDefault="00D5289B" w:rsidP="002057C0">
      <w:r>
        <w:rPr>
          <w:noProof/>
        </w:rPr>
        <w:drawing>
          <wp:inline distT="0" distB="0" distL="0" distR="0" wp14:anchorId="255ED1FC" wp14:editId="695C6488">
            <wp:extent cx="6120130" cy="3992245"/>
            <wp:effectExtent l="0" t="0" r="13970" b="8255"/>
            <wp:docPr id="15545623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9496E8" w14:textId="77777777" w:rsidR="008E25A5" w:rsidRDefault="008E25A5" w:rsidP="002057C0"/>
    <w:p w14:paraId="735C7866" w14:textId="772B1680" w:rsidR="008E25A5" w:rsidRDefault="00356CF8" w:rsidP="002057C0">
      <w:r>
        <w:rPr>
          <w:noProof/>
        </w:rPr>
        <w:drawing>
          <wp:inline distT="0" distB="0" distL="0" distR="0" wp14:anchorId="4B0B3638" wp14:editId="1889A2E1">
            <wp:extent cx="6248400" cy="4448175"/>
            <wp:effectExtent l="0" t="0" r="0" b="9525"/>
            <wp:docPr id="16310405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D7F675" w14:textId="4351E488" w:rsidR="008E25A5" w:rsidRDefault="00BD7B90" w:rsidP="008E25A5">
      <w:pPr>
        <w:jc w:val="center"/>
      </w:pPr>
      <w:r>
        <w:rPr>
          <w:noProof/>
        </w:rPr>
        <w:lastRenderedPageBreak/>
        <w:drawing>
          <wp:inline distT="0" distB="0" distL="0" distR="0" wp14:anchorId="37B912C5" wp14:editId="006482E3">
            <wp:extent cx="6250305" cy="4333875"/>
            <wp:effectExtent l="0" t="0" r="17145" b="9525"/>
            <wp:docPr id="1139141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A56D9C" w14:textId="77777777" w:rsidR="0014727D" w:rsidRDefault="0014727D" w:rsidP="008E25A5">
      <w:pPr>
        <w:jc w:val="center"/>
      </w:pPr>
    </w:p>
    <w:p w14:paraId="4EC04748" w14:textId="7D1E25E2" w:rsidR="002057C0" w:rsidRDefault="00C4635B" w:rsidP="0014727D">
      <w:pPr>
        <w:jc w:val="center"/>
      </w:pPr>
      <w:r>
        <w:rPr>
          <w:noProof/>
        </w:rPr>
        <w:drawing>
          <wp:inline distT="0" distB="0" distL="0" distR="0" wp14:anchorId="08A04CC3" wp14:editId="1519B780">
            <wp:extent cx="6120130" cy="3994785"/>
            <wp:effectExtent l="0" t="0" r="13970" b="5715"/>
            <wp:docPr id="6223655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057C0" w:rsidSect="009E2007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49B0" w14:textId="77777777" w:rsidR="00135B9C" w:rsidRDefault="00135B9C" w:rsidP="00753E4D">
      <w:pPr>
        <w:spacing w:after="0" w:line="240" w:lineRule="auto"/>
      </w:pPr>
      <w:r>
        <w:separator/>
      </w:r>
    </w:p>
  </w:endnote>
  <w:endnote w:type="continuationSeparator" w:id="0">
    <w:p w14:paraId="358AF57E" w14:textId="77777777" w:rsidR="00135B9C" w:rsidRDefault="00135B9C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7AC9EAAF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4C2BFF">
      <w:rPr>
        <w:rFonts w:ascii="Times New Roman" w:hAnsi="Times New Roman" w:cs="Times New Roman"/>
        <w:i/>
        <w:sz w:val="20"/>
        <w:szCs w:val="20"/>
      </w:rPr>
      <w:t>28</w:t>
    </w:r>
    <w:r w:rsidR="0002061A">
      <w:rPr>
        <w:rFonts w:ascii="Times New Roman" w:hAnsi="Times New Roman" w:cs="Times New Roman"/>
        <w:i/>
        <w:sz w:val="20"/>
        <w:szCs w:val="20"/>
      </w:rPr>
      <w:t>.</w:t>
    </w:r>
    <w:r w:rsidR="004C2BFF">
      <w:rPr>
        <w:rFonts w:ascii="Times New Roman" w:hAnsi="Times New Roman" w:cs="Times New Roman"/>
        <w:i/>
        <w:sz w:val="20"/>
        <w:szCs w:val="20"/>
      </w:rPr>
      <w:t>0</w:t>
    </w:r>
    <w:r w:rsidR="0014727D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C2BFF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01A7" w14:textId="77777777" w:rsidR="00135B9C" w:rsidRDefault="00135B9C" w:rsidP="00753E4D">
      <w:pPr>
        <w:spacing w:after="0" w:line="240" w:lineRule="auto"/>
      </w:pPr>
      <w:r>
        <w:separator/>
      </w:r>
    </w:p>
  </w:footnote>
  <w:footnote w:type="continuationSeparator" w:id="0">
    <w:p w14:paraId="5332EF2C" w14:textId="77777777" w:rsidR="00135B9C" w:rsidRDefault="00135B9C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645F5"/>
    <w:rsid w:val="00084053"/>
    <w:rsid w:val="00091306"/>
    <w:rsid w:val="000A5383"/>
    <w:rsid w:val="000B5EEB"/>
    <w:rsid w:val="000E4AF6"/>
    <w:rsid w:val="000F1AD0"/>
    <w:rsid w:val="00104E0A"/>
    <w:rsid w:val="00132988"/>
    <w:rsid w:val="00135B9C"/>
    <w:rsid w:val="0014727D"/>
    <w:rsid w:val="0015418F"/>
    <w:rsid w:val="00154B9C"/>
    <w:rsid w:val="001759B2"/>
    <w:rsid w:val="0018106A"/>
    <w:rsid w:val="001875F7"/>
    <w:rsid w:val="00197EE3"/>
    <w:rsid w:val="001A62CE"/>
    <w:rsid w:val="001E09F3"/>
    <w:rsid w:val="002057C0"/>
    <w:rsid w:val="00212AD5"/>
    <w:rsid w:val="00213567"/>
    <w:rsid w:val="00236B54"/>
    <w:rsid w:val="00255D49"/>
    <w:rsid w:val="00260E02"/>
    <w:rsid w:val="00273000"/>
    <w:rsid w:val="00274DDE"/>
    <w:rsid w:val="00280813"/>
    <w:rsid w:val="0028348B"/>
    <w:rsid w:val="002E2D25"/>
    <w:rsid w:val="002F6CDC"/>
    <w:rsid w:val="00356CF8"/>
    <w:rsid w:val="0035713F"/>
    <w:rsid w:val="00357BB9"/>
    <w:rsid w:val="00373918"/>
    <w:rsid w:val="003C3EC7"/>
    <w:rsid w:val="003E377C"/>
    <w:rsid w:val="003F5B69"/>
    <w:rsid w:val="00423CB8"/>
    <w:rsid w:val="0043126E"/>
    <w:rsid w:val="00442FAE"/>
    <w:rsid w:val="00477FAA"/>
    <w:rsid w:val="00487AE7"/>
    <w:rsid w:val="004B614D"/>
    <w:rsid w:val="004C2BFF"/>
    <w:rsid w:val="004E010B"/>
    <w:rsid w:val="004E5357"/>
    <w:rsid w:val="00521A43"/>
    <w:rsid w:val="005633DF"/>
    <w:rsid w:val="0056672C"/>
    <w:rsid w:val="00586521"/>
    <w:rsid w:val="005B130A"/>
    <w:rsid w:val="005B7F4B"/>
    <w:rsid w:val="005C0597"/>
    <w:rsid w:val="005D1E60"/>
    <w:rsid w:val="005E331F"/>
    <w:rsid w:val="005E71C4"/>
    <w:rsid w:val="00603D59"/>
    <w:rsid w:val="00604808"/>
    <w:rsid w:val="00606DE0"/>
    <w:rsid w:val="006449DC"/>
    <w:rsid w:val="00660092"/>
    <w:rsid w:val="00664AAB"/>
    <w:rsid w:val="0067030D"/>
    <w:rsid w:val="00671C7B"/>
    <w:rsid w:val="0068797F"/>
    <w:rsid w:val="006B65F1"/>
    <w:rsid w:val="006C5BAD"/>
    <w:rsid w:val="006C6819"/>
    <w:rsid w:val="006F3042"/>
    <w:rsid w:val="00702EDD"/>
    <w:rsid w:val="007117A6"/>
    <w:rsid w:val="0071472B"/>
    <w:rsid w:val="00720724"/>
    <w:rsid w:val="007463D8"/>
    <w:rsid w:val="007534D7"/>
    <w:rsid w:val="00753D35"/>
    <w:rsid w:val="00753E4D"/>
    <w:rsid w:val="007717AE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3800"/>
    <w:rsid w:val="0089656A"/>
    <w:rsid w:val="008B0451"/>
    <w:rsid w:val="008C27D3"/>
    <w:rsid w:val="008D0304"/>
    <w:rsid w:val="008E117A"/>
    <w:rsid w:val="008E1C2A"/>
    <w:rsid w:val="008E25A5"/>
    <w:rsid w:val="008E6B51"/>
    <w:rsid w:val="008F39B8"/>
    <w:rsid w:val="008F418D"/>
    <w:rsid w:val="008F65B3"/>
    <w:rsid w:val="00901320"/>
    <w:rsid w:val="0092493E"/>
    <w:rsid w:val="009327F0"/>
    <w:rsid w:val="00941C01"/>
    <w:rsid w:val="009451B7"/>
    <w:rsid w:val="009453AE"/>
    <w:rsid w:val="009622EA"/>
    <w:rsid w:val="00975A5D"/>
    <w:rsid w:val="0099148E"/>
    <w:rsid w:val="009A5F24"/>
    <w:rsid w:val="009C0DB4"/>
    <w:rsid w:val="009C26B8"/>
    <w:rsid w:val="009E2007"/>
    <w:rsid w:val="009E62EA"/>
    <w:rsid w:val="009F4B3E"/>
    <w:rsid w:val="00A15FBE"/>
    <w:rsid w:val="00A21CA9"/>
    <w:rsid w:val="00A279E0"/>
    <w:rsid w:val="00A43744"/>
    <w:rsid w:val="00A671DC"/>
    <w:rsid w:val="00A76B11"/>
    <w:rsid w:val="00A76E4E"/>
    <w:rsid w:val="00AC1656"/>
    <w:rsid w:val="00AC5091"/>
    <w:rsid w:val="00AE185D"/>
    <w:rsid w:val="00AE61DA"/>
    <w:rsid w:val="00AE687B"/>
    <w:rsid w:val="00AF6342"/>
    <w:rsid w:val="00B11144"/>
    <w:rsid w:val="00B24B9D"/>
    <w:rsid w:val="00B30B6B"/>
    <w:rsid w:val="00B31F57"/>
    <w:rsid w:val="00B3723B"/>
    <w:rsid w:val="00B5491D"/>
    <w:rsid w:val="00B56DD5"/>
    <w:rsid w:val="00BD1E7E"/>
    <w:rsid w:val="00BD4272"/>
    <w:rsid w:val="00BD7B90"/>
    <w:rsid w:val="00BF0FF2"/>
    <w:rsid w:val="00BF528F"/>
    <w:rsid w:val="00C00D31"/>
    <w:rsid w:val="00C209E1"/>
    <w:rsid w:val="00C4635B"/>
    <w:rsid w:val="00C51A6B"/>
    <w:rsid w:val="00C66336"/>
    <w:rsid w:val="00C83859"/>
    <w:rsid w:val="00C851A1"/>
    <w:rsid w:val="00CA7157"/>
    <w:rsid w:val="00CE0412"/>
    <w:rsid w:val="00CF42B2"/>
    <w:rsid w:val="00D118B5"/>
    <w:rsid w:val="00D20A06"/>
    <w:rsid w:val="00D4695D"/>
    <w:rsid w:val="00D51F49"/>
    <w:rsid w:val="00D5289B"/>
    <w:rsid w:val="00D85106"/>
    <w:rsid w:val="00DA36D1"/>
    <w:rsid w:val="00DA4068"/>
    <w:rsid w:val="00DB2D92"/>
    <w:rsid w:val="00DC2C3F"/>
    <w:rsid w:val="00DD6492"/>
    <w:rsid w:val="00DE5CD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2_Febru&#257;ris_2026/GG%20tabulas/Pa&#353;vald&#299;bu%20bilances%20dati%202007-2026%20%20konsol_2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2_Febru&#257;ris_2026/GG%20tabulas/Pa&#353;vald&#299;bu%20bilances%20dati%202007-2026%20%20konsol_2_ME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2_Febru&#257;ris_2026/GG%20tabulas/Pa&#353;vald&#299;bu%20bilances%20dati%202007-2026%20%20konsol_2_ME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2_Febru&#257;ris_2026/GG%20tabulas/Pa&#353;vald&#299;bu%20bilances%20dati%202007-2026%20%20konsol_2_ME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ieņēmumi uz 28.02.2026.,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ieņēmumiem kopā*</a:t>
            </a:r>
          </a:p>
        </c:rich>
      </c:tx>
      <c:layout>
        <c:manualLayout>
          <c:xMode val="edge"/>
          <c:yMode val="edge"/>
          <c:x val="0.16087354353583991"/>
          <c:y val="1.814768382200992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19215733894934"/>
          <c:y val="0.25055423407771388"/>
          <c:w val="0.74551879582094205"/>
          <c:h val="0.554877693579838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71D-440F-9DB3-6555AE26FD3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71D-440F-9DB3-6555AE26FD3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71D-440F-9DB3-6555AE26FD3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71D-440F-9DB3-6555AE26FD3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571D-440F-9DB3-6555AE26FD3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571D-440F-9DB3-6555AE26FD36}"/>
              </c:ext>
            </c:extLst>
          </c:dPt>
          <c:dLbls>
            <c:dLbl>
              <c:idx val="0"/>
              <c:layout>
                <c:manualLayout>
                  <c:x val="-0.273673232825419"/>
                  <c:y val="-0.1012994031810970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05050712309171"/>
                      <c:h val="0.136485210563321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71D-440F-9DB3-6555AE26FD36}"/>
                </c:ext>
              </c:extLst>
            </c:dLbl>
            <c:dLbl>
              <c:idx val="1"/>
              <c:layout>
                <c:manualLayout>
                  <c:x val="-5.2907652755009721E-3"/>
                  <c:y val="0.173722315123582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1D-440F-9DB3-6555AE26FD36}"/>
                </c:ext>
              </c:extLst>
            </c:dLbl>
            <c:dLbl>
              <c:idx val="2"/>
              <c:layout>
                <c:manualLayout>
                  <c:x val="-9.1636707399639535E-3"/>
                  <c:y val="6.777606594291656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7590845768833"/>
                      <c:h val="0.12427160722556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71D-440F-9DB3-6555AE26FD36}"/>
                </c:ext>
              </c:extLst>
            </c:dLbl>
            <c:dLbl>
              <c:idx val="3"/>
              <c:layout>
                <c:manualLayout>
                  <c:x val="-5.1742364949764148E-2"/>
                  <c:y val="-3.098306842390696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1D-440F-9DB3-6555AE26FD36}"/>
                </c:ext>
              </c:extLst>
            </c:dLbl>
            <c:dLbl>
              <c:idx val="4"/>
              <c:layout>
                <c:manualLayout>
                  <c:x val="0.21381719015772541"/>
                  <c:y val="5.822914174856497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63763841617742"/>
                      <c:h val="0.105205717584967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71D-440F-9DB3-6555AE26FD36}"/>
                </c:ext>
              </c:extLst>
            </c:dLbl>
            <c:dLbl>
              <c:idx val="5"/>
              <c:layout>
                <c:manualLayout>
                  <c:x val="5.8532253399846003E-2"/>
                  <c:y val="-2.0675334304382623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346167483370454"/>
                      <c:h val="8.86273262287259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71D-440F-9DB3-6555AE26FD3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'Ieņēmumi '!$B$2:$B$7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Maksas pakalpojumi un citi pašu ieņēmumi</c:v>
                </c:pt>
                <c:pt idx="3">
                  <c:v>Ārvalstu finanšu palīdzība</c:v>
                </c:pt>
                <c:pt idx="4">
                  <c:v>Transferti</c:v>
                </c:pt>
                <c:pt idx="5">
                  <c:v>Ziedojumi un dāvinājumi</c:v>
                </c:pt>
              </c:strCache>
            </c:strRef>
          </c:cat>
          <c:val>
            <c:numRef>
              <c:f>'Ieņēmumi '!$X$2:$X$7</c:f>
              <c:numCache>
                <c:formatCode>_-* #\ ##0.0_-;\-* #\ ##0.0_-;_-* "-"??_-;_-@_-</c:formatCode>
                <c:ptCount val="6"/>
                <c:pt idx="0">
                  <c:v>56.543455563992751</c:v>
                </c:pt>
                <c:pt idx="1">
                  <c:v>2.4823629467927577</c:v>
                </c:pt>
                <c:pt idx="2">
                  <c:v>4.2356688726101241</c:v>
                </c:pt>
                <c:pt idx="3">
                  <c:v>0.18027752928963947</c:v>
                </c:pt>
                <c:pt idx="4">
                  <c:v>36.5</c:v>
                </c:pt>
                <c:pt idx="5">
                  <c:v>6.4607352682709198E-3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71D-440F-9DB3-6555AE26FD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</a:t>
            </a:r>
            <a:r>
              <a:rPr lang="lv-LV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28</a:t>
            </a: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.02.2026.,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3941056910569105"/>
          <c:y val="2.01102699421672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068789268963034"/>
          <c:y val="0.17209778107239607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28F-4DBD-94C1-2FDF1F9BED7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28F-4DBD-94C1-2FDF1F9BED7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28F-4DBD-94C1-2FDF1F9BED7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28F-4DBD-94C1-2FDF1F9BED71}"/>
              </c:ext>
            </c:extLst>
          </c:dPt>
          <c:dLbls>
            <c:dLbl>
              <c:idx val="0"/>
              <c:layout>
                <c:manualLayout>
                  <c:x val="-0.10950019204916465"/>
                  <c:y val="0.1671481000635091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866093719992318"/>
                      <c:h val="0.132691047452044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28F-4DBD-94C1-2FDF1F9BED71}"/>
                </c:ext>
              </c:extLst>
            </c:dLbl>
            <c:dLbl>
              <c:idx val="1"/>
              <c:layout>
                <c:manualLayout>
                  <c:x val="0.1067465271109404"/>
                  <c:y val="7.0355145649620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8F-4DBD-94C1-2FDF1F9BED71}"/>
                </c:ext>
              </c:extLst>
            </c:dLbl>
            <c:dLbl>
              <c:idx val="2"/>
              <c:layout>
                <c:manualLayout>
                  <c:x val="-1.9074323026694835E-2"/>
                  <c:y val="0.1170010172711279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8F-4DBD-94C1-2FDF1F9BED71}"/>
                </c:ext>
              </c:extLst>
            </c:dLbl>
            <c:dLbl>
              <c:idx val="3"/>
              <c:layout>
                <c:manualLayout>
                  <c:x val="-0.1619985916394597"/>
                  <c:y val="-2.27819274196721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8F-4DBD-94C1-2FDF1F9BED7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eparator>
</c:separator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'!$X$2:$X$5</c:f>
              <c:numCache>
                <c:formatCode>0.0</c:formatCode>
                <c:ptCount val="4"/>
                <c:pt idx="0">
                  <c:v>86</c:v>
                </c:pt>
                <c:pt idx="1">
                  <c:v>12.539091913006656</c:v>
                </c:pt>
                <c:pt idx="2">
                  <c:v>6.1742769195032791E-2</c:v>
                </c:pt>
                <c:pt idx="3">
                  <c:v>1.3921554117550456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8F-4DBD-94C1-2FDF1F9BED7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izdevumi sadalījumā pa funkcijām </a:t>
            </a:r>
            <a:r>
              <a:rPr lang="lv-LV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uz 28.02.2026</a:t>
            </a: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izdevumiem kopā*</a:t>
            </a:r>
          </a:p>
        </c:rich>
      </c:tx>
      <c:layout>
        <c:manualLayout>
          <c:xMode val="edge"/>
          <c:yMode val="edge"/>
          <c:x val="0.15299609648814649"/>
          <c:y val="8.860678640714684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26122805207104"/>
          <c:y val="0.29083349196735031"/>
          <c:w val="0.71248919371260788"/>
          <c:h val="0.50890068208558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FF0-41AB-9627-CC9EABDF8C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FF0-41AB-9627-CC9EABDF8C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FF0-41AB-9627-CC9EABDF8CD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BFF0-41AB-9627-CC9EABDF8CD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BFF0-41AB-9627-CC9EABDF8CD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BFF0-41AB-9627-CC9EABDF8CD3}"/>
              </c:ext>
            </c:extLst>
          </c:dPt>
          <c:dPt>
            <c:idx val="6"/>
            <c:bubble3D val="0"/>
            <c:spPr>
              <a:solidFill>
                <a:srgbClr val="FF33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BFF0-41AB-9627-CC9EABDF8CD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BFF0-41AB-9627-CC9EABDF8CD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BFF0-41AB-9627-CC9EABDF8CD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BFF0-41AB-9627-CC9EABDF8CD3}"/>
              </c:ext>
            </c:extLst>
          </c:dPt>
          <c:dLbls>
            <c:dLbl>
              <c:idx val="0"/>
              <c:layout>
                <c:manualLayout>
                  <c:x val="-3.8610639292058539E-2"/>
                  <c:y val="-4.6099141936160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F0-41AB-9627-CC9EABDF8CD3}"/>
                </c:ext>
              </c:extLst>
            </c:dLbl>
            <c:dLbl>
              <c:idx val="1"/>
              <c:layout>
                <c:manualLayout>
                  <c:x val="8.3910912965028478E-2"/>
                  <c:y val="-8.94661878009062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F0-41AB-9627-CC9EABDF8CD3}"/>
                </c:ext>
              </c:extLst>
            </c:dLbl>
            <c:dLbl>
              <c:idx val="2"/>
              <c:layout>
                <c:manualLayout>
                  <c:x val="8.7880469647177023E-2"/>
                  <c:y val="1.66854928474254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F0-41AB-9627-CC9EABDF8CD3}"/>
                </c:ext>
              </c:extLst>
            </c:dLbl>
            <c:dLbl>
              <c:idx val="3"/>
              <c:layout>
                <c:manualLayout>
                  <c:x val="-0.19308857727742887"/>
                  <c:y val="2.04805168584696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F0-41AB-9627-CC9EABDF8CD3}"/>
                </c:ext>
              </c:extLst>
            </c:dLbl>
            <c:dLbl>
              <c:idx val="4"/>
              <c:layout>
                <c:manualLayout>
                  <c:x val="4.7464799574922036E-2"/>
                  <c:y val="2.377703804770594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FF0-41AB-9627-CC9EABDF8CD3}"/>
                </c:ext>
              </c:extLst>
            </c:dLbl>
            <c:dLbl>
              <c:idx val="5"/>
              <c:layout>
                <c:manualLayout>
                  <c:x val="6.9283859315707907E-2"/>
                  <c:y val="5.0427566944830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FF0-41AB-9627-CC9EABDF8CD3}"/>
                </c:ext>
              </c:extLst>
            </c:dLbl>
            <c:dLbl>
              <c:idx val="6"/>
              <c:layout>
                <c:manualLayout>
                  <c:x val="1.9036742966957326E-2"/>
                  <c:y val="1.6786473638927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FF0-41AB-9627-CC9EABDF8CD3}"/>
                </c:ext>
              </c:extLst>
            </c:dLbl>
            <c:dLbl>
              <c:idx val="7"/>
              <c:layout>
                <c:manualLayout>
                  <c:x val="-0.10050186638213456"/>
                  <c:y val="6.91771070825944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FF0-41AB-9627-CC9EABDF8CD3}"/>
                </c:ext>
              </c:extLst>
            </c:dLbl>
            <c:dLbl>
              <c:idx val="8"/>
              <c:layout>
                <c:manualLayout>
                  <c:x val="0.23825133333493326"/>
                  <c:y val="-0.182888985030717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9692832764507"/>
                      <c:h val="0.139718015665796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BFF0-41AB-9627-CC9EABDF8CD3}"/>
                </c:ext>
              </c:extLst>
            </c:dLbl>
            <c:dLbl>
              <c:idx val="9"/>
              <c:layout>
                <c:manualLayout>
                  <c:x val="2.16311205754465E-2"/>
                  <c:y val="-3.83135405334714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FF0-41AB-9627-CC9EABDF8CD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pēc funkcijām '!$B$3:$B$12</c:f>
              <c:strCache>
                <c:ptCount val="10"/>
                <c:pt idx="0">
                  <c:v>Vispārējie valdības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'Izdevumi pēc funkcijām '!$M$3:$M$12</c:f>
              <c:numCache>
                <c:formatCode>#\ ##0.0</c:formatCode>
                <c:ptCount val="10"/>
                <c:pt idx="0">
                  <c:v>13.078240766331751</c:v>
                </c:pt>
                <c:pt idx="1">
                  <c:v>1.115666699026327E-3</c:v>
                </c:pt>
                <c:pt idx="2">
                  <c:v>1.9316071911818158</c:v>
                </c:pt>
                <c:pt idx="3">
                  <c:v>14.279512330708089</c:v>
                </c:pt>
                <c:pt idx="4">
                  <c:v>0.99041378599564156</c:v>
                </c:pt>
                <c:pt idx="5">
                  <c:v>7.097083487637236</c:v>
                </c:pt>
                <c:pt idx="6">
                  <c:v>0.40793522514997232</c:v>
                </c:pt>
                <c:pt idx="7">
                  <c:v>5.9232951208370572</c:v>
                </c:pt>
                <c:pt idx="8">
                  <c:v>41.75167766907213</c:v>
                </c:pt>
                <c:pt idx="9">
                  <c:v>14.539118756387296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FF0-41AB-9627-CC9EABDF8CD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/>
              <a:t>Pašvaldību kopbudžeta faktiskie izdevumi </a:t>
            </a:r>
            <a:r>
              <a:rPr lang="lv-LV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uz 28.02.2026</a:t>
            </a:r>
            <a:r>
              <a:rPr lang="lv-LV" sz="1200"/>
              <a:t>., </a:t>
            </a:r>
            <a:r>
              <a:rPr lang="lv-LV" sz="1200" b="0" i="1"/>
              <a:t>% no </a:t>
            </a:r>
          </a:p>
          <a:p>
            <a:pPr>
              <a:defRPr sz="1200"/>
            </a:pPr>
            <a:r>
              <a:rPr lang="lv-LV" sz="1200" b="0" i="1"/>
              <a:t>izdevumiem kopā*</a:t>
            </a:r>
          </a:p>
        </c:rich>
      </c:tx>
      <c:layout>
        <c:manualLayout>
          <c:xMode val="edge"/>
          <c:yMode val="edge"/>
          <c:x val="0.18991492010790625"/>
          <c:y val="2.26820717510454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914054113229622E-2"/>
          <c:y val="0.27885305467002602"/>
          <c:w val="0.81613940933547879"/>
          <c:h val="0.584038835168454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A31-4826-AC2B-2F85B27C855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A31-4826-AC2B-2F85B27C855B}"/>
              </c:ext>
            </c:extLst>
          </c:dPt>
          <c:dLbls>
            <c:dLbl>
              <c:idx val="0"/>
              <c:layout>
                <c:manualLayout>
                  <c:x val="0.1298808925384308"/>
                  <c:y val="-0.36946170193914746"/>
                </c:manualLayout>
              </c:layout>
              <c:tx>
                <c:rich>
                  <a:bodyPr/>
                  <a:lstStyle/>
                  <a:p>
                    <a:fld id="{423A2DD0-82E3-4A86-B06E-86662F2441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A3B42D8-66D7-4729-B189-CA30D01028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180758142937"/>
                      <c:h val="0.150251210753467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A31-4826-AC2B-2F85B27C855B}"/>
                </c:ext>
              </c:extLst>
            </c:dLbl>
            <c:dLbl>
              <c:idx val="1"/>
              <c:layout>
                <c:manualLayout>
                  <c:x val="9.1858504160012254E-3"/>
                  <c:y val="-5.228171634384178E-2"/>
                </c:manualLayout>
              </c:layout>
              <c:tx>
                <c:rich>
                  <a:bodyPr/>
                  <a:lstStyle/>
                  <a:p>
                    <a:fld id="{B6C6CADC-3690-4577-8F14-817E3DCDEA2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9267EAD-3160-4A14-916F-16F8E36183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08099337759165"/>
                      <c:h val="8.894921754237086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A31-4826-AC2B-2F85B27C855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miter lim="800000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'!$B$3:$B$4</c:f>
              <c:strCache>
                <c:ptCount val="2"/>
                <c:pt idx="0">
                  <c:v>Uzturēšanas izdevumi</c:v>
                </c:pt>
                <c:pt idx="1">
                  <c:v>Kapitālie izdevumi</c:v>
                </c:pt>
              </c:strCache>
            </c:strRef>
          </c:cat>
          <c:val>
            <c:numRef>
              <c:f>'Izdevumi '!$W$3:$W$4</c:f>
              <c:numCache>
                <c:formatCode>#\ ##0.0</c:formatCode>
                <c:ptCount val="2"/>
                <c:pt idx="0">
                  <c:v>525.66525000000001</c:v>
                </c:pt>
                <c:pt idx="1">
                  <c:v>63.610430999999998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31-4826-AC2B-2F85B27C855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0.58882</cdr:x>
      <cdr:y>0.95435</cdr:y>
    </cdr:from>
    <cdr:to>
      <cdr:x>0.99204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03633" y="3809999"/>
          <a:ext cx="2467758" cy="1822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*Pašvaldību pamatbudžets un ziedojumi un dāvinājumi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0.3889</cdr:x>
      <cdr:y>0.95865</cdr:y>
    </cdr:from>
    <cdr:to>
      <cdr:x>0.99064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29977" y="4264254"/>
          <a:ext cx="3759912" cy="1839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0.35154</cdr:x>
      <cdr:y>0.94945</cdr:y>
    </cdr:from>
    <cdr:to>
      <cdr:x>0.99048</cdr:x>
      <cdr:y>0.99636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97232" y="4114800"/>
          <a:ext cx="3993570" cy="203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0.47658</cdr:x>
      <cdr:y>0.955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6732" y="3815016"/>
          <a:ext cx="3203398" cy="1797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f3215d-01f7-4578-859e-d76708405c9e" xsi:nil="true"/>
    <lcf76f155ced4ddcb4097134ff3c332f xmlns="b99bf0c4-4503-4a3c-9d96-19981fcee4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B5E7D93344A654A8FEA6D64BD09EFA3" ma:contentTypeVersion="13" ma:contentTypeDescription="Izveidot jaunu dokumentu." ma:contentTypeScope="" ma:versionID="80206128716ea8b810a190f117cee2db">
  <xsd:schema xmlns:xsd="http://www.w3.org/2001/XMLSchema" xmlns:xs="http://www.w3.org/2001/XMLSchema" xmlns:p="http://schemas.microsoft.com/office/2006/metadata/properties" xmlns:ns1="http://schemas.microsoft.com/sharepoint/v3" xmlns:ns2="b99bf0c4-4503-4a3c-9d96-19981fcee4fa" xmlns:ns3="c5f3215d-01f7-4578-859e-d76708405c9e" targetNamespace="http://schemas.microsoft.com/office/2006/metadata/properties" ma:root="true" ma:fieldsID="dbc1c5eaca8201006ce1f5a257d026d0" ns1:_="" ns2:_="" ns3:_="">
    <xsd:import namespace="http://schemas.microsoft.com/sharepoint/v3"/>
    <xsd:import namespace="b99bf0c4-4503-4a3c-9d96-19981fcee4fa"/>
    <xsd:import namespace="c5f3215d-01f7-4578-859e-d76708405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bf0c4-4503-4a3c-9d96-19981fcee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215d-01f7-4578-859e-d76708405c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5b21da-5204-4e10-98a7-03130a0e7422}" ma:internalName="TaxCatchAll" ma:showField="CatchAllData" ma:web="c5f3215d-01f7-4578-859e-d76708405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E097E-66F4-4F58-96B0-35A9CE64B8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f3215d-01f7-4578-859e-d76708405c9e"/>
    <ds:schemaRef ds:uri="b99bf0c4-4503-4a3c-9d96-19981fcee4fa"/>
  </ds:schemaRefs>
</ds:datastoreItem>
</file>

<file path=customXml/itemProps2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CFA0D-6B6F-4C6B-94F8-0463040AD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796DD-4FD4-4948-B108-973E9627E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bf0c4-4503-4a3c-9d96-19981fcee4fa"/>
    <ds:schemaRef ds:uri="c5f3215d-01f7-4578-859e-d76708405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Līga Rimšāne</cp:lastModifiedBy>
  <cp:revision>134</cp:revision>
  <dcterms:created xsi:type="dcterms:W3CDTF">2022-09-28T09:53:00Z</dcterms:created>
  <dcterms:modified xsi:type="dcterms:W3CDTF">2026-03-26T09:13:00Z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0x0101008B5E7D93344A654A8FEA6D64BD09EFA3</vt:lpwstr>
  </property>
  <property fmtid="{D5CDD505-2E9C-101B-9397-08002B2CF9AE}" pid="3" name="MediaServiceImageTags">
    <vt:lpwstr/>
  </property>
</Properties>
</file>