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6EC4" w14:textId="77777777" w:rsidR="00AA5398" w:rsidRDefault="00A34D41" w:rsidP="00AA5398">
      <w:pPr>
        <w:spacing w:after="0" w:line="240" w:lineRule="auto"/>
        <w:jc w:val="center"/>
        <w:rPr>
          <w:b/>
          <w:bCs/>
          <w:sz w:val="24"/>
          <w:szCs w:val="24"/>
          <w:u w:val="single"/>
        </w:rPr>
      </w:pPr>
      <w:r w:rsidRPr="00AA5398">
        <w:rPr>
          <w:b/>
          <w:bCs/>
          <w:sz w:val="24"/>
          <w:szCs w:val="24"/>
          <w:u w:val="single"/>
        </w:rPr>
        <w:t xml:space="preserve">Vadlīnijas </w:t>
      </w:r>
      <w:r w:rsidR="0010134A" w:rsidRPr="00AA5398">
        <w:rPr>
          <w:b/>
          <w:bCs/>
          <w:sz w:val="24"/>
          <w:szCs w:val="24"/>
          <w:u w:val="single"/>
        </w:rPr>
        <w:t xml:space="preserve">sākotnējai </w:t>
      </w:r>
      <w:r w:rsidRPr="00AA5398">
        <w:rPr>
          <w:b/>
          <w:bCs/>
          <w:sz w:val="24"/>
          <w:szCs w:val="24"/>
          <w:u w:val="single"/>
        </w:rPr>
        <w:t xml:space="preserve">valsts budžeta </w:t>
      </w:r>
      <w:r w:rsidR="0077158A" w:rsidRPr="00AA5398">
        <w:rPr>
          <w:b/>
          <w:bCs/>
          <w:sz w:val="24"/>
          <w:szCs w:val="24"/>
          <w:u w:val="single"/>
        </w:rPr>
        <w:t xml:space="preserve">datu </w:t>
      </w:r>
      <w:proofErr w:type="spellStart"/>
      <w:r w:rsidR="0010134A" w:rsidRPr="00AA5398">
        <w:rPr>
          <w:b/>
          <w:bCs/>
          <w:sz w:val="24"/>
          <w:szCs w:val="24"/>
          <w:u w:val="single"/>
        </w:rPr>
        <w:t>uzpildei</w:t>
      </w:r>
      <w:proofErr w:type="spellEnd"/>
      <w:r w:rsidR="0010134A" w:rsidRPr="00AA5398">
        <w:rPr>
          <w:b/>
          <w:bCs/>
          <w:sz w:val="24"/>
          <w:szCs w:val="24"/>
          <w:u w:val="single"/>
        </w:rPr>
        <w:t xml:space="preserve"> </w:t>
      </w:r>
    </w:p>
    <w:p w14:paraId="4E063BB6" w14:textId="77777777" w:rsidR="00CD3262" w:rsidRDefault="0010134A" w:rsidP="00AA5398">
      <w:pPr>
        <w:spacing w:after="0" w:line="240" w:lineRule="auto"/>
        <w:jc w:val="center"/>
        <w:rPr>
          <w:b/>
          <w:bCs/>
          <w:sz w:val="24"/>
          <w:szCs w:val="24"/>
          <w:u w:val="single"/>
        </w:rPr>
      </w:pPr>
      <w:r w:rsidRPr="00AA5398">
        <w:rPr>
          <w:b/>
          <w:bCs/>
          <w:sz w:val="24"/>
          <w:szCs w:val="24"/>
          <w:u w:val="single"/>
        </w:rPr>
        <w:t>Budžeta plānošanas un finanšu vadības</w:t>
      </w:r>
      <w:r w:rsidR="00CD3262">
        <w:rPr>
          <w:b/>
          <w:bCs/>
          <w:sz w:val="24"/>
          <w:szCs w:val="24"/>
          <w:u w:val="single"/>
        </w:rPr>
        <w:t xml:space="preserve"> risinājuma</w:t>
      </w:r>
      <w:r w:rsidRPr="00AA5398">
        <w:rPr>
          <w:b/>
          <w:bCs/>
          <w:sz w:val="24"/>
          <w:szCs w:val="24"/>
          <w:u w:val="single"/>
        </w:rPr>
        <w:t xml:space="preserve"> (BPFV</w:t>
      </w:r>
      <w:r w:rsidR="00CD3262">
        <w:rPr>
          <w:b/>
          <w:bCs/>
          <w:sz w:val="24"/>
          <w:szCs w:val="24"/>
          <w:u w:val="single"/>
        </w:rPr>
        <w:t>R</w:t>
      </w:r>
      <w:r w:rsidRPr="00AA5398">
        <w:rPr>
          <w:b/>
          <w:bCs/>
          <w:sz w:val="24"/>
          <w:szCs w:val="24"/>
          <w:u w:val="single"/>
        </w:rPr>
        <w:t xml:space="preserve">) </w:t>
      </w:r>
    </w:p>
    <w:p w14:paraId="7D5C05B5" w14:textId="4A33984B" w:rsidR="00825E06" w:rsidRPr="00AA5398" w:rsidRDefault="00CD3262" w:rsidP="00AA5398">
      <w:pPr>
        <w:spacing w:after="0" w:line="240" w:lineRule="auto"/>
        <w:jc w:val="center"/>
        <w:rPr>
          <w:b/>
          <w:bCs/>
          <w:sz w:val="24"/>
          <w:szCs w:val="24"/>
          <w:u w:val="single"/>
        </w:rPr>
      </w:pPr>
      <w:r>
        <w:rPr>
          <w:b/>
          <w:bCs/>
          <w:sz w:val="24"/>
          <w:szCs w:val="24"/>
          <w:u w:val="single"/>
        </w:rPr>
        <w:t>Vidēja termiņa budžeta plānošanas (VTBP) funkcionalitātē</w:t>
      </w:r>
    </w:p>
    <w:p w14:paraId="394248DD" w14:textId="77777777" w:rsidR="00AA5398" w:rsidRPr="005A2D4E" w:rsidRDefault="00AA5398" w:rsidP="005A2D4E">
      <w:pPr>
        <w:jc w:val="center"/>
        <w:rPr>
          <w:u w:val="single"/>
        </w:rPr>
      </w:pPr>
    </w:p>
    <w:p w14:paraId="68215763" w14:textId="082DF8E4" w:rsidR="00A34D41" w:rsidRDefault="00A34D41" w:rsidP="007179DD">
      <w:pPr>
        <w:jc w:val="both"/>
      </w:pPr>
      <w:r>
        <w:t xml:space="preserve">Sākot ar </w:t>
      </w:r>
      <w:r w:rsidR="0010134A">
        <w:t>budžeta i</w:t>
      </w:r>
      <w:r>
        <w:t xml:space="preserve">etvaru 2027-2030.gadam budžeta plānošanā tiks izmantota jauna </w:t>
      </w:r>
      <w:r w:rsidR="00CD3262">
        <w:t xml:space="preserve">informācijas </w:t>
      </w:r>
      <w:r>
        <w:t>sistēma</w:t>
      </w:r>
      <w:r w:rsidR="00CD3262">
        <w:t xml:space="preserve">, kurā tiek izstrādāta BPFVR VTBP funkcionalitāte, kas būs pieejama </w:t>
      </w:r>
      <w:r w:rsidR="00933687" w:rsidRPr="00933687">
        <w:t>Valsts kases e</w:t>
      </w:r>
      <w:r w:rsidR="00CD3262">
        <w:t>-p</w:t>
      </w:r>
      <w:r w:rsidR="00933687" w:rsidRPr="00933687">
        <w:t>akalpojumu portāla sadaļā "Budžets"</w:t>
      </w:r>
      <w:r w:rsidR="00933687">
        <w:t xml:space="preserve"> </w:t>
      </w:r>
      <w:r w:rsidR="00D602CB">
        <w:t xml:space="preserve">– </w:t>
      </w:r>
      <w:proofErr w:type="spellStart"/>
      <w:r w:rsidR="00D602CB">
        <w:t>apakšsadaļā</w:t>
      </w:r>
      <w:proofErr w:type="spellEnd"/>
      <w:r w:rsidR="00D602CB">
        <w:t xml:space="preserve"> “Budžeta plānošana”</w:t>
      </w:r>
      <w:r>
        <w:t>.</w:t>
      </w:r>
    </w:p>
    <w:p w14:paraId="3C042A56" w14:textId="0EB3CB4A" w:rsidR="00042441" w:rsidRDefault="00042441" w:rsidP="007179DD">
      <w:pPr>
        <w:jc w:val="both"/>
      </w:pPr>
      <w:r>
        <w:t xml:space="preserve">Normatīvā regulējuma izmaiņas </w:t>
      </w:r>
      <w:r w:rsidR="0010134A">
        <w:t>saistībā ar pāreju uz jauno</w:t>
      </w:r>
      <w:r w:rsidR="0010134A" w:rsidRPr="00042441">
        <w:t xml:space="preserve"> </w:t>
      </w:r>
      <w:r w:rsidR="00CD3262">
        <w:t xml:space="preserve">VTBP funkcionalitāti </w:t>
      </w:r>
      <w:r>
        <w:t>ir izstrādes procesā</w:t>
      </w:r>
      <w:r w:rsidR="004648FF">
        <w:t>, un tās regulēs budžeta bāzes precizēšanas procesu sākot ar budžeta ietvaru 2027-2030.gadu periodam</w:t>
      </w:r>
      <w:r>
        <w:t>.</w:t>
      </w:r>
    </w:p>
    <w:p w14:paraId="69473FDC" w14:textId="38D853AE" w:rsidR="004648FF" w:rsidRDefault="004648FF" w:rsidP="007179DD">
      <w:pPr>
        <w:jc w:val="both"/>
      </w:pPr>
      <w:r>
        <w:t>Šo vadlīniju mērķis ir sniegt metodiskos norādījumus un skaidrojumu valsts budžeta iestādēm (turpmāk – iestāde) valsts bud</w:t>
      </w:r>
      <w:r w:rsidR="00D03672">
        <w:t>ž</w:t>
      </w:r>
      <w:r>
        <w:t xml:space="preserve">eta datu sākotnējai ievadei </w:t>
      </w:r>
      <w:r w:rsidR="00CD3262">
        <w:t>VTBP funkcionalitātē</w:t>
      </w:r>
      <w:r>
        <w:t xml:space="preserve">, kas kalpos par pamatu turpmāko </w:t>
      </w:r>
      <w:r w:rsidR="00D03672">
        <w:t>budžeta ietvaru izstrādei.</w:t>
      </w:r>
    </w:p>
    <w:p w14:paraId="40566938" w14:textId="5B6047A9" w:rsidR="00A34D41" w:rsidRDefault="00A34D41" w:rsidP="007179DD">
      <w:pPr>
        <w:jc w:val="both"/>
      </w:pPr>
      <w:r>
        <w:t xml:space="preserve">Lai uzsāktu jauno Ietvara </w:t>
      </w:r>
      <w:r w:rsidR="0010134A">
        <w:t>2027</w:t>
      </w:r>
      <w:r w:rsidR="00AA5398">
        <w:t>.</w:t>
      </w:r>
      <w:r w:rsidR="0010134A">
        <w:t>-2030</w:t>
      </w:r>
      <w:r w:rsidR="00AA5398">
        <w:t>.</w:t>
      </w:r>
      <w:r w:rsidR="0010134A">
        <w:t xml:space="preserve"> </w:t>
      </w:r>
      <w:r>
        <w:t>veidošan</w:t>
      </w:r>
      <w:r w:rsidR="0010134A">
        <w:t>u</w:t>
      </w:r>
      <w:r w:rsidR="00CD3262">
        <w:t>,</w:t>
      </w:r>
      <w:r>
        <w:t xml:space="preserve"> ir nepieciešams uzpildīt </w:t>
      </w:r>
      <w:r w:rsidR="00D602CB">
        <w:t>VTBP funkcionalitāti</w:t>
      </w:r>
      <w:r w:rsidR="00933687">
        <w:t xml:space="preserve"> </w:t>
      </w:r>
      <w:r>
        <w:t>ar datiem</w:t>
      </w:r>
      <w:r w:rsidR="00D03672">
        <w:t xml:space="preserve"> par</w:t>
      </w:r>
      <w:r w:rsidR="001C5B01">
        <w:t xml:space="preserve"> </w:t>
      </w:r>
      <w:r w:rsidR="00D03672">
        <w:t>2026.-2029.gadu periodu</w:t>
      </w:r>
      <w:r>
        <w:t>:</w:t>
      </w:r>
    </w:p>
    <w:p w14:paraId="1982440A" w14:textId="1EEDE4F8" w:rsidR="001C5B01" w:rsidRDefault="001C5B01" w:rsidP="001C5B01">
      <w:pPr>
        <w:pStyle w:val="ListParagraph"/>
        <w:numPr>
          <w:ilvl w:val="0"/>
          <w:numId w:val="1"/>
        </w:numPr>
        <w:jc w:val="both"/>
      </w:pPr>
      <w:r>
        <w:t xml:space="preserve">portālā Budžets ievada datus par </w:t>
      </w:r>
      <w:r w:rsidRPr="00A34D41">
        <w:t>2026.-2028.gad</w:t>
      </w:r>
      <w:r>
        <w:t>iem (n+1, n+2, n+3) atbilstoši</w:t>
      </w:r>
      <w:r w:rsidRPr="00A34D41">
        <w:t xml:space="preserve"> apstiprināt</w:t>
      </w:r>
      <w:r>
        <w:t>ajam</w:t>
      </w:r>
      <w:r w:rsidRPr="00A34D41">
        <w:t xml:space="preserve"> </w:t>
      </w:r>
      <w:r>
        <w:t>l</w:t>
      </w:r>
      <w:r w:rsidRPr="00A34D41">
        <w:t xml:space="preserve">ikumam </w:t>
      </w:r>
      <w:r>
        <w:t>“P</w:t>
      </w:r>
      <w:r w:rsidRPr="00A34D41">
        <w:t>ar valsts budžetu 2026.gadam un budžeta ietvaru 2026., 2027. un 2028. gadam</w:t>
      </w:r>
      <w:r>
        <w:t>”</w:t>
      </w:r>
      <w:r w:rsidR="00AA040E">
        <w:t>. Par 2026.gadu datus ievada atbilstoši finansēšanas plānu sākotnējai (negrozītajai) versijai (kāda tā ir uz 01.01.2026.)</w:t>
      </w:r>
    </w:p>
    <w:p w14:paraId="085FDCCB" w14:textId="676493D7" w:rsidR="001C5B01" w:rsidRDefault="001C5B01" w:rsidP="008912ED">
      <w:pPr>
        <w:pStyle w:val="ListParagraph"/>
        <w:numPr>
          <w:ilvl w:val="0"/>
          <w:numId w:val="1"/>
        </w:numPr>
        <w:jc w:val="both"/>
      </w:pPr>
      <w:r>
        <w:t xml:space="preserve">datus par </w:t>
      </w:r>
      <w:r w:rsidRPr="00A34D41">
        <w:t>2029.gad</w:t>
      </w:r>
      <w:r>
        <w:t>u (n+4) ievada atbilstoši</w:t>
      </w:r>
      <w:r w:rsidRPr="00A34D41">
        <w:t xml:space="preserve"> </w:t>
      </w:r>
      <w:r>
        <w:t>aprēķinātajiem mērķa griestiem 2029. gadam, kā arī izmaiņām atbilstoši likumprojekta “Par valsts budžetu 2026.gadam un budžeta ietvaru 2026., 2027. un 2028.gadam” Saeimā 2.lasījumā pieņemtajiem lēmumiem, kuriem ir ietekme uz 2029. gadu</w:t>
      </w:r>
      <w:r w:rsidRPr="00A34D41">
        <w:t>.</w:t>
      </w:r>
      <w:r>
        <w:t xml:space="preserve"> N</w:t>
      </w:r>
      <w:r w:rsidRPr="00914650">
        <w:t>epieciešamības gadījumā</w:t>
      </w:r>
      <w:r>
        <w:t xml:space="preserve"> ministrijas un citas centrālās valsts iestādes</w:t>
      </w:r>
      <w:r w:rsidRPr="00914650">
        <w:t xml:space="preserve"> </w:t>
      </w:r>
      <w:r>
        <w:t>(turpmāk – ministrija)</w:t>
      </w:r>
      <w:r w:rsidRPr="00914650">
        <w:t xml:space="preserve"> </w:t>
      </w:r>
      <w:r>
        <w:t xml:space="preserve">pēc </w:t>
      </w:r>
      <w:r w:rsidR="008D01EC">
        <w:t>F</w:t>
      </w:r>
      <w:r>
        <w:t xml:space="preserve">inanšu ministrijas pieprasījuma </w:t>
      </w:r>
      <w:r w:rsidRPr="00914650">
        <w:t>sniedz papildu informāciju</w:t>
      </w:r>
      <w:r>
        <w:t>.</w:t>
      </w:r>
    </w:p>
    <w:p w14:paraId="3B716EB1" w14:textId="68BA46B2" w:rsidR="00A21A59" w:rsidRDefault="001C5B01" w:rsidP="008912ED">
      <w:pPr>
        <w:jc w:val="both"/>
      </w:pPr>
      <w:r>
        <w:t>Iestādes uzpilda datus, ievērojot budžeta plānošanai no 2027.gada ministrijas izstrādāto jauno budžeta programmu un apakšprogrammu struktūru, kas saskaņota ar Finanšu ministriju</w:t>
      </w:r>
      <w:r w:rsidR="008E4B35" w:rsidRPr="008E4B35">
        <w:t xml:space="preserve"> </w:t>
      </w:r>
      <w:r w:rsidR="008E4B35">
        <w:t xml:space="preserve">(tehniski, </w:t>
      </w:r>
      <w:r w:rsidR="00A21A59">
        <w:t>ministrijas</w:t>
      </w:r>
      <w:r w:rsidR="008E4B35" w:rsidRPr="008E4B35">
        <w:t xml:space="preserve"> lietotājs ar tiesībām "Vadīt" var izveidot </w:t>
      </w:r>
      <w:r w:rsidR="008E4B35">
        <w:t xml:space="preserve">un ievadīt </w:t>
      </w:r>
      <w:r w:rsidR="008E4B35" w:rsidRPr="008E4B35">
        <w:t>pilnu resora budžeta plānu struktūru</w:t>
      </w:r>
      <w:r w:rsidR="008E4B35">
        <w:t>).</w:t>
      </w:r>
      <w:r>
        <w:t xml:space="preserve"> Iestādes ievada datus  budžeta plānu līmenī paplašinātajā </w:t>
      </w:r>
      <w:r w:rsidR="00106FC5">
        <w:t>ekonomiskās klasifikācijas kodu (</w:t>
      </w:r>
      <w:r>
        <w:t>EKK</w:t>
      </w:r>
      <w:r w:rsidR="00106FC5">
        <w:t>)</w:t>
      </w:r>
      <w:r>
        <w:t xml:space="preserve"> detalizācijā.</w:t>
      </w:r>
    </w:p>
    <w:p w14:paraId="664B60F3" w14:textId="3EB45438" w:rsidR="00A8244D" w:rsidRDefault="00A8244D" w:rsidP="007179DD">
      <w:pPr>
        <w:jc w:val="both"/>
      </w:pPr>
      <w:r>
        <w:t xml:space="preserve">Paplašinātā EKK detalizācija – 05.06.2025. prezentācija tika skaidrots, ka tā ir </w:t>
      </w:r>
      <w:r w:rsidRPr="00A8244D">
        <w:t>pašreizējā valsts budžeta likuma 4.</w:t>
      </w:r>
      <w:r>
        <w:t xml:space="preserve"> un 5. </w:t>
      </w:r>
      <w:r w:rsidRPr="00A8244D">
        <w:t>pielikuma detalizācija</w:t>
      </w:r>
      <w:r>
        <w:t xml:space="preserve">. </w:t>
      </w:r>
    </w:p>
    <w:p w14:paraId="5DFB4860" w14:textId="08CE80DB" w:rsidR="00A8244D" w:rsidRDefault="00A8244D" w:rsidP="007179DD">
      <w:pPr>
        <w:jc w:val="both"/>
      </w:pPr>
      <w:r>
        <w:t xml:space="preserve">Izmaiņas pret pašreizējo EKK </w:t>
      </w:r>
      <w:r w:rsidR="00B627AC">
        <w:t>struktūru</w:t>
      </w:r>
      <w:r>
        <w:t>:</w:t>
      </w:r>
    </w:p>
    <w:p w14:paraId="293A41D3" w14:textId="7602194C" w:rsidR="00A8244D" w:rsidRDefault="00A8244D" w:rsidP="00A8244D">
      <w:pPr>
        <w:pStyle w:val="ListParagraph"/>
        <w:numPr>
          <w:ilvl w:val="0"/>
          <w:numId w:val="3"/>
        </w:numPr>
        <w:jc w:val="both"/>
      </w:pPr>
      <w:r>
        <w:t xml:space="preserve">Ieņēmumu un izdevumu struktūras summārie līmeņi ir precizēti atbilstoši </w:t>
      </w:r>
      <w:r w:rsidR="00106FC5" w:rsidRPr="0010134A">
        <w:t xml:space="preserve">Ministru kabineta </w:t>
      </w:r>
      <w:r>
        <w:t xml:space="preserve">noteikumos par ieņēmumu un izdevumu klasifikāciju izmantotajām grupām un apakšgrupām. </w:t>
      </w:r>
    </w:p>
    <w:p w14:paraId="37C9F0C7" w14:textId="22CC4FD6" w:rsidR="00A8244D" w:rsidRDefault="00B627AC" w:rsidP="00A8244D">
      <w:pPr>
        <w:pStyle w:val="ListParagraph"/>
        <w:numPr>
          <w:ilvl w:val="0"/>
          <w:numId w:val="3"/>
        </w:numPr>
        <w:jc w:val="both"/>
      </w:pPr>
      <w:r w:rsidRPr="00B627AC">
        <w:rPr>
          <w:noProof/>
        </w:rPr>
        <w:drawing>
          <wp:anchor distT="0" distB="0" distL="114300" distR="114300" simplePos="0" relativeHeight="251658240" behindDoc="0" locked="0" layoutInCell="1" allowOverlap="1" wp14:anchorId="06DD7011" wp14:editId="73087DE7">
            <wp:simplePos x="0" y="0"/>
            <wp:positionH relativeFrom="column">
              <wp:posOffset>3810</wp:posOffset>
            </wp:positionH>
            <wp:positionV relativeFrom="paragraph">
              <wp:posOffset>185420</wp:posOffset>
            </wp:positionV>
            <wp:extent cx="3240405" cy="1097280"/>
            <wp:effectExtent l="0" t="0" r="0" b="7620"/>
            <wp:wrapSquare wrapText="bothSides"/>
            <wp:docPr id="862112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2585" name=""/>
                    <pic:cNvPicPr/>
                  </pic:nvPicPr>
                  <pic:blipFill>
                    <a:blip r:embed="rId6">
                      <a:extLst>
                        <a:ext uri="{28A0092B-C50C-407E-A947-70E740481C1C}">
                          <a14:useLocalDpi xmlns:a14="http://schemas.microsoft.com/office/drawing/2010/main" val="0"/>
                        </a:ext>
                      </a:extLst>
                    </a:blip>
                    <a:stretch>
                      <a:fillRect/>
                    </a:stretch>
                  </pic:blipFill>
                  <pic:spPr>
                    <a:xfrm>
                      <a:off x="0" y="0"/>
                      <a:ext cx="3240405" cy="1097280"/>
                    </a:xfrm>
                    <a:prstGeom prst="rect">
                      <a:avLst/>
                    </a:prstGeom>
                  </pic:spPr>
                </pic:pic>
              </a:graphicData>
            </a:graphic>
            <wp14:sizeRelH relativeFrom="page">
              <wp14:pctWidth>0</wp14:pctWidth>
            </wp14:sizeRelH>
            <wp14:sizeRelV relativeFrom="page">
              <wp14:pctHeight>0</wp14:pctHeight>
            </wp14:sizeRelV>
          </wp:anchor>
        </w:drawing>
      </w:r>
      <w:r w:rsidR="00A8244D">
        <w:t xml:space="preserve">Pamatbudžeta un speciālā </w:t>
      </w:r>
      <w:r>
        <w:t>budžeta ieņēmumu kopā līmenis ir novienādots.</w:t>
      </w:r>
    </w:p>
    <w:p w14:paraId="3D29B56C" w14:textId="15DB8D66" w:rsidR="00B627AC" w:rsidRDefault="00B627AC" w:rsidP="001C5B01">
      <w:pPr>
        <w:pStyle w:val="ListParagraph"/>
        <w:jc w:val="both"/>
      </w:pPr>
      <w:r w:rsidRPr="00B627AC">
        <w:rPr>
          <w:noProof/>
        </w:rPr>
        <w:drawing>
          <wp:inline distT="0" distB="0" distL="0" distR="0" wp14:anchorId="2B5B9B22" wp14:editId="321475C3">
            <wp:extent cx="3097519" cy="1184745"/>
            <wp:effectExtent l="0" t="0" r="8255" b="0"/>
            <wp:docPr id="1886278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8416" name=""/>
                    <pic:cNvPicPr/>
                  </pic:nvPicPr>
                  <pic:blipFill>
                    <a:blip r:embed="rId7"/>
                    <a:stretch>
                      <a:fillRect/>
                    </a:stretch>
                  </pic:blipFill>
                  <pic:spPr>
                    <a:xfrm>
                      <a:off x="0" y="0"/>
                      <a:ext cx="3129327" cy="1196911"/>
                    </a:xfrm>
                    <a:prstGeom prst="rect">
                      <a:avLst/>
                    </a:prstGeom>
                  </pic:spPr>
                </pic:pic>
              </a:graphicData>
            </a:graphic>
          </wp:inline>
        </w:drawing>
      </w:r>
    </w:p>
    <w:p w14:paraId="6FE136D8" w14:textId="259408E0" w:rsidR="00D602CB" w:rsidRDefault="00B627AC" w:rsidP="001C5B01">
      <w:pPr>
        <w:pStyle w:val="ListParagraph"/>
        <w:numPr>
          <w:ilvl w:val="0"/>
          <w:numId w:val="3"/>
        </w:numPr>
        <w:jc w:val="both"/>
      </w:pPr>
      <w:r>
        <w:t>F</w:t>
      </w:r>
      <w:r w:rsidR="00A8244D">
        <w:t>inansēšanas daļā vienādota rādītāju detalizācija līdz pirmajam līmenim</w:t>
      </w:r>
      <w:r>
        <w:t>.</w:t>
      </w:r>
    </w:p>
    <w:p w14:paraId="1D72CE83" w14:textId="770695F3" w:rsidR="00D602CB" w:rsidRDefault="00A8244D" w:rsidP="001C5B01">
      <w:pPr>
        <w:jc w:val="center"/>
      </w:pPr>
      <w:r w:rsidRPr="00A8244D">
        <w:rPr>
          <w:noProof/>
        </w:rPr>
        <w:drawing>
          <wp:inline distT="0" distB="0" distL="0" distR="0" wp14:anchorId="52B37A8C" wp14:editId="5D9D072C">
            <wp:extent cx="3538330" cy="1407905"/>
            <wp:effectExtent l="0" t="0" r="5080" b="1905"/>
            <wp:docPr id="13968214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21455" name=""/>
                    <pic:cNvPicPr/>
                  </pic:nvPicPr>
                  <pic:blipFill rotWithShape="1">
                    <a:blip r:embed="rId8"/>
                    <a:srcRect t="31227"/>
                    <a:stretch/>
                  </pic:blipFill>
                  <pic:spPr bwMode="auto">
                    <a:xfrm>
                      <a:off x="0" y="0"/>
                      <a:ext cx="3555361" cy="1414682"/>
                    </a:xfrm>
                    <a:prstGeom prst="rect">
                      <a:avLst/>
                    </a:prstGeom>
                    <a:ln>
                      <a:noFill/>
                    </a:ln>
                    <a:extLst>
                      <a:ext uri="{53640926-AAD7-44D8-BBD7-CCE9431645EC}">
                        <a14:shadowObscured xmlns:a14="http://schemas.microsoft.com/office/drawing/2010/main"/>
                      </a:ext>
                    </a:extLst>
                  </pic:spPr>
                </pic:pic>
              </a:graphicData>
            </a:graphic>
          </wp:inline>
        </w:drawing>
      </w:r>
    </w:p>
    <w:p w14:paraId="3F45B5E9" w14:textId="77777777" w:rsidR="00737322" w:rsidRDefault="00737322" w:rsidP="00737322">
      <w:pPr>
        <w:jc w:val="both"/>
      </w:pPr>
      <w:r>
        <w:lastRenderedPageBreak/>
        <w:t>Datu ievades procesā dati tiek ievadīti pēc diviem principiem, ņemot vērā to “svārstīguma” dabu, t.i., vai pasākums/aktivitāte plānojas kā ikgadēji turpināms lielums turpmākā laika periodā, vai par pasākumu/aktivitāti ir zināms vai paredzams, ka tā periodiski mainās vai beidzas noteiktā laikā:</w:t>
      </w:r>
    </w:p>
    <w:p w14:paraId="45A1E63E" w14:textId="19390990" w:rsidR="00FB7FD0" w:rsidRDefault="00FB7FD0" w:rsidP="00FB7FD0">
      <w:pPr>
        <w:jc w:val="both"/>
      </w:pPr>
      <w:r>
        <w:t xml:space="preserve">1. ikgadēji turpināmiem pasākumiem budžeta plānā tiek ievadīta plānotā summa ietvara (2026-2029) gadiem un  tiek aizpildīta </w:t>
      </w:r>
      <w:r w:rsidR="004063D9">
        <w:t xml:space="preserve">aile  </w:t>
      </w:r>
      <w:r>
        <w:t>“</w:t>
      </w:r>
      <w:r w:rsidR="004063D9">
        <w:t>T</w:t>
      </w:r>
      <w:r>
        <w:t xml:space="preserve">urpmāk ik gadu”, norādot 2029. gadam ievadīto apmēru. Ja </w:t>
      </w:r>
      <w:r w:rsidR="004063D9">
        <w:t xml:space="preserve">aile </w:t>
      </w:r>
      <w:r>
        <w:t>“</w:t>
      </w:r>
      <w:r w:rsidR="004063D9">
        <w:t>T</w:t>
      </w:r>
      <w:r>
        <w:t xml:space="preserve">urpmāk ik gadu” ievadītā summa nav vienāda ar 2029.gadam ievadīto apmēru (lielāka vai mazāka), tad budžeta plāna </w:t>
      </w:r>
      <w:r w:rsidR="00AA0EF0">
        <w:t xml:space="preserve">redakcijas </w:t>
      </w:r>
      <w:r>
        <w:t xml:space="preserve">piezīmēs sniedz skaidrojumu/pamatojumu datu atšķirībai (norāda lēmumus vai citu skaidrojumu). </w:t>
      </w:r>
    </w:p>
    <w:p w14:paraId="6F0AA8C5" w14:textId="35B39C0A" w:rsidR="00FB7FD0" w:rsidRDefault="00FB7FD0" w:rsidP="00FB7FD0">
      <w:pPr>
        <w:jc w:val="both"/>
      </w:pPr>
      <w:r>
        <w:t>2. periodiski mainīgiem vai laikā terminētiem pasākumiem budžeta plān</w:t>
      </w:r>
      <w:r w:rsidR="00B350AB">
        <w:t>a</w:t>
      </w:r>
      <w:r w:rsidR="00B350AB" w:rsidRPr="00B350AB">
        <w:t xml:space="preserve"> </w:t>
      </w:r>
      <w:r w:rsidR="00B350AB">
        <w:t>redakcijā</w:t>
      </w:r>
      <w:r>
        <w:t xml:space="preserve"> tiek ievadīta plānotā</w:t>
      </w:r>
      <w:r w:rsidRPr="00884827">
        <w:t xml:space="preserve"> </w:t>
      </w:r>
      <w:r>
        <w:t>summa ietvara (2026-2029) gadiem un:</w:t>
      </w:r>
    </w:p>
    <w:p w14:paraId="06F97C04" w14:textId="77777777" w:rsidR="00FB7FD0" w:rsidRDefault="00FB7FD0" w:rsidP="00FB7FD0">
      <w:pPr>
        <w:ind w:left="340"/>
        <w:jc w:val="both"/>
      </w:pPr>
      <w:r>
        <w:t>2.1. terminētiem pasākumiem tālākiem gadiem sadalījumā pa turpmākiem gadiem norādot summu katram turpmākā perioda gadam (n+5, n+6, n+7 utt.), par ko ir lēmums un ir izmaksu prognoze līdz pasākuma pabeigšanai;</w:t>
      </w:r>
    </w:p>
    <w:p w14:paraId="2C174F0A" w14:textId="77777777" w:rsidR="00FB7FD0" w:rsidRDefault="00FB7FD0" w:rsidP="00FB7FD0">
      <w:pPr>
        <w:ind w:left="340"/>
        <w:jc w:val="both"/>
      </w:pPr>
      <w:r>
        <w:t>2.2. periodiski mainīgiem pasākumiem tālākiem gadiem sadalījumā pa turpmākiem gadiem norādot summu n+5 gadam prognozētajā apmērā, ja tā ir pamatota, vai 2029.gada apmērā, ja prognozes nav.</w:t>
      </w:r>
    </w:p>
    <w:p w14:paraId="15400535" w14:textId="64CC63C7" w:rsidR="00FB7FD0" w:rsidRDefault="00FB7FD0" w:rsidP="00FB7FD0">
      <w:pPr>
        <w:jc w:val="both"/>
      </w:pPr>
      <w:r>
        <w:t xml:space="preserve">(Dati, kas tiek ievadīti turpmāko gadu </w:t>
      </w:r>
      <w:r w:rsidR="00744676">
        <w:t>ail</w:t>
      </w:r>
      <w:r w:rsidR="00AA7983">
        <w:t>ēs</w:t>
      </w:r>
      <w:r>
        <w:t xml:space="preserve">, automātiski summējas kolonnā “Turpmākā </w:t>
      </w:r>
      <w:r w:rsidRPr="00553DEE">
        <w:t>laika posmā</w:t>
      </w:r>
      <w:r w:rsidRPr="00914650">
        <w:t xml:space="preserve"> terminētiem vai mainīgiem pasākumiem</w:t>
      </w:r>
      <w:r>
        <w:t>”).</w:t>
      </w:r>
    </w:p>
    <w:p w14:paraId="433B93D3" w14:textId="77777777" w:rsidR="00612007" w:rsidRDefault="00612007" w:rsidP="00612007">
      <w:pPr>
        <w:jc w:val="both"/>
      </w:pPr>
      <w:r>
        <w:t xml:space="preserve">Tālāk norādītajā tabulā ir uzskaitīti </w:t>
      </w:r>
      <w:r w:rsidRPr="0010134A">
        <w:t>Ministru kabineta 2023. gada 17. janvār</w:t>
      </w:r>
      <w:r>
        <w:t>a</w:t>
      </w:r>
      <w:r w:rsidRPr="0010134A">
        <w:t xml:space="preserve"> noteikum</w:t>
      </w:r>
      <w:r>
        <w:t>os</w:t>
      </w:r>
      <w:r w:rsidRPr="0010134A">
        <w:t xml:space="preserve"> Nr.15</w:t>
      </w:r>
      <w:r>
        <w:t xml:space="preserve"> “</w:t>
      </w:r>
      <w:r w:rsidRPr="0010134A">
        <w:t>Maksimāli pieļaujamā valsts budžeta izdevumu kopapjoma un  katrai ministrijai un citai centrālajai valsts iestādei paredzētā izdevumu kopējā apjoma noteikšanas kārtība vidējam termiņam</w:t>
      </w:r>
      <w:r>
        <w:t>”</w:t>
      </w:r>
      <w:r w:rsidRPr="0010134A">
        <w:t xml:space="preserve"> </w:t>
      </w:r>
      <w:r>
        <w:t>(noteikumi Nr.15) minētie nosacījumi par dažādiem izdevumu veidiem, kā arī atsevišķas norādes attiecībā uz Labklājības ministriju.</w:t>
      </w:r>
    </w:p>
    <w:p w14:paraId="25469802" w14:textId="32F88E5E" w:rsidR="0019265E" w:rsidRDefault="0019265E" w:rsidP="0019265E">
      <w:pPr>
        <w:jc w:val="both"/>
        <w:rPr>
          <w:i/>
          <w:iCs/>
        </w:rPr>
      </w:pPr>
      <w:r>
        <w:t>Attiecīgi tabulā norādīts, kura no divām iespējām jāpiemēro dažādiem izdevumu veidiem saskaņā ar noteikumiem Nr.15, veicot sākotnējo datu uzpildi. Kā arī kolonā “</w:t>
      </w:r>
      <w:r w:rsidRPr="006C1DA5">
        <w:rPr>
          <w:i/>
          <w:iCs/>
        </w:rPr>
        <w:t>Prognoze</w:t>
      </w:r>
      <w:r>
        <w:rPr>
          <w:i/>
          <w:iCs/>
        </w:rPr>
        <w:t>”</w:t>
      </w:r>
      <w:r>
        <w:t xml:space="preserve"> noteiktām pozīcijām norādīts, cik gadiem tiek plānota (ievadīta)  budžeta plānā norādāmā summa “</w:t>
      </w:r>
      <w:r w:rsidRPr="006C1DA5">
        <w:rPr>
          <w:i/>
          <w:iCs/>
        </w:rPr>
        <w:t>turpmākie gadi</w:t>
      </w:r>
      <w:r>
        <w:rPr>
          <w:i/>
          <w:iCs/>
        </w:rPr>
        <w:t>”</w:t>
      </w:r>
      <w:r w:rsidR="0013628D">
        <w:rPr>
          <w:i/>
          <w:iCs/>
        </w:rPr>
        <w:t xml:space="preserve"> </w:t>
      </w:r>
      <w:r w:rsidR="0013628D" w:rsidRPr="0013628D">
        <w:t>a</w:t>
      </w:r>
      <w:r w:rsidRPr="0013628D">
        <w:t>ilēs</w:t>
      </w:r>
      <w:r w:rsidR="0013628D">
        <w:rPr>
          <w:i/>
          <w:iCs/>
        </w:rPr>
        <w:t>.</w:t>
      </w:r>
    </w:p>
    <w:p w14:paraId="3F445A2C" w14:textId="0553C966" w:rsidR="000C1C93" w:rsidRPr="008912ED" w:rsidRDefault="000C1C93" w:rsidP="0019265E">
      <w:pPr>
        <w:jc w:val="both"/>
      </w:pPr>
      <w:r w:rsidRPr="008912ED">
        <w:t>Tādiem izdevumu veidiem, kas nav aprakstīti tabulā, iestāde piemēro datu ievadīšanas principu “turpmāk ik gadu”</w:t>
      </w:r>
      <w:r>
        <w:t xml:space="preserve">. Gadījumā, ja iestāde uzskata, ka attiecībā uz kādiem konkrētiem izdevumiem šāda principa piemērošana neatbilst situācijai, tā vēršas pie sava budžeta resora, un budžeta resors </w:t>
      </w:r>
      <w:r w:rsidR="008E4B35">
        <w:t>var konsultēties</w:t>
      </w:r>
      <w:r>
        <w:t xml:space="preserve"> ar Finanšu ministriju</w:t>
      </w:r>
      <w:r w:rsidR="008E4B35">
        <w:t xml:space="preserve"> par konkrēta gadījuma atrisināšanu</w:t>
      </w:r>
      <w:r>
        <w:t>.</w:t>
      </w:r>
    </w:p>
    <w:tbl>
      <w:tblPr>
        <w:tblW w:w="10460" w:type="dxa"/>
        <w:tblLook w:val="04A0" w:firstRow="1" w:lastRow="0" w:firstColumn="1" w:lastColumn="0" w:noHBand="0" w:noVBand="1"/>
      </w:tblPr>
      <w:tblGrid>
        <w:gridCol w:w="6437"/>
        <w:gridCol w:w="946"/>
        <w:gridCol w:w="1164"/>
        <w:gridCol w:w="1913"/>
      </w:tblGrid>
      <w:tr w:rsidR="004B55A1" w:rsidRPr="00C56F94" w14:paraId="24ECDDD9" w14:textId="77777777" w:rsidTr="003951C3">
        <w:trPr>
          <w:trHeight w:val="520"/>
          <w:tblHeader/>
        </w:trPr>
        <w:tc>
          <w:tcPr>
            <w:tcW w:w="643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14C4E3" w14:textId="77777777" w:rsidR="004B55A1" w:rsidRPr="00CA65EE" w:rsidRDefault="004B55A1" w:rsidP="003E08F3">
            <w:pPr>
              <w:spacing w:after="0" w:line="240" w:lineRule="auto"/>
              <w:jc w:val="center"/>
              <w:rPr>
                <w:color w:val="000000"/>
                <w:kern w:val="0"/>
                <w:sz w:val="20"/>
                <w14:ligatures w14:val="none"/>
              </w:rPr>
            </w:pPr>
            <w:r w:rsidRPr="00CA65EE">
              <w:rPr>
                <w:kern w:val="0"/>
                <w:sz w:val="20"/>
                <w14:ligatures w14:val="none"/>
              </w:rPr>
              <w:t>Noteikumu apakšpunkts</w:t>
            </w:r>
          </w:p>
        </w:tc>
        <w:tc>
          <w:tcPr>
            <w:tcW w:w="946" w:type="dxa"/>
            <w:tcBorders>
              <w:top w:val="single" w:sz="4" w:space="0" w:color="auto"/>
              <w:left w:val="nil"/>
              <w:bottom w:val="single" w:sz="4" w:space="0" w:color="auto"/>
              <w:right w:val="single" w:sz="4" w:space="0" w:color="auto"/>
            </w:tcBorders>
            <w:shd w:val="clear" w:color="auto" w:fill="E8E8E8" w:themeFill="background2"/>
            <w:hideMark/>
          </w:tcPr>
          <w:p w14:paraId="38D23A77"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 ik gadu</w:t>
            </w:r>
          </w:p>
        </w:tc>
        <w:tc>
          <w:tcPr>
            <w:tcW w:w="1164" w:type="dxa"/>
            <w:tcBorders>
              <w:top w:val="single" w:sz="4" w:space="0" w:color="auto"/>
              <w:left w:val="nil"/>
              <w:bottom w:val="single" w:sz="4" w:space="0" w:color="auto"/>
              <w:right w:val="single" w:sz="4" w:space="0" w:color="auto"/>
            </w:tcBorders>
            <w:shd w:val="clear" w:color="auto" w:fill="E8E8E8" w:themeFill="background2"/>
            <w:hideMark/>
          </w:tcPr>
          <w:p w14:paraId="7419C6C3"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turpmākie gadi</w:t>
            </w:r>
            <w:r>
              <w:rPr>
                <w:rFonts w:eastAsia="Times New Roman" w:cs="Times New Roman"/>
                <w:kern w:val="0"/>
                <w:sz w:val="20"/>
                <w:szCs w:val="20"/>
                <w:lang w:eastAsia="lv-LV"/>
                <w14:ligatures w14:val="none"/>
              </w:rPr>
              <w:t xml:space="preserve"> (mainīgie/ terminētie)</w:t>
            </w:r>
          </w:p>
        </w:tc>
        <w:tc>
          <w:tcPr>
            <w:tcW w:w="1913" w:type="dxa"/>
            <w:tcBorders>
              <w:top w:val="single" w:sz="4" w:space="0" w:color="auto"/>
              <w:left w:val="nil"/>
              <w:bottom w:val="single" w:sz="4" w:space="0" w:color="auto"/>
              <w:right w:val="single" w:sz="4" w:space="0" w:color="auto"/>
            </w:tcBorders>
            <w:shd w:val="clear" w:color="auto" w:fill="E8E8E8" w:themeFill="background2"/>
            <w:hideMark/>
          </w:tcPr>
          <w:p w14:paraId="1BEB1762"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prognoze</w:t>
            </w:r>
            <w:r w:rsidRPr="00CA65EE">
              <w:rPr>
                <w:kern w:val="0"/>
                <w:sz w:val="20"/>
                <w14:ligatures w14:val="none"/>
              </w:rPr>
              <w:br/>
              <w:t>(cik gadiem)</w:t>
            </w:r>
          </w:p>
        </w:tc>
      </w:tr>
      <w:tr w:rsidR="004B55A1" w:rsidRPr="00C56F94" w14:paraId="7595F037" w14:textId="77777777" w:rsidTr="003E08F3">
        <w:trPr>
          <w:trHeight w:val="139"/>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2E07A01B" w14:textId="77777777" w:rsidR="004B55A1" w:rsidRPr="00C56F94" w:rsidRDefault="004B55A1" w:rsidP="003E08F3">
            <w:pPr>
              <w:spacing w:after="0" w:line="240" w:lineRule="auto"/>
              <w:rPr>
                <w:rFonts w:eastAsia="Times New Roman" w:cs="Times New Roman"/>
                <w:kern w:val="0"/>
                <w:sz w:val="20"/>
                <w:szCs w:val="20"/>
                <w:lang w:eastAsia="lv-LV"/>
                <w14:ligatures w14:val="none"/>
              </w:rPr>
            </w:pPr>
            <w:r w:rsidRPr="00C56F94">
              <w:rPr>
                <w:rFonts w:eastAsia="Times New Roman" w:cs="Times New Roman"/>
                <w:i/>
                <w:iCs/>
                <w:kern w:val="0"/>
                <w:sz w:val="20"/>
                <w:szCs w:val="20"/>
                <w:lang w:eastAsia="lv-LV"/>
                <w14:ligatures w14:val="none"/>
              </w:rPr>
              <w:t>valsts pamatbudžets</w:t>
            </w:r>
          </w:p>
        </w:tc>
      </w:tr>
      <w:tr w:rsidR="004B55A1" w:rsidRPr="00C56F94" w14:paraId="7FFA5870"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142D67F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9.1. valsts budžeta ilgtermiņa saistībās normatīvajos aktos budžeta un finanšu vadības jomā noteiktajos gadījumos, tai skaitā valsts budžeta ilgtermiņa saistībās procentu izdevumiem, kārtējiem maksājumiem Eiropas Savienības budžetā un starptautiskajai sadarbībai, Eiropas Savienības politiku instrumentu un pārējās ārvalstu finanšu palīdzības, klimata pārmaiņu finanšu instrumenta un emisijas kvotu izsoļu ieņēmumu instrumentu līdzekļu finansēto vai līdzfinansēto apstiprināto projektu un pasākumu īstenošanai atbilstoši precizētajiem darba grafikiem un naudas plūsmām;</w:t>
            </w:r>
          </w:p>
        </w:tc>
        <w:tc>
          <w:tcPr>
            <w:tcW w:w="946" w:type="dxa"/>
            <w:tcBorders>
              <w:top w:val="nil"/>
              <w:left w:val="nil"/>
              <w:bottom w:val="single" w:sz="4" w:space="0" w:color="auto"/>
              <w:right w:val="single" w:sz="4" w:space="0" w:color="auto"/>
            </w:tcBorders>
            <w:noWrap/>
            <w:hideMark/>
          </w:tcPr>
          <w:p w14:paraId="2CFA3D7B" w14:textId="77777777" w:rsidR="004B55A1" w:rsidRPr="00CA65EE" w:rsidRDefault="004B55A1" w:rsidP="003E08F3">
            <w:pPr>
              <w:spacing w:after="0" w:line="240" w:lineRule="auto"/>
              <w:jc w:val="center"/>
              <w:rPr>
                <w:color w:val="000000"/>
                <w:kern w:val="0"/>
                <w:sz w:val="20"/>
                <w14:ligatures w14:val="none"/>
              </w:rPr>
            </w:pPr>
          </w:p>
        </w:tc>
        <w:tc>
          <w:tcPr>
            <w:tcW w:w="1164" w:type="dxa"/>
            <w:tcBorders>
              <w:top w:val="nil"/>
              <w:left w:val="nil"/>
              <w:bottom w:val="single" w:sz="4" w:space="0" w:color="auto"/>
              <w:right w:val="single" w:sz="4" w:space="0" w:color="auto"/>
            </w:tcBorders>
            <w:noWrap/>
            <w:hideMark/>
          </w:tcPr>
          <w:p w14:paraId="17156DD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2C2419B1" w14:textId="73730C1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w:t>
            </w:r>
            <w:r w:rsidRPr="006A33AA">
              <w:rPr>
                <w:rFonts w:asciiTheme="majorHAnsi" w:eastAsia="Times New Roman" w:hAnsiTheme="majorHAnsi" w:cs="Times New Roman"/>
                <w:kern w:val="0"/>
                <w:sz w:val="20"/>
                <w:szCs w:val="20"/>
                <w:lang w:eastAsia="lv-LV"/>
                <w14:ligatures w14:val="none"/>
              </w:rPr>
              <w:t>līdz n+5</w:t>
            </w:r>
            <w:r w:rsidRPr="006B4123">
              <w:rPr>
                <w:rFonts w:ascii="Times New Roman" w:eastAsia="Times New Roman" w:hAnsi="Times New Roman" w:cs="Times New Roman"/>
                <w:kern w:val="0"/>
                <w:sz w:val="20"/>
                <w:szCs w:val="20"/>
                <w:lang w:eastAsia="lv-LV"/>
                <w14:ligatures w14:val="none"/>
              </w:rPr>
              <w:t xml:space="preserve">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3B070E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421FC94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9.2. ieņēmumos no maksas pakalpojumiem un citos pašu ieņēmumos, to atlikumos un tiem atbilstošajos izdevumos;</w:t>
            </w:r>
          </w:p>
        </w:tc>
        <w:tc>
          <w:tcPr>
            <w:tcW w:w="946" w:type="dxa"/>
            <w:tcBorders>
              <w:top w:val="nil"/>
              <w:left w:val="nil"/>
              <w:bottom w:val="single" w:sz="4" w:space="0" w:color="auto"/>
              <w:right w:val="single" w:sz="4" w:space="0" w:color="auto"/>
            </w:tcBorders>
            <w:noWrap/>
            <w:hideMark/>
          </w:tcPr>
          <w:p w14:paraId="5879AE1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4F18878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7B13A0A7" w14:textId="37D5A08A" w:rsidR="004B55A1" w:rsidRPr="00CA65EE" w:rsidRDefault="007747A3" w:rsidP="003E08F3">
            <w:pPr>
              <w:spacing w:after="0" w:line="240" w:lineRule="auto"/>
              <w:rPr>
                <w:kern w:val="0"/>
                <w:sz w:val="20"/>
                <w14:ligatures w14:val="none"/>
              </w:rPr>
            </w:pPr>
            <w:r w:rsidRPr="006A33AA">
              <w:rPr>
                <w:rFonts w:asciiTheme="majorHAnsi" w:eastAsia="Times New Roman" w:hAnsiTheme="majorHAnsi" w:cs="Times New Roman"/>
                <w:kern w:val="0"/>
                <w:sz w:val="20"/>
                <w:szCs w:val="20"/>
                <w:lang w:eastAsia="lv-LV"/>
                <w14:ligatures w14:val="none"/>
              </w:rPr>
              <w:t>prognoze līdz n+5</w:t>
            </w:r>
            <w:r w:rsidRPr="006A33AA">
              <w:rPr>
                <w:rFonts w:ascii="Times New Roman" w:eastAsia="Times New Roman" w:hAnsi="Times New Roman" w:cs="Times New Roman"/>
                <w:kern w:val="0"/>
                <w:sz w:val="20"/>
                <w:szCs w:val="20"/>
                <w:lang w:eastAsia="lv-LV"/>
                <w14:ligatures w14:val="none"/>
              </w:rPr>
              <w:t xml:space="preserve"> </w:t>
            </w:r>
            <w:r w:rsidR="004B55A1" w:rsidRPr="006A33AA">
              <w:rPr>
                <w:kern w:val="0"/>
                <w:sz w:val="20"/>
                <w:szCs w:val="20"/>
                <w14:ligatures w14:val="none"/>
              </w:rPr>
              <w:br/>
              <w:t>(ja nav</w:t>
            </w:r>
            <w:r w:rsidR="004B55A1" w:rsidRPr="00CA65EE">
              <w:rPr>
                <w:kern w:val="0"/>
                <w:sz w:val="20"/>
                <w14:ligatures w14:val="none"/>
              </w:rPr>
              <w:t xml:space="preserve"> cits lēmums, </w:t>
            </w:r>
            <w:r w:rsidR="004B55A1">
              <w:rPr>
                <w:rFonts w:eastAsia="Times New Roman" w:cs="Times New Roman"/>
                <w:kern w:val="0"/>
                <w:sz w:val="20"/>
                <w:szCs w:val="20"/>
                <w:lang w:eastAsia="lv-LV"/>
                <w14:ligatures w14:val="none"/>
              </w:rPr>
              <w:t xml:space="preserve">tad </w:t>
            </w:r>
            <w:r w:rsidR="004B55A1" w:rsidRPr="00CA65EE">
              <w:rPr>
                <w:kern w:val="0"/>
                <w:sz w:val="20"/>
                <w14:ligatures w14:val="none"/>
              </w:rPr>
              <w:t>n+5</w:t>
            </w:r>
            <w:r w:rsidR="004B55A1" w:rsidRPr="006B4123">
              <w:rPr>
                <w:rFonts w:ascii="Times New Roman" w:eastAsia="Times New Roman" w:hAnsi="Times New Roman" w:cs="Times New Roman"/>
                <w:kern w:val="0"/>
                <w:sz w:val="20"/>
                <w:szCs w:val="20"/>
                <w:lang w:eastAsia="lv-LV"/>
                <w14:ligatures w14:val="none"/>
              </w:rPr>
              <w:t>=</w:t>
            </w:r>
            <w:r w:rsidR="004B55A1" w:rsidRPr="00CA65EE">
              <w:rPr>
                <w:kern w:val="0"/>
                <w:sz w:val="20"/>
                <w14:ligatures w14:val="none"/>
              </w:rPr>
              <w:t>n+4)</w:t>
            </w:r>
          </w:p>
        </w:tc>
      </w:tr>
      <w:tr w:rsidR="004B55A1" w:rsidRPr="00C56F94" w14:paraId="537C1EE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18BF14FA"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9.3.1. valsts sociālo pabalstu saņēmēju skaits;</w:t>
            </w:r>
          </w:p>
        </w:tc>
        <w:tc>
          <w:tcPr>
            <w:tcW w:w="946" w:type="dxa"/>
            <w:tcBorders>
              <w:top w:val="nil"/>
              <w:left w:val="nil"/>
              <w:bottom w:val="single" w:sz="4" w:space="0" w:color="auto"/>
              <w:right w:val="single" w:sz="4" w:space="0" w:color="auto"/>
            </w:tcBorders>
            <w:noWrap/>
            <w:hideMark/>
          </w:tcPr>
          <w:p w14:paraId="759472B7"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5B01C3A6"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DBBAA2B"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 (n+5=n+4)</w:t>
            </w:r>
          </w:p>
        </w:tc>
      </w:tr>
      <w:tr w:rsidR="004B55A1" w:rsidRPr="00C56F94" w14:paraId="2A1133C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5BBAFB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9.3.2. izdienas pensiju un piemaksu pie vecuma un invaliditātes pensijām vidējais apmērs un saņēmēju skaits;</w:t>
            </w:r>
          </w:p>
        </w:tc>
        <w:tc>
          <w:tcPr>
            <w:tcW w:w="946" w:type="dxa"/>
            <w:tcBorders>
              <w:top w:val="nil"/>
              <w:left w:val="nil"/>
              <w:bottom w:val="single" w:sz="4" w:space="0" w:color="auto"/>
              <w:right w:val="single" w:sz="4" w:space="0" w:color="auto"/>
            </w:tcBorders>
            <w:noWrap/>
            <w:hideMark/>
          </w:tcPr>
          <w:p w14:paraId="2F4B9D0C"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02D4AE27"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3429CB0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25DF87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2B31F0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70FB8D7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lastRenderedPageBreak/>
              <w:t>9.3.3. bēgļu un personu, kurām piešķirts alternatīvais statuss, pabalstu saņēmēju skaits;</w:t>
            </w:r>
          </w:p>
        </w:tc>
        <w:tc>
          <w:tcPr>
            <w:tcW w:w="946" w:type="dxa"/>
            <w:tcBorders>
              <w:top w:val="nil"/>
              <w:left w:val="nil"/>
              <w:bottom w:val="single" w:sz="4" w:space="0" w:color="auto"/>
              <w:right w:val="single" w:sz="4" w:space="0" w:color="auto"/>
            </w:tcBorders>
            <w:noWrap/>
            <w:hideMark/>
          </w:tcPr>
          <w:p w14:paraId="7D6EEEF6"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23D2406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3FCFAE4"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15C623A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35DF236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9.3.4. personas ar invaliditāti (skaits), kuras saņem asistenta pakalpojumu;</w:t>
            </w:r>
          </w:p>
        </w:tc>
        <w:tc>
          <w:tcPr>
            <w:tcW w:w="946" w:type="dxa"/>
            <w:tcBorders>
              <w:top w:val="nil"/>
              <w:left w:val="nil"/>
              <w:bottom w:val="single" w:sz="4" w:space="0" w:color="auto"/>
              <w:right w:val="single" w:sz="4" w:space="0" w:color="auto"/>
            </w:tcBorders>
            <w:noWrap/>
            <w:hideMark/>
          </w:tcPr>
          <w:p w14:paraId="4C5F38A2"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7C0C7A7C"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5C3ECD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862EA5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1B200F3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6D5312D6"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9.3.5. to personu skaits, kas saņem uzturlīdzekļus no Uzturlīdzekļu garantiju fonda;</w:t>
            </w:r>
          </w:p>
        </w:tc>
        <w:tc>
          <w:tcPr>
            <w:tcW w:w="946" w:type="dxa"/>
            <w:tcBorders>
              <w:top w:val="nil"/>
              <w:left w:val="nil"/>
              <w:bottom w:val="single" w:sz="4" w:space="0" w:color="auto"/>
              <w:right w:val="single" w:sz="4" w:space="0" w:color="auto"/>
            </w:tcBorders>
            <w:noWrap/>
            <w:hideMark/>
          </w:tcPr>
          <w:p w14:paraId="27069308"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24353FA"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2BF96EE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EBA35AE"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37F3E05C" w14:textId="77777777" w:rsidR="004B55A1" w:rsidRPr="00CA65EE" w:rsidRDefault="004B55A1" w:rsidP="003E08F3">
            <w:pPr>
              <w:spacing w:after="0" w:line="240" w:lineRule="auto"/>
              <w:jc w:val="both"/>
              <w:rPr>
                <w:kern w:val="0"/>
                <w:sz w:val="20"/>
                <w14:ligatures w14:val="none"/>
              </w:rPr>
            </w:pPr>
            <w:hyperlink r:id="rId9" w:history="1">
              <w:r w:rsidRPr="00CA65EE">
                <w:rPr>
                  <w:kern w:val="0"/>
                  <w:sz w:val="20"/>
                  <w14:ligatures w14:val="none"/>
                </w:rPr>
                <w:t>9.3.6. to cietušo skaits, kas saņem kompensācijas saskaņā ar likumu "Par valsts kompensāciju cietušajiem";</w:t>
              </w:r>
            </w:hyperlink>
          </w:p>
        </w:tc>
        <w:tc>
          <w:tcPr>
            <w:tcW w:w="946" w:type="dxa"/>
            <w:tcBorders>
              <w:top w:val="nil"/>
              <w:left w:val="nil"/>
              <w:bottom w:val="single" w:sz="4" w:space="0" w:color="auto"/>
              <w:right w:val="single" w:sz="4" w:space="0" w:color="auto"/>
            </w:tcBorders>
            <w:noWrap/>
            <w:hideMark/>
          </w:tcPr>
          <w:p w14:paraId="21F2F22E"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00419081"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E51446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57D03681"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08AA2BA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9.3.7. brīvpusdienu saņēmēju skaits;</w:t>
            </w:r>
          </w:p>
        </w:tc>
        <w:tc>
          <w:tcPr>
            <w:tcW w:w="946" w:type="dxa"/>
            <w:tcBorders>
              <w:top w:val="nil"/>
              <w:left w:val="nil"/>
              <w:bottom w:val="single" w:sz="4" w:space="0" w:color="auto"/>
              <w:right w:val="single" w:sz="4" w:space="0" w:color="auto"/>
            </w:tcBorders>
            <w:noWrap/>
            <w:hideMark/>
          </w:tcPr>
          <w:p w14:paraId="03597E89"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B581195"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1CA7435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07364FA"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69C7C60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9.3.8. </w:t>
            </w:r>
            <w:proofErr w:type="spellStart"/>
            <w:r w:rsidRPr="00CA65EE">
              <w:rPr>
                <w:kern w:val="0"/>
                <w:sz w:val="20"/>
                <w14:ligatures w14:val="none"/>
              </w:rPr>
              <w:t>transferta</w:t>
            </w:r>
            <w:proofErr w:type="spellEnd"/>
            <w:r w:rsidRPr="00CA65EE">
              <w:rPr>
                <w:kern w:val="0"/>
                <w:sz w:val="20"/>
                <w14:ligatures w14:val="none"/>
              </w:rPr>
              <w:t xml:space="preserve"> </w:t>
            </w:r>
            <w:proofErr w:type="spellStart"/>
            <w:r w:rsidRPr="00CA65EE">
              <w:rPr>
                <w:kern w:val="0"/>
                <w:sz w:val="20"/>
                <w14:ligatures w14:val="none"/>
              </w:rPr>
              <w:t>pārskaitījumi</w:t>
            </w:r>
            <w:proofErr w:type="spellEnd"/>
            <w:r w:rsidRPr="00CA65EE">
              <w:rPr>
                <w:kern w:val="0"/>
                <w:sz w:val="20"/>
                <w14:ligatures w14:val="none"/>
              </w:rPr>
              <w:t xml:space="preserve"> no valsts pamatbudžeta uz valsts speciālo budžetu saistībā ar atsevišķās dzīves situācijās noteiktam personu lokam valsts sniegtā atbalsta vidējo apmēru un saņēmēju skaitu;</w:t>
            </w:r>
          </w:p>
        </w:tc>
        <w:tc>
          <w:tcPr>
            <w:tcW w:w="946" w:type="dxa"/>
            <w:tcBorders>
              <w:top w:val="nil"/>
              <w:left w:val="nil"/>
              <w:bottom w:val="single" w:sz="4" w:space="0" w:color="auto"/>
              <w:right w:val="single" w:sz="4" w:space="0" w:color="auto"/>
            </w:tcBorders>
            <w:noWrap/>
            <w:hideMark/>
          </w:tcPr>
          <w:p w14:paraId="30051293"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DA659EF"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1D4F91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prognoze</w:t>
            </w:r>
            <w:r w:rsidRPr="006A33AA">
              <w:rPr>
                <w:rFonts w:eastAsia="Times New Roman" w:cs="Times New Roman"/>
                <w:color w:val="000000"/>
                <w:kern w:val="0"/>
                <w:sz w:val="20"/>
                <w:szCs w:val="20"/>
                <w:lang w:eastAsia="lv-LV"/>
                <w14:ligatures w14:val="none"/>
              </w:rPr>
              <w:t xml:space="preserve"> līdz n+5</w:t>
            </w:r>
          </w:p>
          <w:p w14:paraId="6263F9C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6FCD7166"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5F58F14"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9.3.9. izglītojamo skaits</w:t>
            </w:r>
            <w:r w:rsidRPr="00C56F94">
              <w:rPr>
                <w:rFonts w:eastAsia="Times New Roman" w:cs="Times New Roman"/>
                <w:kern w:val="0"/>
                <w:sz w:val="20"/>
                <w:szCs w:val="20"/>
                <w:lang w:eastAsia="lv-LV"/>
                <w14:ligatures w14:val="none"/>
              </w:rPr>
              <w:t xml:space="preserve"> (klašu komplekti),</w:t>
            </w:r>
            <w:r w:rsidRPr="00CA65EE">
              <w:rPr>
                <w:kern w:val="0"/>
                <w:sz w:val="20"/>
                <w14:ligatures w14:val="none"/>
              </w:rPr>
              <w:t xml:space="preserve"> atbilstoši kuram tiek nodrošināts finansējuma apmērs pedagogu darba samaksai un valsts sociālās apdrošināšanas obligātajām iemaksām un mācību līdzekļu un mācību grāmatu iegādei;</w:t>
            </w:r>
          </w:p>
        </w:tc>
        <w:tc>
          <w:tcPr>
            <w:tcW w:w="946" w:type="dxa"/>
            <w:tcBorders>
              <w:top w:val="nil"/>
              <w:left w:val="nil"/>
              <w:bottom w:val="single" w:sz="4" w:space="0" w:color="auto"/>
              <w:right w:val="single" w:sz="4" w:space="0" w:color="auto"/>
            </w:tcBorders>
            <w:noWrap/>
            <w:hideMark/>
          </w:tcPr>
          <w:p w14:paraId="487EDE50"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6237A0E"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A0E4081"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6329AAAE"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37843C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 xml:space="preserve">9.4. izdevumos pabeigto Eiropas Savienības politiku instrumentu un pārējās ārvalstu finanšu palīdzības līdzfinansēto projektu uzturēšanai, ja projekts vai tā posms ir pilnībā pabeigts, nodots ekspluatācijā, par to ir veikts galīgā norēķina maksājums un tas turpmāk jāfinansē no valsts budžeta līdzekļiem (nav attiecināms uz augstākās izglītības un profesionālās izglītības iestādēm, izņemot </w:t>
            </w:r>
            <w:proofErr w:type="spellStart"/>
            <w:r w:rsidRPr="00CA65EE">
              <w:rPr>
                <w:kern w:val="0"/>
                <w:sz w:val="20"/>
                <w14:ligatures w14:val="none"/>
              </w:rPr>
              <w:t>Iekšlietu</w:t>
            </w:r>
            <w:proofErr w:type="spellEnd"/>
            <w:r w:rsidRPr="00CA65EE">
              <w:rPr>
                <w:kern w:val="0"/>
                <w:sz w:val="20"/>
                <w14:ligatures w14:val="none"/>
              </w:rPr>
              <w:t xml:space="preserve"> ministrijas sistēmas izglītības iestādes). Datiem par informācijas un komunikācijas tehnoloģiju projektu uzturēšanas izdevumiem pievieno Vides aizsardzības un reģionālās attīstības ministrijas atzinumu;</w:t>
            </w:r>
          </w:p>
        </w:tc>
        <w:tc>
          <w:tcPr>
            <w:tcW w:w="946" w:type="dxa"/>
            <w:tcBorders>
              <w:top w:val="nil"/>
              <w:left w:val="nil"/>
              <w:bottom w:val="single" w:sz="4" w:space="0" w:color="auto"/>
              <w:right w:val="single" w:sz="4" w:space="0" w:color="auto"/>
            </w:tcBorders>
            <w:noWrap/>
            <w:hideMark/>
          </w:tcPr>
          <w:p w14:paraId="670E406A" w14:textId="491CD16D"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28CA0C2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6A4138B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52CCDE7B"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085CC1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9.5. izdevumos pabeigto no valsts budžeta finansēto kapitālo ieguldījumu uzturēšanai, ja finansējums kapitālo ieguldījumu veikšanai tika piešķirts kā finansējums prioritārajam pasākumam un ir terminēts;</w:t>
            </w:r>
          </w:p>
        </w:tc>
        <w:tc>
          <w:tcPr>
            <w:tcW w:w="946" w:type="dxa"/>
            <w:tcBorders>
              <w:top w:val="nil"/>
              <w:left w:val="nil"/>
              <w:bottom w:val="single" w:sz="4" w:space="0" w:color="auto"/>
              <w:right w:val="single" w:sz="4" w:space="0" w:color="auto"/>
            </w:tcBorders>
            <w:noWrap/>
            <w:hideMark/>
          </w:tcPr>
          <w:p w14:paraId="37F4A538" w14:textId="3A18BFF4"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3F7314A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vAlign w:val="bottom"/>
            <w:hideMark/>
          </w:tcPr>
          <w:p w14:paraId="3CEC5D8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6CC57CD9"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187FF7BE" w14:textId="77777777" w:rsidR="004B55A1" w:rsidRPr="00CA65EE" w:rsidRDefault="004B55A1" w:rsidP="003E08F3">
            <w:pPr>
              <w:spacing w:after="0" w:line="240" w:lineRule="auto"/>
              <w:jc w:val="both"/>
              <w:rPr>
                <w:kern w:val="0"/>
                <w:sz w:val="20"/>
                <w14:ligatures w14:val="none"/>
              </w:rPr>
            </w:pPr>
            <w:hyperlink r:id="rId10" w:history="1">
              <w:r w:rsidRPr="00CA65EE">
                <w:rPr>
                  <w:kern w:val="0"/>
                  <w:sz w:val="20"/>
                  <w14:ligatures w14:val="none"/>
                </w:rPr>
                <w:t>9.6. aprēķinos par valsts budžeta finansējumu politiskajām organizācijām (partijām) saskaņā ar Politisko organizāciju (partiju) finansēšanas likumu;</w:t>
              </w:r>
            </w:hyperlink>
          </w:p>
        </w:tc>
        <w:tc>
          <w:tcPr>
            <w:tcW w:w="946" w:type="dxa"/>
            <w:tcBorders>
              <w:top w:val="nil"/>
              <w:left w:val="nil"/>
              <w:bottom w:val="single" w:sz="4" w:space="0" w:color="auto"/>
              <w:right w:val="single" w:sz="4" w:space="0" w:color="auto"/>
            </w:tcBorders>
            <w:noWrap/>
            <w:hideMark/>
          </w:tcPr>
          <w:p w14:paraId="004FEC73"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152EA2A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39221D29" w14:textId="7777777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līdz n+5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003557E8" w14:textId="77777777" w:rsidTr="003951C3">
        <w:trPr>
          <w:trHeight w:val="1300"/>
        </w:trPr>
        <w:tc>
          <w:tcPr>
            <w:tcW w:w="6437" w:type="dxa"/>
            <w:tcBorders>
              <w:top w:val="nil"/>
              <w:left w:val="single" w:sz="4" w:space="0" w:color="auto"/>
              <w:bottom w:val="single" w:sz="4" w:space="0" w:color="auto"/>
              <w:right w:val="single" w:sz="4" w:space="0" w:color="auto"/>
            </w:tcBorders>
            <w:vAlign w:val="center"/>
            <w:hideMark/>
          </w:tcPr>
          <w:p w14:paraId="6F5383C5"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9.7. n+3  gadam – izdevumu palielinājumā, lai nodrošinātu Latvijas Republikas Satversmes 6. un 101. pantā, Saeimas vēlēšanu likumā, Pašvaldības domes vēlēšanu likumā, Eiropas Parlamenta vēlēšanu likumā  paredzēto pasākumu finansēšanu, ievērojot šo noteikumu 8.1. apakšpunktu;</w:t>
            </w:r>
          </w:p>
        </w:tc>
        <w:tc>
          <w:tcPr>
            <w:tcW w:w="946" w:type="dxa"/>
            <w:tcBorders>
              <w:top w:val="nil"/>
              <w:left w:val="nil"/>
              <w:bottom w:val="single" w:sz="4" w:space="0" w:color="auto"/>
              <w:right w:val="single" w:sz="4" w:space="0" w:color="auto"/>
            </w:tcBorders>
            <w:noWrap/>
            <w:hideMark/>
          </w:tcPr>
          <w:p w14:paraId="71F30EFB"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4929B1D"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5755589D"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prognoze, līdz n+5</w:t>
            </w:r>
          </w:p>
        </w:tc>
      </w:tr>
      <w:tr w:rsidR="004B55A1" w:rsidRPr="00C56F94" w14:paraId="7050DF18" w14:textId="77777777" w:rsidTr="003951C3">
        <w:trPr>
          <w:trHeight w:val="1560"/>
        </w:trPr>
        <w:tc>
          <w:tcPr>
            <w:tcW w:w="6437" w:type="dxa"/>
            <w:tcBorders>
              <w:top w:val="nil"/>
              <w:left w:val="single" w:sz="4" w:space="0" w:color="auto"/>
              <w:bottom w:val="single" w:sz="4" w:space="0" w:color="auto"/>
              <w:right w:val="single" w:sz="4" w:space="0" w:color="auto"/>
            </w:tcBorders>
            <w:vAlign w:val="center"/>
            <w:hideMark/>
          </w:tcPr>
          <w:p w14:paraId="1979FCBB"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9.8. atlīdzības aprēķinos saskaņā ar Valsts un pašvaldību institūciju amatpersonu un darbinieku atlīdzības likuma nosacījumiem attiecībā uz Valsts prezidenta mēnešalgu un Saeimas ievēlēto, apstiprināto un iecelto amatpersonu mēnešalgām un Fiskālās disciplīnas likuma nosacījumiem attiecībā uz Fiskālās disciplīnas padomes locekļu atlīdzību, kā arī ikmēneša pensijas aprēķinos atbilstoši likumam "Par Valsts prezidenta darbības nodrošināšanu";</w:t>
            </w:r>
          </w:p>
        </w:tc>
        <w:tc>
          <w:tcPr>
            <w:tcW w:w="946" w:type="dxa"/>
            <w:tcBorders>
              <w:top w:val="nil"/>
              <w:left w:val="nil"/>
              <w:bottom w:val="single" w:sz="4" w:space="0" w:color="auto"/>
              <w:right w:val="single" w:sz="4" w:space="0" w:color="auto"/>
            </w:tcBorders>
            <w:noWrap/>
            <w:hideMark/>
          </w:tcPr>
          <w:p w14:paraId="77E1542B" w14:textId="0BAAE916" w:rsidR="004B55A1" w:rsidRPr="008D01EC" w:rsidRDefault="00D16976" w:rsidP="003E08F3">
            <w:pPr>
              <w:spacing w:after="0" w:line="240" w:lineRule="auto"/>
              <w:jc w:val="center"/>
              <w:rPr>
                <w:color w:val="196B24"/>
                <w:kern w:val="0"/>
                <w:sz w:val="20"/>
                <w:szCs w:val="20"/>
                <w14:ligatures w14:val="none"/>
              </w:rPr>
            </w:pPr>
            <w:r w:rsidRPr="008D01EC">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1A66F3B6"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7AA03CFE"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p>
        </w:tc>
      </w:tr>
      <w:tr w:rsidR="004B55A1" w:rsidRPr="00C56F94" w14:paraId="058432B2" w14:textId="77777777" w:rsidTr="003951C3">
        <w:trPr>
          <w:trHeight w:val="2340"/>
        </w:trPr>
        <w:tc>
          <w:tcPr>
            <w:tcW w:w="6437" w:type="dxa"/>
            <w:tcBorders>
              <w:top w:val="nil"/>
              <w:left w:val="single" w:sz="4" w:space="0" w:color="auto"/>
              <w:bottom w:val="single" w:sz="4" w:space="0" w:color="auto"/>
              <w:right w:val="single" w:sz="4" w:space="0" w:color="auto"/>
            </w:tcBorders>
            <w:vAlign w:val="center"/>
            <w:hideMark/>
          </w:tcPr>
          <w:p w14:paraId="698BA19D"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9.9. izdevumos saistībā ar minimālo pensiju un valsts sociālā nodrošinājuma pabalsta apmēru pārskatīšanu, kā arī ar valsts sociālā nodrošinājuma pabalsta un pensiju apmēru pārskatīšanu saistīto pakalpojumu nodrošināšanai, atbalsta pašvaldībām garantētā minimālā ienākuma pabalsta un mājokļa pabalsta nodrošināšanu, ņemot vērā prognozētās izmaiņas saņēmēju skaitā un minimālo ienākumu sliekšņa apmērus, kas n+1 gadam tiek aprēķināti atbilstoši Centrālās statistikas pārvaldes tīmekļvietnē publicētajai aktuālajai minimālo ienākumu mediānai mēnesī un n+2 un n+3 gadam – atbilstoši prognozētajai minimālo ienākumu mediānai mēnesī.</w:t>
            </w:r>
          </w:p>
        </w:tc>
        <w:tc>
          <w:tcPr>
            <w:tcW w:w="946" w:type="dxa"/>
            <w:tcBorders>
              <w:top w:val="nil"/>
              <w:left w:val="nil"/>
              <w:bottom w:val="single" w:sz="4" w:space="0" w:color="auto"/>
              <w:right w:val="single" w:sz="4" w:space="0" w:color="auto"/>
            </w:tcBorders>
            <w:noWrap/>
            <w:hideMark/>
          </w:tcPr>
          <w:p w14:paraId="2CC3F4A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748D84B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7429E08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596CEB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0ED09C2C" w14:textId="77777777" w:rsidTr="003E08F3">
        <w:trPr>
          <w:trHeight w:val="358"/>
        </w:trPr>
        <w:tc>
          <w:tcPr>
            <w:tcW w:w="10460" w:type="dxa"/>
            <w:gridSpan w:val="4"/>
            <w:tcBorders>
              <w:top w:val="nil"/>
              <w:left w:val="single" w:sz="4" w:space="0" w:color="auto"/>
              <w:bottom w:val="single" w:sz="4" w:space="0" w:color="auto"/>
              <w:right w:val="single" w:sz="4" w:space="0" w:color="auto"/>
            </w:tcBorders>
            <w:shd w:val="clear" w:color="auto" w:fill="DAE9F7" w:themeFill="text2" w:themeFillTint="1A"/>
            <w:vAlign w:val="center"/>
          </w:tcPr>
          <w:p w14:paraId="3B999AB3"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cs="Times New Roman"/>
                <w:i/>
                <w:iCs/>
                <w:sz w:val="20"/>
                <w:szCs w:val="20"/>
              </w:rPr>
              <w:lastRenderedPageBreak/>
              <w:t xml:space="preserve">Papildus </w:t>
            </w:r>
            <w:r>
              <w:rPr>
                <w:rFonts w:cs="Times New Roman"/>
                <w:i/>
                <w:iCs/>
                <w:sz w:val="20"/>
                <w:szCs w:val="20"/>
              </w:rPr>
              <w:t xml:space="preserve">nosacījumi </w:t>
            </w:r>
            <w:r w:rsidRPr="00D378F7">
              <w:rPr>
                <w:rFonts w:cs="Times New Roman"/>
                <w:i/>
                <w:iCs/>
                <w:sz w:val="20"/>
                <w:szCs w:val="20"/>
              </w:rPr>
              <w:t xml:space="preserve">Labklājības ministrijai </w:t>
            </w:r>
            <w:r w:rsidRPr="006E0FF3">
              <w:rPr>
                <w:rFonts w:cs="Times New Roman"/>
                <w:i/>
                <w:iCs/>
                <w:sz w:val="20"/>
                <w:szCs w:val="20"/>
              </w:rPr>
              <w:t>datu ievadīšanai</w:t>
            </w:r>
            <w:r w:rsidRPr="0067029E">
              <w:rPr>
                <w:rFonts w:cs="Times New Roman"/>
                <w:i/>
                <w:iCs/>
                <w:sz w:val="20"/>
                <w:szCs w:val="20"/>
              </w:rPr>
              <w:t xml:space="preserve"> </w:t>
            </w:r>
            <w:r w:rsidRPr="00D378F7">
              <w:rPr>
                <w:rFonts w:cs="Times New Roman"/>
                <w:i/>
                <w:iCs/>
                <w:sz w:val="20"/>
                <w:szCs w:val="20"/>
              </w:rPr>
              <w:t xml:space="preserve">par izdevumu pozīcijām pamatbudžetā, kas nav </w:t>
            </w:r>
            <w:r>
              <w:rPr>
                <w:rFonts w:cs="Times New Roman"/>
                <w:i/>
                <w:iCs/>
                <w:sz w:val="20"/>
                <w:szCs w:val="20"/>
              </w:rPr>
              <w:t xml:space="preserve">šobrīd noteikumos </w:t>
            </w:r>
            <w:r w:rsidRPr="00D378F7">
              <w:rPr>
                <w:rFonts w:cs="Times New Roman"/>
                <w:i/>
                <w:iCs/>
                <w:sz w:val="20"/>
                <w:szCs w:val="20"/>
              </w:rPr>
              <w:t>Nr.15</w:t>
            </w:r>
          </w:p>
        </w:tc>
      </w:tr>
      <w:tr w:rsidR="004B55A1" w:rsidRPr="00C56F94" w14:paraId="44FE3691" w14:textId="77777777" w:rsidTr="003951C3">
        <w:trPr>
          <w:trHeight w:val="649"/>
        </w:trPr>
        <w:tc>
          <w:tcPr>
            <w:tcW w:w="6437" w:type="dxa"/>
            <w:tcBorders>
              <w:top w:val="nil"/>
              <w:left w:val="single" w:sz="4" w:space="0" w:color="auto"/>
              <w:bottom w:val="single" w:sz="4" w:space="0" w:color="auto"/>
              <w:right w:val="single" w:sz="4" w:space="0" w:color="auto"/>
            </w:tcBorders>
            <w:vAlign w:val="center"/>
          </w:tcPr>
          <w:p w14:paraId="740400F9" w14:textId="77777777" w:rsidR="004B55A1" w:rsidRPr="00C56F94" w:rsidRDefault="004B55A1" w:rsidP="003E08F3">
            <w:pPr>
              <w:spacing w:after="0" w:line="240" w:lineRule="auto"/>
              <w:jc w:val="both"/>
              <w:rPr>
                <w:rFonts w:eastAsia="Times New Roman" w:cs="Times New Roman"/>
                <w:kern w:val="0"/>
                <w:sz w:val="20"/>
                <w:szCs w:val="20"/>
                <w:lang w:eastAsia="lv-LV"/>
                <w14:ligatures w14:val="none"/>
              </w:rPr>
            </w:pPr>
            <w:r w:rsidRPr="00C56F94">
              <w:rPr>
                <w:rFonts w:eastAsia="Times New Roman" w:cs="Times New Roman"/>
                <w:kern w:val="0"/>
                <w:sz w:val="20"/>
                <w:szCs w:val="20"/>
                <w:lang w:eastAsia="lv-LV"/>
                <w14:ligatures w14:val="none"/>
              </w:rPr>
              <w:t>izdevumos saistībā ar bērna kopšanas pabalsta, atlīdzības par audžuģimenes pienākumu pildīšanu un atlīdzības par aizbildņa pienākumu pildīšanu apmēru pārrēķināšanu, kas n+1 gadam tiek aprēķināti atbilstoši Centrālās statistikas pārvaldes tīmekļvietnē publicētajai aktuālajai minimālo ienākumu mediānai mēnesī un n+3 gadam – atbilstoši prognozētajai minimālo ienākumu mediānai mēnesī.</w:t>
            </w:r>
          </w:p>
        </w:tc>
        <w:tc>
          <w:tcPr>
            <w:tcW w:w="946" w:type="dxa"/>
            <w:tcBorders>
              <w:top w:val="nil"/>
              <w:left w:val="nil"/>
              <w:bottom w:val="single" w:sz="4" w:space="0" w:color="auto"/>
              <w:right w:val="single" w:sz="4" w:space="0" w:color="auto"/>
            </w:tcBorders>
            <w:noWrap/>
          </w:tcPr>
          <w:p w14:paraId="58A64B1D" w14:textId="77777777" w:rsidR="004B55A1" w:rsidRPr="00C56F94" w:rsidRDefault="004B55A1" w:rsidP="003E08F3">
            <w:pPr>
              <w:spacing w:after="0" w:line="240" w:lineRule="auto"/>
              <w:rPr>
                <w:rFonts w:eastAsia="Times New Roman" w:cs="Times New Roman"/>
                <w:color w:val="000000"/>
                <w:kern w:val="0"/>
                <w:sz w:val="20"/>
                <w:szCs w:val="20"/>
                <w:lang w:eastAsia="lv-LV"/>
                <w14:ligatures w14:val="none"/>
              </w:rPr>
            </w:pPr>
            <w:r w:rsidRPr="00C56F94">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7E9C7EB5" w14:textId="77777777" w:rsidR="004B55A1" w:rsidRPr="00C56F94"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C56F94">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54B5EA8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61F311C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C56F94" w14:paraId="19C6DD2D" w14:textId="77777777" w:rsidTr="003951C3">
        <w:trPr>
          <w:trHeight w:val="683"/>
        </w:trPr>
        <w:tc>
          <w:tcPr>
            <w:tcW w:w="6437" w:type="dxa"/>
            <w:tcBorders>
              <w:top w:val="nil"/>
              <w:left w:val="single" w:sz="4" w:space="0" w:color="auto"/>
              <w:bottom w:val="single" w:sz="4" w:space="0" w:color="auto"/>
              <w:right w:val="single" w:sz="4" w:space="0" w:color="auto"/>
            </w:tcBorders>
            <w:vAlign w:val="center"/>
          </w:tcPr>
          <w:p w14:paraId="67803DC1" w14:textId="77777777" w:rsidR="004B55A1" w:rsidRPr="00CA65EE" w:rsidRDefault="004B55A1" w:rsidP="003E08F3">
            <w:pPr>
              <w:spacing w:after="0" w:line="240" w:lineRule="auto"/>
              <w:jc w:val="both"/>
              <w:rPr>
                <w:kern w:val="0"/>
                <w:sz w:val="20"/>
                <w14:ligatures w14:val="none"/>
              </w:rPr>
            </w:pPr>
            <w:r w:rsidRPr="00C56F94">
              <w:rPr>
                <w:rFonts w:eastAsia="Times New Roman" w:cs="Times New Roman"/>
                <w:kern w:val="0"/>
                <w:sz w:val="20"/>
                <w:szCs w:val="20"/>
                <w:lang w:eastAsia="lv-LV"/>
                <w14:ligatures w14:val="none"/>
              </w:rPr>
              <w:t>izdevumos saistībā ar atlīdzības par adoptējamā bērna aprūpi apmēra pārrēķināšanu, kas n+1 gadam tiek aprēķināts atbilstoši valstī noteiktajai vidējai apdrošināšanas iemaksu algai (kalendāra gadā, kas beidzas gadu pirms tā gada, kurā tiek piešķirta atlīdzība) mēnesī un n+2 un n+3 gadam – atbilstoši prognozētajai vidējai apdrošināšanas iemaksu algai mēnesī.</w:t>
            </w:r>
          </w:p>
        </w:tc>
        <w:tc>
          <w:tcPr>
            <w:tcW w:w="946" w:type="dxa"/>
            <w:tcBorders>
              <w:top w:val="nil"/>
              <w:left w:val="nil"/>
              <w:bottom w:val="single" w:sz="4" w:space="0" w:color="auto"/>
              <w:right w:val="single" w:sz="4" w:space="0" w:color="auto"/>
            </w:tcBorders>
            <w:noWrap/>
          </w:tcPr>
          <w:p w14:paraId="3DCDF03A"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085B61E" w14:textId="77777777" w:rsidR="004B55A1" w:rsidRPr="00CA65EE" w:rsidRDefault="004B55A1" w:rsidP="003E08F3">
            <w:pPr>
              <w:spacing w:after="0" w:line="240" w:lineRule="auto"/>
              <w:jc w:val="center"/>
              <w:rPr>
                <w:color w:val="3A7C22" w:themeColor="accent6" w:themeShade="BF"/>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44A8569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90ED9D1"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483A60B3" w14:textId="77777777" w:rsidTr="003E08F3">
        <w:trPr>
          <w:trHeight w:val="364"/>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7D1FCE4D"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eastAsia="Times New Roman" w:cs="Times New Roman"/>
                <w:i/>
                <w:iCs/>
                <w:kern w:val="0"/>
                <w:sz w:val="20"/>
                <w:szCs w:val="20"/>
                <w:lang w:eastAsia="lv-LV"/>
                <w14:ligatures w14:val="none"/>
              </w:rPr>
              <w:t>valsts speciālais budžets</w:t>
            </w:r>
          </w:p>
        </w:tc>
      </w:tr>
      <w:tr w:rsidR="004B55A1" w:rsidRPr="006A33AA" w14:paraId="711E060B"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029C8F45"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15.4. izmaiņas valsts budžeta ilgtermiņa saistībās normatīvajos aktos budžeta un finanšu vadības jomā noteiktajos gadījumos, tai skaitā izmaiņas valsts budžeta ilgtermiņa saistībās procentu izdevumiem, kārtējiem maksājumiem Eiropas Savienības budžetā un starptautiskajai sadarbībai, kā arī izmaiņas no Eiropas Savienības politiku instrumentu un pārējās ārvalstu finanšu palīdzības līdzekļiem finansēto vai līdzfinansēto projektu un pasākumu īstenošanā atbilstoši precizētajiem darba grafikiem un naudas plūsmām;</w:t>
            </w:r>
          </w:p>
        </w:tc>
        <w:tc>
          <w:tcPr>
            <w:tcW w:w="946" w:type="dxa"/>
            <w:tcBorders>
              <w:top w:val="nil"/>
              <w:left w:val="nil"/>
              <w:bottom w:val="single" w:sz="4" w:space="0" w:color="auto"/>
              <w:right w:val="single" w:sz="4" w:space="0" w:color="auto"/>
            </w:tcBorders>
            <w:noWrap/>
          </w:tcPr>
          <w:p w14:paraId="4B30EE2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F2E49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1DCD896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xml:space="preserve">prognoze līdz n+5 </w:t>
            </w: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4F3822D9"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27DABFF8"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15.5. izmaiņas ieņēmumos no sniegtajiem maksas pakalpojumiem un citiem pašu ieņēmumiem un tiem atbilstošajos izdevumos;</w:t>
            </w:r>
          </w:p>
        </w:tc>
        <w:tc>
          <w:tcPr>
            <w:tcW w:w="946" w:type="dxa"/>
            <w:tcBorders>
              <w:top w:val="nil"/>
              <w:left w:val="nil"/>
              <w:bottom w:val="single" w:sz="4" w:space="0" w:color="auto"/>
              <w:right w:val="single" w:sz="4" w:space="0" w:color="auto"/>
            </w:tcBorders>
            <w:noWrap/>
          </w:tcPr>
          <w:p w14:paraId="0E035D3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321B014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510E0BBD"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22E53BE9" w14:textId="77777777" w:rsidR="004B55A1" w:rsidRPr="006A33AA" w:rsidRDefault="004B55A1" w:rsidP="003E08F3">
            <w:pPr>
              <w:spacing w:after="0" w:line="240" w:lineRule="auto"/>
              <w:rPr>
                <w:color w:val="000000"/>
                <w:kern w:val="0"/>
                <w:sz w:val="20"/>
                <w14:ligatures w14:val="none"/>
              </w:rPr>
            </w:pP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65922D10" w14:textId="77777777" w:rsidTr="003951C3">
        <w:trPr>
          <w:trHeight w:val="215"/>
        </w:trPr>
        <w:tc>
          <w:tcPr>
            <w:tcW w:w="6437" w:type="dxa"/>
            <w:tcBorders>
              <w:top w:val="nil"/>
              <w:left w:val="single" w:sz="4" w:space="0" w:color="auto"/>
              <w:bottom w:val="single" w:sz="4" w:space="0" w:color="auto"/>
              <w:right w:val="single" w:sz="4" w:space="0" w:color="auto"/>
            </w:tcBorders>
            <w:vAlign w:val="center"/>
          </w:tcPr>
          <w:p w14:paraId="379DCA6E"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 xml:space="preserve">15.6. izmaiņas </w:t>
            </w:r>
            <w:proofErr w:type="spellStart"/>
            <w:r w:rsidRPr="006A33AA">
              <w:rPr>
                <w:rFonts w:eastAsia="Times New Roman" w:cs="Times New Roman"/>
                <w:kern w:val="0"/>
                <w:sz w:val="20"/>
                <w:szCs w:val="20"/>
                <w:lang w:eastAsia="lv-LV"/>
                <w14:ligatures w14:val="none"/>
              </w:rPr>
              <w:t>nenodokļu</w:t>
            </w:r>
            <w:proofErr w:type="spellEnd"/>
            <w:r w:rsidRPr="006A33AA">
              <w:rPr>
                <w:rFonts w:eastAsia="Times New Roman" w:cs="Times New Roman"/>
                <w:kern w:val="0"/>
                <w:sz w:val="20"/>
                <w:szCs w:val="20"/>
                <w:lang w:eastAsia="lv-LV"/>
                <w14:ligatures w14:val="none"/>
              </w:rPr>
              <w:t xml:space="preserve"> ieņēmumos un valsts speciālā budžeta saņemtajos </w:t>
            </w:r>
            <w:proofErr w:type="spellStart"/>
            <w:r w:rsidRPr="006A33AA">
              <w:rPr>
                <w:rFonts w:eastAsia="Times New Roman" w:cs="Times New Roman"/>
                <w:kern w:val="0"/>
                <w:sz w:val="20"/>
                <w:szCs w:val="20"/>
                <w:lang w:eastAsia="lv-LV"/>
                <w14:ligatures w14:val="none"/>
              </w:rPr>
              <w:t>transfertos</w:t>
            </w:r>
            <w:proofErr w:type="spellEnd"/>
            <w:r w:rsidRPr="006A33AA">
              <w:rPr>
                <w:rFonts w:eastAsia="Times New Roman" w:cs="Times New Roman"/>
                <w:kern w:val="0"/>
                <w:sz w:val="20"/>
                <w:szCs w:val="20"/>
                <w:lang w:eastAsia="lv-LV"/>
                <w14:ligatures w14:val="none"/>
              </w:rPr>
              <w:t xml:space="preserve"> no valsts pamatbudžeta un tiem atbilstošajos izdevumos;</w:t>
            </w:r>
          </w:p>
        </w:tc>
        <w:tc>
          <w:tcPr>
            <w:tcW w:w="946" w:type="dxa"/>
            <w:tcBorders>
              <w:top w:val="nil"/>
              <w:left w:val="nil"/>
              <w:bottom w:val="single" w:sz="4" w:space="0" w:color="auto"/>
              <w:right w:val="single" w:sz="4" w:space="0" w:color="auto"/>
            </w:tcBorders>
            <w:noWrap/>
          </w:tcPr>
          <w:p w14:paraId="3B6BB182"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2D859002"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7F2770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2BCCA99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6A33AA" w14:paraId="4B281067" w14:textId="77777777" w:rsidTr="003951C3">
        <w:trPr>
          <w:trHeight w:val="320"/>
        </w:trPr>
        <w:tc>
          <w:tcPr>
            <w:tcW w:w="6437" w:type="dxa"/>
            <w:tcBorders>
              <w:top w:val="nil"/>
              <w:left w:val="single" w:sz="4" w:space="0" w:color="auto"/>
              <w:bottom w:val="single" w:sz="4" w:space="0" w:color="auto"/>
              <w:right w:val="single" w:sz="4" w:space="0" w:color="auto"/>
            </w:tcBorders>
            <w:vAlign w:val="center"/>
          </w:tcPr>
          <w:p w14:paraId="33D7B5A6"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15.7. izmaiņas izdevumos saistībā ar sociālās apdrošināšanas pakalpojumu saņēmēju skaita un vidējā apmēra prognozēm;</w:t>
            </w:r>
          </w:p>
        </w:tc>
        <w:tc>
          <w:tcPr>
            <w:tcW w:w="946" w:type="dxa"/>
            <w:tcBorders>
              <w:top w:val="nil"/>
              <w:left w:val="nil"/>
              <w:bottom w:val="single" w:sz="4" w:space="0" w:color="auto"/>
              <w:right w:val="single" w:sz="4" w:space="0" w:color="auto"/>
            </w:tcBorders>
            <w:noWrap/>
          </w:tcPr>
          <w:p w14:paraId="75607E4A"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11D9C6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6AA7ED5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748B3D7"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6A33AA" w14:paraId="157E8646" w14:textId="77777777" w:rsidTr="003951C3">
        <w:trPr>
          <w:trHeight w:val="412"/>
        </w:trPr>
        <w:tc>
          <w:tcPr>
            <w:tcW w:w="6437" w:type="dxa"/>
            <w:tcBorders>
              <w:top w:val="nil"/>
              <w:left w:val="single" w:sz="4" w:space="0" w:color="auto"/>
              <w:bottom w:val="single" w:sz="4" w:space="0" w:color="auto"/>
              <w:right w:val="single" w:sz="4" w:space="0" w:color="auto"/>
            </w:tcBorders>
            <w:vAlign w:val="center"/>
          </w:tcPr>
          <w:p w14:paraId="5B0A1C54"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15.8. izdevumu palielinājumu uzturēšanas izdevumiem, kas rodas no veiktajiem kapitālajiem ieguldījumiem (tai skaitā no Eiropas Savienības politiku instrumentu un pārējo ārvalstu finanšu palīdzības līdzekļu ietvaros veiktajām investīcijām) un kas turpmāk jāfinansē no valsts budžeta līdzekļiem atbilstoši noslēgtajiem līgumiem, citiem pamatojuma dokumentiem vai aprēķiniem;</w:t>
            </w:r>
          </w:p>
        </w:tc>
        <w:tc>
          <w:tcPr>
            <w:tcW w:w="946" w:type="dxa"/>
            <w:tcBorders>
              <w:top w:val="nil"/>
              <w:left w:val="nil"/>
              <w:bottom w:val="single" w:sz="4" w:space="0" w:color="auto"/>
              <w:right w:val="single" w:sz="4" w:space="0" w:color="auto"/>
            </w:tcBorders>
            <w:noWrap/>
          </w:tcPr>
          <w:p w14:paraId="2DEDA55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10ED1137"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1BA223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p>
          <w:p w14:paraId="0CBEF9B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kern w:val="0"/>
                <w:sz w:val="20"/>
                <w:szCs w:val="20"/>
                <w:lang w:eastAsia="lv-LV"/>
                <w14:ligatures w14:val="none"/>
              </w:rPr>
              <w:t>norāda n+4 apmēru,</w:t>
            </w:r>
            <w:r w:rsidRPr="006A33AA">
              <w:rPr>
                <w:rFonts w:eastAsia="Times New Roman" w:cs="Times New Roman"/>
                <w:color w:val="000000"/>
                <w:kern w:val="0"/>
                <w:sz w:val="20"/>
                <w:szCs w:val="20"/>
                <w:lang w:eastAsia="lv-LV"/>
                <w14:ligatures w14:val="none"/>
              </w:rPr>
              <w:t xml:space="preserve"> ja cits apmērs, tad sniedz skaidrojumu</w:t>
            </w:r>
          </w:p>
        </w:tc>
      </w:tr>
    </w:tbl>
    <w:p w14:paraId="47AA0976" w14:textId="77777777" w:rsidR="00937B5B" w:rsidRDefault="00937B5B" w:rsidP="008912ED">
      <w:pPr>
        <w:jc w:val="both"/>
      </w:pPr>
    </w:p>
    <w:p w14:paraId="1AB4C885" w14:textId="77777777" w:rsidR="009908CF" w:rsidRDefault="009908CF" w:rsidP="009908CF">
      <w:pPr>
        <w:spacing w:after="0"/>
        <w:jc w:val="both"/>
      </w:pPr>
      <w:r>
        <w:t xml:space="preserve">Attiecībā uz pamatbudžeta un speciālā budžeta </w:t>
      </w:r>
      <w:proofErr w:type="spellStart"/>
      <w:r>
        <w:t>transfertiem</w:t>
      </w:r>
      <w:proofErr w:type="spellEnd"/>
      <w:r>
        <w:t xml:space="preserve"> būs divi gadījumi:</w:t>
      </w:r>
    </w:p>
    <w:p w14:paraId="247D5E06" w14:textId="77777777" w:rsidR="009908CF" w:rsidRDefault="009908CF" w:rsidP="009908CF">
      <w:pPr>
        <w:spacing w:after="0"/>
        <w:jc w:val="both"/>
      </w:pPr>
      <w:r>
        <w:t>•</w:t>
      </w:r>
      <w:r>
        <w:tab/>
      </w:r>
      <w:proofErr w:type="spellStart"/>
      <w:r>
        <w:t>transfertiem</w:t>
      </w:r>
      <w:proofErr w:type="spellEnd"/>
      <w:r>
        <w:t xml:space="preserve"> pamatbudžeta ietvaros piemērojams ievadīšanas princips “turpmākā laika posmā terminētiem vai mainīgiem pasākumiem” un atbilstoši saskaņotajām </w:t>
      </w:r>
      <w:proofErr w:type="spellStart"/>
      <w:r>
        <w:t>transfertu</w:t>
      </w:r>
      <w:proofErr w:type="spellEnd"/>
      <w:r>
        <w:t xml:space="preserve"> veidlapām pasākums ievadāms 2026- 2029.gadam. Gadījumā, ja ir MK lēmums, kurā pasākumam nav norādīts pabeigšanas gads, tad n+5=n+4.</w:t>
      </w:r>
    </w:p>
    <w:p w14:paraId="3B9D9CB5" w14:textId="788CDF7F" w:rsidR="009908CF" w:rsidRDefault="009908CF" w:rsidP="009908CF">
      <w:pPr>
        <w:jc w:val="both"/>
      </w:pPr>
      <w:r>
        <w:t>•</w:t>
      </w:r>
      <w:r>
        <w:tab/>
      </w:r>
      <w:proofErr w:type="spellStart"/>
      <w:r>
        <w:t>transfertiem</w:t>
      </w:r>
      <w:proofErr w:type="spellEnd"/>
      <w:r>
        <w:t xml:space="preserve"> no pamatbudžeta uz speciālo budžetu/ no speciālā budžeta uz pamatbudžetu piemērojams ievadīšanas princips “turpmākā laika posmā terminētiem vai mainīgiem pasākumiem”, kur n+5=n+4.</w:t>
      </w:r>
    </w:p>
    <w:p w14:paraId="1CAA9ECA" w14:textId="339A2581" w:rsidR="006A33AA" w:rsidRDefault="006A33AA" w:rsidP="008912ED">
      <w:pPr>
        <w:jc w:val="both"/>
      </w:pPr>
      <w:r w:rsidRPr="009257FF">
        <w:t>Eiropas Savienības politiku instrumentu un pārējās ārvalstu finanšu palīdzības līdzfinansēto un finansēto projektu un pasākumu īstenošana</w:t>
      </w:r>
      <w:r>
        <w:t xml:space="preserve"> daļā datus ievada pēc principa, kas piemērojams</w:t>
      </w:r>
      <w:r w:rsidRPr="00F709B0">
        <w:t xml:space="preserve"> periodiski mainīgiem vai laikā terminētiem pasākumiem</w:t>
      </w:r>
      <w:r>
        <w:t>, ja nav pieņemts lēmums par piešķirto finansējumu “turpmāk ik gadu”.</w:t>
      </w:r>
    </w:p>
    <w:p w14:paraId="21F1A62B" w14:textId="1FA76F78" w:rsidR="006A33AA" w:rsidRDefault="00862699" w:rsidP="008912ED">
      <w:pPr>
        <w:jc w:val="both"/>
      </w:pPr>
      <w:r>
        <w:t xml:space="preserve">Iestāde ņem vērā, ka vienā budžeta </w:t>
      </w:r>
      <w:r w:rsidR="00AE4BF1">
        <w:t xml:space="preserve">plāna redakcijā </w:t>
      </w:r>
      <w:r>
        <w:t xml:space="preserve">var </w:t>
      </w:r>
      <w:r w:rsidR="00DE295C">
        <w:t>būt apvienoti vairāki pasākumi, kas atbilst dažādiem izdevumu tipiem (tiem tiek piemēroti atšķirīgie ievades principi). Tād</w:t>
      </w:r>
      <w:r w:rsidR="006A33AA">
        <w:t>ā</w:t>
      </w:r>
      <w:r w:rsidR="00DE295C">
        <w:t xml:space="preserve"> gadījumā iestāde veic izdevumu tipu </w:t>
      </w:r>
      <w:proofErr w:type="spellStart"/>
      <w:r w:rsidR="00DE295C">
        <w:t>izvērtējumu</w:t>
      </w:r>
      <w:proofErr w:type="spellEnd"/>
      <w:r w:rsidR="00DE295C">
        <w:t xml:space="preserve"> un aprēķinus ārpus </w:t>
      </w:r>
      <w:r w:rsidR="00911CA9">
        <w:t>VTBP funkcionalitātes</w:t>
      </w:r>
      <w:r w:rsidR="00DE295C">
        <w:t xml:space="preserve"> un budžeta plān</w:t>
      </w:r>
      <w:r w:rsidR="00AE4BF1">
        <w:t>a redakcijā</w:t>
      </w:r>
      <w:r w:rsidR="00DE295C">
        <w:t xml:space="preserve"> ievada kopsummas</w:t>
      </w:r>
      <w:r w:rsidR="006A33AA">
        <w:t>, nepieciešamības gadījumā papildu informāciju Finanšu ministrijai sniedzot ārpus VTBP funkcionalitātes.</w:t>
      </w:r>
    </w:p>
    <w:p w14:paraId="3A33C0C4" w14:textId="77777777" w:rsidR="00106FC5" w:rsidRPr="008E4B35" w:rsidRDefault="00106FC5" w:rsidP="00106FC5">
      <w:pPr>
        <w:jc w:val="both"/>
      </w:pPr>
      <w:r>
        <w:lastRenderedPageBreak/>
        <w:t>Iestāde ir atbildīga par ievadīto datu korektumu un paskaidrojošo piezīmju patiesumu. Ministrija ir atbildīga par iestāžu ievadīto datu pārbaudi un atbilstību šajās vadlīnijās aprakstītajiem principiem. Finanšu ministrija jebkurā datu ievades un pārbaudīšanas stadijā ir tiesīga lūgt ministrijas veikt precizējumus vai iesniegt papildu informāciju. Atšķirīgo viedokļu gadījumā situāciju risina pārrunu ceļā.</w:t>
      </w:r>
    </w:p>
    <w:p w14:paraId="7662ACF5" w14:textId="49917703" w:rsidR="009D6F8A" w:rsidRDefault="00933687" w:rsidP="008912ED">
      <w:pPr>
        <w:jc w:val="both"/>
      </w:pPr>
      <w:r>
        <w:t xml:space="preserve">Aizpildot datus </w:t>
      </w:r>
      <w:r w:rsidR="00911CA9">
        <w:t>budžeta plānu redakcijās</w:t>
      </w:r>
      <w:r>
        <w:t xml:space="preserve"> padotības iestādes par </w:t>
      </w:r>
      <w:r w:rsidR="009439AB">
        <w:t xml:space="preserve">datu ievades principu </w:t>
      </w:r>
      <w:r>
        <w:t xml:space="preserve">konsultējas ar </w:t>
      </w:r>
      <w:r w:rsidR="009439AB">
        <w:t xml:space="preserve">savām </w:t>
      </w:r>
      <w:r>
        <w:t>ministrijām</w:t>
      </w:r>
      <w:r w:rsidR="009439AB">
        <w:t>, lai nodrošinātu vienotu izpratni un konsekventu principu piemērošanu budžeta resorā</w:t>
      </w:r>
      <w:r>
        <w:t xml:space="preserve">. </w:t>
      </w:r>
    </w:p>
    <w:p w14:paraId="03B4B1FD" w14:textId="77777777" w:rsidR="00937B5B" w:rsidRDefault="00937B5B" w:rsidP="00455D60">
      <w:pPr>
        <w:jc w:val="both"/>
      </w:pPr>
    </w:p>
    <w:p w14:paraId="7D217250" w14:textId="6139DBDE" w:rsidR="009B233B" w:rsidRDefault="00933687" w:rsidP="00455D60">
      <w:pPr>
        <w:jc w:val="both"/>
      </w:pPr>
      <w:r>
        <w:t xml:space="preserve">Ja ministrijām nepieciešams atbalsts </w:t>
      </w:r>
      <w:r w:rsidR="009439AB">
        <w:t xml:space="preserve">datu </w:t>
      </w:r>
      <w:proofErr w:type="spellStart"/>
      <w:r>
        <w:t>uzpildes</w:t>
      </w:r>
      <w:proofErr w:type="spellEnd"/>
      <w:r>
        <w:t xml:space="preserve"> procesā, tās </w:t>
      </w:r>
      <w:r w:rsidR="00F759A2">
        <w:t>komunicē ar Valsts</w:t>
      </w:r>
      <w:r>
        <w:t xml:space="preserve"> </w:t>
      </w:r>
      <w:r w:rsidR="00F759A2">
        <w:t>k</w:t>
      </w:r>
      <w:r>
        <w:t>as</w:t>
      </w:r>
      <w:r w:rsidR="00F759A2">
        <w:t>i</w:t>
      </w:r>
      <w:r w:rsidR="009B233B">
        <w:t>:</w:t>
      </w:r>
    </w:p>
    <w:p w14:paraId="5C89DD06" w14:textId="77777777" w:rsidR="00E6519B" w:rsidRDefault="009B233B" w:rsidP="00E6519B">
      <w:pPr>
        <w:pStyle w:val="ListParagraph"/>
        <w:numPr>
          <w:ilvl w:val="0"/>
          <w:numId w:val="1"/>
        </w:numPr>
        <w:jc w:val="both"/>
      </w:pPr>
      <w:r>
        <w:t>tālrunis 67094368;</w:t>
      </w:r>
    </w:p>
    <w:p w14:paraId="04E094B7" w14:textId="2FF11C20" w:rsidR="00E6519B" w:rsidRDefault="00E6519B" w:rsidP="00E6519B">
      <w:pPr>
        <w:pStyle w:val="ListParagraph"/>
        <w:numPr>
          <w:ilvl w:val="0"/>
          <w:numId w:val="1"/>
        </w:numPr>
        <w:jc w:val="both"/>
      </w:pPr>
      <w:r>
        <w:t>e-pakalpojumu portālā uzsākt saraksti ar Valsts kasi, izmantojot ikonu “Ziņojumi” portāla augšējās rīkjoslas labajā pusē.</w:t>
      </w:r>
    </w:p>
    <w:sectPr w:rsidR="00E6519B" w:rsidSect="00A34D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688"/>
    <w:multiLevelType w:val="hybridMultilevel"/>
    <w:tmpl w:val="747AD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7402F8"/>
    <w:multiLevelType w:val="hybridMultilevel"/>
    <w:tmpl w:val="46E66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4363BD"/>
    <w:multiLevelType w:val="hybridMultilevel"/>
    <w:tmpl w:val="4E06B344"/>
    <w:lvl w:ilvl="0" w:tplc="4C409CFE">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4949318">
    <w:abstractNumId w:val="2"/>
  </w:num>
  <w:num w:numId="2" w16cid:durableId="408965486">
    <w:abstractNumId w:val="0"/>
  </w:num>
  <w:num w:numId="3" w16cid:durableId="98154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41"/>
    <w:rsid w:val="000019E7"/>
    <w:rsid w:val="00025B90"/>
    <w:rsid w:val="00042441"/>
    <w:rsid w:val="00096071"/>
    <w:rsid w:val="000C1C93"/>
    <w:rsid w:val="000F274E"/>
    <w:rsid w:val="0010134A"/>
    <w:rsid w:val="00106FC5"/>
    <w:rsid w:val="00110A46"/>
    <w:rsid w:val="001361F9"/>
    <w:rsid w:val="0013628D"/>
    <w:rsid w:val="0014000A"/>
    <w:rsid w:val="001643CE"/>
    <w:rsid w:val="00167662"/>
    <w:rsid w:val="0019265E"/>
    <w:rsid w:val="001B0304"/>
    <w:rsid w:val="001C5B01"/>
    <w:rsid w:val="001D53E7"/>
    <w:rsid w:val="001F2FFB"/>
    <w:rsid w:val="002A22F8"/>
    <w:rsid w:val="002B67BD"/>
    <w:rsid w:val="002D294A"/>
    <w:rsid w:val="00314E6B"/>
    <w:rsid w:val="0034218E"/>
    <w:rsid w:val="0034705A"/>
    <w:rsid w:val="0036589E"/>
    <w:rsid w:val="00383D5C"/>
    <w:rsid w:val="003951C3"/>
    <w:rsid w:val="003C139A"/>
    <w:rsid w:val="003C7BB4"/>
    <w:rsid w:val="004063D9"/>
    <w:rsid w:val="00422A6C"/>
    <w:rsid w:val="00455D60"/>
    <w:rsid w:val="004648FF"/>
    <w:rsid w:val="00474D12"/>
    <w:rsid w:val="00487321"/>
    <w:rsid w:val="004B55A1"/>
    <w:rsid w:val="004C5FB0"/>
    <w:rsid w:val="00500952"/>
    <w:rsid w:val="005400DF"/>
    <w:rsid w:val="00553DEE"/>
    <w:rsid w:val="00576A42"/>
    <w:rsid w:val="005A2D4E"/>
    <w:rsid w:val="005B5361"/>
    <w:rsid w:val="005B6B3A"/>
    <w:rsid w:val="005C7D2D"/>
    <w:rsid w:val="00612007"/>
    <w:rsid w:val="006900C1"/>
    <w:rsid w:val="006A33AA"/>
    <w:rsid w:val="006A7962"/>
    <w:rsid w:val="006B0CAF"/>
    <w:rsid w:val="006B4123"/>
    <w:rsid w:val="006C1DA5"/>
    <w:rsid w:val="007048BC"/>
    <w:rsid w:val="007179DD"/>
    <w:rsid w:val="00737322"/>
    <w:rsid w:val="00744676"/>
    <w:rsid w:val="007620DF"/>
    <w:rsid w:val="00766A32"/>
    <w:rsid w:val="0077158A"/>
    <w:rsid w:val="007747A3"/>
    <w:rsid w:val="00801C73"/>
    <w:rsid w:val="00825E06"/>
    <w:rsid w:val="008512DA"/>
    <w:rsid w:val="00862699"/>
    <w:rsid w:val="00884827"/>
    <w:rsid w:val="008912ED"/>
    <w:rsid w:val="00892816"/>
    <w:rsid w:val="008B2076"/>
    <w:rsid w:val="008D01EC"/>
    <w:rsid w:val="008E4B35"/>
    <w:rsid w:val="00911CA9"/>
    <w:rsid w:val="00914650"/>
    <w:rsid w:val="009257FF"/>
    <w:rsid w:val="00927655"/>
    <w:rsid w:val="00933687"/>
    <w:rsid w:val="00937B5B"/>
    <w:rsid w:val="009439AB"/>
    <w:rsid w:val="00945BA4"/>
    <w:rsid w:val="0098480A"/>
    <w:rsid w:val="00984C60"/>
    <w:rsid w:val="009908CF"/>
    <w:rsid w:val="00996A8F"/>
    <w:rsid w:val="009B233B"/>
    <w:rsid w:val="009B3813"/>
    <w:rsid w:val="009D6F8A"/>
    <w:rsid w:val="009E0247"/>
    <w:rsid w:val="00A13944"/>
    <w:rsid w:val="00A21A59"/>
    <w:rsid w:val="00A34D41"/>
    <w:rsid w:val="00A4479E"/>
    <w:rsid w:val="00A53C74"/>
    <w:rsid w:val="00A81468"/>
    <w:rsid w:val="00A8244D"/>
    <w:rsid w:val="00AA040E"/>
    <w:rsid w:val="00AA0EF0"/>
    <w:rsid w:val="00AA5398"/>
    <w:rsid w:val="00AA73FF"/>
    <w:rsid w:val="00AA7983"/>
    <w:rsid w:val="00AE1C81"/>
    <w:rsid w:val="00AE4BF1"/>
    <w:rsid w:val="00B2602A"/>
    <w:rsid w:val="00B350AB"/>
    <w:rsid w:val="00B465E5"/>
    <w:rsid w:val="00B627AC"/>
    <w:rsid w:val="00B907C3"/>
    <w:rsid w:val="00C03815"/>
    <w:rsid w:val="00C43B20"/>
    <w:rsid w:val="00C5167F"/>
    <w:rsid w:val="00C558BE"/>
    <w:rsid w:val="00C64926"/>
    <w:rsid w:val="00C84395"/>
    <w:rsid w:val="00CA4FAE"/>
    <w:rsid w:val="00CD3262"/>
    <w:rsid w:val="00CF0904"/>
    <w:rsid w:val="00CF49B0"/>
    <w:rsid w:val="00D03672"/>
    <w:rsid w:val="00D16976"/>
    <w:rsid w:val="00D26E88"/>
    <w:rsid w:val="00D3286C"/>
    <w:rsid w:val="00D602CB"/>
    <w:rsid w:val="00DB131C"/>
    <w:rsid w:val="00DE295C"/>
    <w:rsid w:val="00E6519B"/>
    <w:rsid w:val="00EA5F66"/>
    <w:rsid w:val="00EC220F"/>
    <w:rsid w:val="00EF20FF"/>
    <w:rsid w:val="00EF2759"/>
    <w:rsid w:val="00EF3286"/>
    <w:rsid w:val="00F24AE8"/>
    <w:rsid w:val="00F759A2"/>
    <w:rsid w:val="00FB7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B508"/>
  <w15:chartTrackingRefBased/>
  <w15:docId w15:val="{5F90FA2B-0950-4CB4-A0B1-D49954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41"/>
    <w:rPr>
      <w:rFonts w:eastAsiaTheme="majorEastAsia" w:cstheme="majorBidi"/>
      <w:color w:val="272727" w:themeColor="text1" w:themeTint="D8"/>
    </w:rPr>
  </w:style>
  <w:style w:type="paragraph" w:styleId="Title">
    <w:name w:val="Title"/>
    <w:basedOn w:val="Normal"/>
    <w:next w:val="Normal"/>
    <w:link w:val="TitleChar"/>
    <w:uiPriority w:val="10"/>
    <w:qFormat/>
    <w:rsid w:val="00A3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41"/>
    <w:pPr>
      <w:spacing w:before="160"/>
      <w:jc w:val="center"/>
    </w:pPr>
    <w:rPr>
      <w:i/>
      <w:iCs/>
      <w:color w:val="404040" w:themeColor="text1" w:themeTint="BF"/>
    </w:rPr>
  </w:style>
  <w:style w:type="character" w:customStyle="1" w:styleId="QuoteChar">
    <w:name w:val="Quote Char"/>
    <w:basedOn w:val="DefaultParagraphFont"/>
    <w:link w:val="Quote"/>
    <w:uiPriority w:val="29"/>
    <w:rsid w:val="00A34D41"/>
    <w:rPr>
      <w:i/>
      <w:iCs/>
      <w:color w:val="404040" w:themeColor="text1" w:themeTint="BF"/>
    </w:rPr>
  </w:style>
  <w:style w:type="paragraph" w:styleId="ListParagraph">
    <w:name w:val="List Paragraph"/>
    <w:basedOn w:val="Normal"/>
    <w:uiPriority w:val="34"/>
    <w:qFormat/>
    <w:rsid w:val="00A34D41"/>
    <w:pPr>
      <w:ind w:left="720"/>
      <w:contextualSpacing/>
    </w:pPr>
  </w:style>
  <w:style w:type="character" w:styleId="IntenseEmphasis">
    <w:name w:val="Intense Emphasis"/>
    <w:basedOn w:val="DefaultParagraphFont"/>
    <w:uiPriority w:val="21"/>
    <w:qFormat/>
    <w:rsid w:val="00A34D41"/>
    <w:rPr>
      <w:i/>
      <w:iCs/>
      <w:color w:val="0F4761" w:themeColor="accent1" w:themeShade="BF"/>
    </w:rPr>
  </w:style>
  <w:style w:type="paragraph" w:styleId="IntenseQuote">
    <w:name w:val="Intense Quote"/>
    <w:basedOn w:val="Normal"/>
    <w:next w:val="Normal"/>
    <w:link w:val="IntenseQuoteChar"/>
    <w:uiPriority w:val="30"/>
    <w:qFormat/>
    <w:rsid w:val="00A3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41"/>
    <w:rPr>
      <w:i/>
      <w:iCs/>
      <w:color w:val="0F4761" w:themeColor="accent1" w:themeShade="BF"/>
    </w:rPr>
  </w:style>
  <w:style w:type="character" w:styleId="IntenseReference">
    <w:name w:val="Intense Reference"/>
    <w:basedOn w:val="DefaultParagraphFont"/>
    <w:uiPriority w:val="32"/>
    <w:qFormat/>
    <w:rsid w:val="00A34D41"/>
    <w:rPr>
      <w:b/>
      <w:bCs/>
      <w:smallCaps/>
      <w:color w:val="0F4761" w:themeColor="accent1" w:themeShade="BF"/>
      <w:spacing w:val="5"/>
    </w:rPr>
  </w:style>
  <w:style w:type="character" w:styleId="Hyperlink">
    <w:name w:val="Hyperlink"/>
    <w:basedOn w:val="DefaultParagraphFont"/>
    <w:uiPriority w:val="99"/>
    <w:unhideWhenUsed/>
    <w:rsid w:val="006B4123"/>
    <w:rPr>
      <w:color w:val="467886"/>
      <w:u w:val="single"/>
    </w:rPr>
  </w:style>
  <w:style w:type="paragraph" w:styleId="Revision">
    <w:name w:val="Revision"/>
    <w:hidden/>
    <w:uiPriority w:val="99"/>
    <w:semiHidden/>
    <w:rsid w:val="0077158A"/>
    <w:pPr>
      <w:spacing w:after="0" w:line="240" w:lineRule="auto"/>
    </w:pPr>
  </w:style>
  <w:style w:type="character" w:styleId="CommentReference">
    <w:name w:val="annotation reference"/>
    <w:basedOn w:val="DefaultParagraphFont"/>
    <w:uiPriority w:val="99"/>
    <w:semiHidden/>
    <w:unhideWhenUsed/>
    <w:rsid w:val="000019E7"/>
    <w:rPr>
      <w:sz w:val="16"/>
      <w:szCs w:val="16"/>
    </w:rPr>
  </w:style>
  <w:style w:type="paragraph" w:styleId="CommentText">
    <w:name w:val="annotation text"/>
    <w:basedOn w:val="Normal"/>
    <w:link w:val="CommentTextChar"/>
    <w:uiPriority w:val="99"/>
    <w:unhideWhenUsed/>
    <w:rsid w:val="000019E7"/>
    <w:pPr>
      <w:spacing w:line="240" w:lineRule="auto"/>
    </w:pPr>
    <w:rPr>
      <w:sz w:val="20"/>
      <w:szCs w:val="20"/>
    </w:rPr>
  </w:style>
  <w:style w:type="character" w:customStyle="1" w:styleId="CommentTextChar">
    <w:name w:val="Comment Text Char"/>
    <w:basedOn w:val="DefaultParagraphFont"/>
    <w:link w:val="CommentText"/>
    <w:uiPriority w:val="99"/>
    <w:rsid w:val="000019E7"/>
    <w:rPr>
      <w:sz w:val="20"/>
      <w:szCs w:val="20"/>
    </w:rPr>
  </w:style>
  <w:style w:type="paragraph" w:styleId="CommentSubject">
    <w:name w:val="annotation subject"/>
    <w:basedOn w:val="CommentText"/>
    <w:next w:val="CommentText"/>
    <w:link w:val="CommentSubjectChar"/>
    <w:uiPriority w:val="99"/>
    <w:semiHidden/>
    <w:unhideWhenUsed/>
    <w:rsid w:val="000019E7"/>
    <w:rPr>
      <w:b/>
      <w:bCs/>
    </w:rPr>
  </w:style>
  <w:style w:type="character" w:customStyle="1" w:styleId="CommentSubjectChar">
    <w:name w:val="Comment Subject Char"/>
    <w:basedOn w:val="CommentTextChar"/>
    <w:link w:val="CommentSubject"/>
    <w:uiPriority w:val="99"/>
    <w:semiHidden/>
    <w:rsid w:val="000019E7"/>
    <w:rPr>
      <w:b/>
      <w:bCs/>
      <w:sz w:val="20"/>
      <w:szCs w:val="20"/>
    </w:rPr>
  </w:style>
  <w:style w:type="character" w:styleId="UnresolvedMention">
    <w:name w:val="Unresolved Mention"/>
    <w:basedOn w:val="DefaultParagraphFont"/>
    <w:uiPriority w:val="99"/>
    <w:semiHidden/>
    <w:unhideWhenUsed/>
    <w:rsid w:val="007620DF"/>
    <w:rPr>
      <w:color w:val="605E5C"/>
      <w:shd w:val="clear" w:color="auto" w:fill="E1DFDD"/>
    </w:rPr>
  </w:style>
  <w:style w:type="character" w:styleId="FollowedHyperlink">
    <w:name w:val="FollowedHyperlink"/>
    <w:basedOn w:val="DefaultParagraphFont"/>
    <w:uiPriority w:val="99"/>
    <w:semiHidden/>
    <w:unhideWhenUsed/>
    <w:rsid w:val="007620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6189" TargetMode="External"/><Relationship Id="rId4" Type="http://schemas.openxmlformats.org/officeDocument/2006/relationships/settings" Target="settings.xml"/><Relationship Id="rId9" Type="http://schemas.openxmlformats.org/officeDocument/2006/relationships/hyperlink" Target="https://likumi.lv/ta/id/136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D53B-87C9-44B7-B424-A6998DBC23F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12938</Characters>
  <Application>Microsoft Office Word</Application>
  <DocSecurity>0</DocSecurity>
  <Lines>1437</Lines>
  <Paragraphs>521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dc:creator>
  <cp:keywords/>
  <dc:description/>
  <cp:lastModifiedBy>BMN</cp:lastModifiedBy>
  <cp:revision>3</cp:revision>
  <dcterms:created xsi:type="dcterms:W3CDTF">2026-03-27T11:48:00Z</dcterms:created>
  <dcterms:modified xsi:type="dcterms:W3CDTF">2026-03-27T11:50:00Z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0df305dc-bf13-4abf-8ffc-acd4b94eba9d</vt:lpwstr>
  </property>
</Properties>
</file>