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310" w:type="dxa"/>
        <w:tblInd w:w="-294"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ayout w:type="fixed"/>
        <w:tblLook w:val="04A0" w:firstRow="1" w:lastRow="0" w:firstColumn="1" w:lastColumn="0" w:noHBand="0" w:noVBand="1"/>
      </w:tblPr>
      <w:tblGrid>
        <w:gridCol w:w="568"/>
        <w:gridCol w:w="1843"/>
        <w:gridCol w:w="1413"/>
        <w:gridCol w:w="1705"/>
        <w:gridCol w:w="1276"/>
        <w:gridCol w:w="989"/>
        <w:gridCol w:w="2413"/>
        <w:gridCol w:w="1985"/>
        <w:gridCol w:w="1842"/>
        <w:gridCol w:w="1276"/>
      </w:tblGrid>
      <w:tr w:rsidR="00713847" w:rsidRPr="00713847" w14:paraId="38D86DD8" w14:textId="77777777" w:rsidTr="00BD071B">
        <w:trPr>
          <w:trHeight w:val="315"/>
        </w:trPr>
        <w:tc>
          <w:tcPr>
            <w:tcW w:w="15310" w:type="dxa"/>
            <w:gridSpan w:val="10"/>
            <w:shd w:val="clear" w:color="auto" w:fill="BDD6EE" w:themeFill="accent1" w:themeFillTint="66"/>
            <w:hideMark/>
          </w:tcPr>
          <w:p w14:paraId="69929E86" w14:textId="77777777" w:rsidR="00713847" w:rsidRPr="00713847" w:rsidRDefault="00713847" w:rsidP="000F5A0D">
            <w:pPr>
              <w:jc w:val="center"/>
              <w:rPr>
                <w:b/>
                <w:bCs/>
              </w:rPr>
            </w:pPr>
            <w:bookmarkStart w:id="0" w:name="_GoBack"/>
            <w:bookmarkEnd w:id="0"/>
            <w:r w:rsidRPr="00713847">
              <w:rPr>
                <w:b/>
                <w:bCs/>
              </w:rPr>
              <w:t>REVĪZIJAS PAKALPOJUMU KVALITĀTES KONTROLES PRASĪBU IEVĒROŠANAS PĀRBAUŽU (INSPEKCIJU) REZULTĀT</w:t>
            </w:r>
            <w:r w:rsidR="000F5A0D">
              <w:rPr>
                <w:b/>
                <w:bCs/>
              </w:rPr>
              <w:t>U APKOPOJUMS</w:t>
            </w:r>
            <w:r w:rsidR="00807724">
              <w:rPr>
                <w:b/>
                <w:bCs/>
              </w:rPr>
              <w:t>, 2019</w:t>
            </w:r>
            <w:r w:rsidRPr="00713847">
              <w:rPr>
                <w:b/>
                <w:bCs/>
              </w:rPr>
              <w:t>.GADS</w:t>
            </w:r>
            <w:r w:rsidR="000F5A0D">
              <w:rPr>
                <w:rStyle w:val="FootnoteReference"/>
                <w:b/>
                <w:bCs/>
              </w:rPr>
              <w:footnoteReference w:id="1"/>
            </w:r>
          </w:p>
        </w:tc>
      </w:tr>
      <w:tr w:rsidR="000F5A0D" w:rsidRPr="00713847" w14:paraId="6F47E957" w14:textId="77777777" w:rsidTr="00BD071B">
        <w:trPr>
          <w:trHeight w:val="132"/>
        </w:trPr>
        <w:tc>
          <w:tcPr>
            <w:tcW w:w="15310" w:type="dxa"/>
            <w:gridSpan w:val="10"/>
            <w:shd w:val="clear" w:color="auto" w:fill="FFF2CC" w:themeFill="accent4" w:themeFillTint="33"/>
            <w:noWrap/>
            <w:hideMark/>
          </w:tcPr>
          <w:p w14:paraId="61FAD846" w14:textId="77777777" w:rsidR="000F5A0D" w:rsidRPr="00713847" w:rsidRDefault="000F5A0D">
            <w:r w:rsidRPr="00713847">
              <w:t>  </w:t>
            </w:r>
          </w:p>
        </w:tc>
      </w:tr>
      <w:tr w:rsidR="00703A86" w:rsidRPr="00713847" w14:paraId="7F8818A4" w14:textId="77777777" w:rsidTr="00C36A35">
        <w:trPr>
          <w:trHeight w:val="419"/>
        </w:trPr>
        <w:tc>
          <w:tcPr>
            <w:tcW w:w="568" w:type="dxa"/>
            <w:vMerge w:val="restart"/>
            <w:shd w:val="clear" w:color="auto" w:fill="A8D08D" w:themeFill="accent6" w:themeFillTint="99"/>
            <w:hideMark/>
          </w:tcPr>
          <w:p w14:paraId="34CFAEBC" w14:textId="77777777" w:rsidR="00703A86" w:rsidRPr="00E16B38" w:rsidRDefault="00703A86" w:rsidP="00713847">
            <w:pPr>
              <w:rPr>
                <w:b/>
                <w:bCs/>
                <w:sz w:val="20"/>
                <w:szCs w:val="20"/>
              </w:rPr>
            </w:pPr>
            <w:r w:rsidRPr="00E16B38">
              <w:rPr>
                <w:b/>
                <w:bCs/>
                <w:sz w:val="20"/>
                <w:szCs w:val="20"/>
              </w:rPr>
              <w:t>Nr.</w:t>
            </w:r>
          </w:p>
          <w:p w14:paraId="1E6F2D27" w14:textId="77777777" w:rsidR="00703A86" w:rsidRPr="00E16B38" w:rsidRDefault="00703A86" w:rsidP="00713847">
            <w:pPr>
              <w:rPr>
                <w:b/>
                <w:bCs/>
                <w:sz w:val="20"/>
                <w:szCs w:val="20"/>
              </w:rPr>
            </w:pPr>
            <w:r w:rsidRPr="00E16B38">
              <w:rPr>
                <w:b/>
                <w:bCs/>
                <w:sz w:val="20"/>
                <w:szCs w:val="20"/>
              </w:rPr>
              <w:t>p.k.</w:t>
            </w:r>
          </w:p>
        </w:tc>
        <w:tc>
          <w:tcPr>
            <w:tcW w:w="1843" w:type="dxa"/>
            <w:vMerge w:val="restart"/>
            <w:shd w:val="clear" w:color="auto" w:fill="A8D08D" w:themeFill="accent6" w:themeFillTint="99"/>
            <w:hideMark/>
          </w:tcPr>
          <w:p w14:paraId="2A23F641" w14:textId="77777777" w:rsidR="00703A86" w:rsidRPr="00E16B38" w:rsidRDefault="00703A86" w:rsidP="000F5A0D">
            <w:pPr>
              <w:jc w:val="center"/>
              <w:rPr>
                <w:b/>
                <w:bCs/>
                <w:sz w:val="20"/>
                <w:szCs w:val="20"/>
              </w:rPr>
            </w:pPr>
            <w:r w:rsidRPr="00E16B38">
              <w:rPr>
                <w:b/>
                <w:bCs/>
                <w:sz w:val="20"/>
                <w:szCs w:val="20"/>
              </w:rPr>
              <w:t>Pārbaudāmās zvērinātu revidentu komercsabiedrības nosaukums</w:t>
            </w:r>
            <w:r>
              <w:rPr>
                <w:rStyle w:val="FootnoteReference"/>
                <w:b/>
                <w:bCs/>
                <w:sz w:val="20"/>
                <w:szCs w:val="20"/>
              </w:rPr>
              <w:footnoteReference w:id="2"/>
            </w:r>
          </w:p>
        </w:tc>
        <w:tc>
          <w:tcPr>
            <w:tcW w:w="5383" w:type="dxa"/>
            <w:gridSpan w:val="4"/>
            <w:shd w:val="clear" w:color="auto" w:fill="A8D08D" w:themeFill="accent6" w:themeFillTint="99"/>
            <w:noWrap/>
            <w:hideMark/>
          </w:tcPr>
          <w:p w14:paraId="40AAE139" w14:textId="77777777" w:rsidR="00703A86" w:rsidRPr="00E16B38" w:rsidRDefault="00703A86" w:rsidP="000F5A0D">
            <w:pPr>
              <w:jc w:val="center"/>
              <w:rPr>
                <w:b/>
                <w:bCs/>
                <w:sz w:val="20"/>
                <w:szCs w:val="20"/>
              </w:rPr>
            </w:pPr>
            <w:r w:rsidRPr="00E16B38">
              <w:rPr>
                <w:b/>
                <w:bCs/>
                <w:sz w:val="20"/>
                <w:szCs w:val="20"/>
              </w:rPr>
              <w:t>Informācija par pārbaudei pakļautajiem atsevišķiem revīzijas uzdevumiem</w:t>
            </w:r>
          </w:p>
        </w:tc>
        <w:tc>
          <w:tcPr>
            <w:tcW w:w="4398" w:type="dxa"/>
            <w:gridSpan w:val="2"/>
            <w:shd w:val="clear" w:color="auto" w:fill="A8D08D" w:themeFill="accent6" w:themeFillTint="99"/>
            <w:hideMark/>
          </w:tcPr>
          <w:p w14:paraId="768F17BA" w14:textId="77777777" w:rsidR="00703A86" w:rsidRPr="00E16B38" w:rsidRDefault="00703A86" w:rsidP="000F5A0D">
            <w:pPr>
              <w:jc w:val="center"/>
              <w:rPr>
                <w:b/>
                <w:bCs/>
                <w:sz w:val="20"/>
                <w:szCs w:val="20"/>
              </w:rPr>
            </w:pPr>
            <w:r w:rsidRPr="00E16B38">
              <w:rPr>
                <w:b/>
                <w:bCs/>
                <w:sz w:val="20"/>
                <w:szCs w:val="20"/>
              </w:rPr>
              <w:t>Pārbaudē konstatētais trūkums</w:t>
            </w:r>
          </w:p>
        </w:tc>
        <w:tc>
          <w:tcPr>
            <w:tcW w:w="1842" w:type="dxa"/>
            <w:vMerge w:val="restart"/>
            <w:shd w:val="clear" w:color="auto" w:fill="A8D08D" w:themeFill="accent6" w:themeFillTint="99"/>
            <w:hideMark/>
          </w:tcPr>
          <w:p w14:paraId="6A8E3A78" w14:textId="77777777" w:rsidR="00703A86" w:rsidRPr="00E16B38" w:rsidRDefault="00703A86" w:rsidP="000F5A0D">
            <w:pPr>
              <w:jc w:val="center"/>
              <w:rPr>
                <w:b/>
                <w:bCs/>
                <w:sz w:val="20"/>
                <w:szCs w:val="20"/>
              </w:rPr>
            </w:pPr>
            <w:r w:rsidRPr="00E16B38">
              <w:rPr>
                <w:b/>
                <w:bCs/>
                <w:sz w:val="20"/>
                <w:szCs w:val="20"/>
              </w:rPr>
              <w:t>Sniegtie ieteikumi konstatēto trūkumu novēršanai</w:t>
            </w:r>
          </w:p>
        </w:tc>
        <w:tc>
          <w:tcPr>
            <w:tcW w:w="1276" w:type="dxa"/>
            <w:vMerge w:val="restart"/>
            <w:shd w:val="clear" w:color="auto" w:fill="A8D08D" w:themeFill="accent6" w:themeFillTint="99"/>
            <w:hideMark/>
          </w:tcPr>
          <w:p w14:paraId="6D661031" w14:textId="24E0F136" w:rsidR="00703A86" w:rsidRPr="00E16B38" w:rsidRDefault="00703A86" w:rsidP="00703A86">
            <w:pPr>
              <w:ind w:right="-100"/>
              <w:rPr>
                <w:b/>
                <w:bCs/>
                <w:sz w:val="20"/>
                <w:szCs w:val="20"/>
              </w:rPr>
            </w:pPr>
            <w:r w:rsidRPr="00E16B38">
              <w:rPr>
                <w:b/>
                <w:bCs/>
                <w:sz w:val="20"/>
                <w:szCs w:val="20"/>
              </w:rPr>
              <w:t>Novērtējuma kategorija</w:t>
            </w:r>
            <w:r>
              <w:rPr>
                <w:rStyle w:val="FootnoteReference"/>
                <w:b/>
                <w:bCs/>
                <w:sz w:val="20"/>
                <w:szCs w:val="20"/>
              </w:rPr>
              <w:footnoteReference w:id="3"/>
            </w:r>
          </w:p>
        </w:tc>
      </w:tr>
      <w:tr w:rsidR="00703A86" w:rsidRPr="00713847" w14:paraId="256921A5" w14:textId="77777777" w:rsidTr="009216CD">
        <w:trPr>
          <w:trHeight w:val="404"/>
        </w:trPr>
        <w:tc>
          <w:tcPr>
            <w:tcW w:w="568" w:type="dxa"/>
            <w:vMerge/>
            <w:hideMark/>
          </w:tcPr>
          <w:p w14:paraId="23263AB3" w14:textId="77777777" w:rsidR="00703A86" w:rsidRPr="00E16B38" w:rsidRDefault="00703A86">
            <w:pPr>
              <w:rPr>
                <w:b/>
                <w:bCs/>
                <w:sz w:val="20"/>
                <w:szCs w:val="20"/>
              </w:rPr>
            </w:pPr>
          </w:p>
        </w:tc>
        <w:tc>
          <w:tcPr>
            <w:tcW w:w="1843" w:type="dxa"/>
            <w:vMerge/>
            <w:hideMark/>
          </w:tcPr>
          <w:p w14:paraId="0CA6A6E5" w14:textId="77777777" w:rsidR="00703A86" w:rsidRPr="00E16B38" w:rsidRDefault="00703A86">
            <w:pPr>
              <w:rPr>
                <w:b/>
                <w:bCs/>
                <w:sz w:val="20"/>
                <w:szCs w:val="20"/>
              </w:rPr>
            </w:pPr>
          </w:p>
        </w:tc>
        <w:tc>
          <w:tcPr>
            <w:tcW w:w="1413" w:type="dxa"/>
            <w:vMerge w:val="restart"/>
            <w:shd w:val="clear" w:color="auto" w:fill="A8D08D" w:themeFill="accent6" w:themeFillTint="99"/>
            <w:hideMark/>
          </w:tcPr>
          <w:p w14:paraId="705D45B4" w14:textId="77777777" w:rsidR="00703A86" w:rsidRPr="00E16B38" w:rsidRDefault="00703A86" w:rsidP="000F5A0D">
            <w:pPr>
              <w:jc w:val="center"/>
              <w:rPr>
                <w:b/>
                <w:bCs/>
                <w:sz w:val="20"/>
                <w:szCs w:val="20"/>
              </w:rPr>
            </w:pPr>
            <w:r w:rsidRPr="00E16B38">
              <w:rPr>
                <w:b/>
                <w:bCs/>
                <w:sz w:val="20"/>
                <w:szCs w:val="20"/>
              </w:rPr>
              <w:t>Pārbaudāmo</w:t>
            </w:r>
            <w:r>
              <w:rPr>
                <w:b/>
                <w:bCs/>
                <w:sz w:val="20"/>
                <w:szCs w:val="20"/>
              </w:rPr>
              <w:t xml:space="preserve"> revīzijas</w:t>
            </w:r>
            <w:r w:rsidRPr="00E16B38">
              <w:rPr>
                <w:b/>
                <w:bCs/>
                <w:sz w:val="20"/>
                <w:szCs w:val="20"/>
              </w:rPr>
              <w:t xml:space="preserve"> uzdevumu skaits</w:t>
            </w:r>
          </w:p>
        </w:tc>
        <w:tc>
          <w:tcPr>
            <w:tcW w:w="1705" w:type="dxa"/>
            <w:vMerge w:val="restart"/>
            <w:shd w:val="clear" w:color="auto" w:fill="A8D08D" w:themeFill="accent6" w:themeFillTint="99"/>
            <w:hideMark/>
          </w:tcPr>
          <w:p w14:paraId="4547F22B" w14:textId="0B430419" w:rsidR="00703A86" w:rsidRPr="00E16B38" w:rsidRDefault="00703A86" w:rsidP="009216CD">
            <w:pPr>
              <w:jc w:val="center"/>
              <w:rPr>
                <w:b/>
                <w:bCs/>
                <w:sz w:val="20"/>
                <w:szCs w:val="20"/>
              </w:rPr>
            </w:pPr>
            <w:r>
              <w:rPr>
                <w:b/>
                <w:bCs/>
                <w:sz w:val="20"/>
                <w:szCs w:val="20"/>
              </w:rPr>
              <w:t>Klienta (SNS</w:t>
            </w:r>
            <w:r>
              <w:rPr>
                <w:rStyle w:val="FootnoteReference"/>
                <w:b/>
                <w:bCs/>
                <w:sz w:val="20"/>
                <w:szCs w:val="20"/>
              </w:rPr>
              <w:footnoteReference w:id="4"/>
            </w:r>
            <w:r w:rsidRPr="00E16B38">
              <w:rPr>
                <w:b/>
                <w:bCs/>
                <w:sz w:val="20"/>
                <w:szCs w:val="20"/>
              </w:rPr>
              <w:t>) veids</w:t>
            </w:r>
          </w:p>
        </w:tc>
        <w:tc>
          <w:tcPr>
            <w:tcW w:w="2265" w:type="dxa"/>
            <w:gridSpan w:val="2"/>
            <w:shd w:val="clear" w:color="auto" w:fill="A8D08D" w:themeFill="accent6" w:themeFillTint="99"/>
            <w:noWrap/>
            <w:hideMark/>
          </w:tcPr>
          <w:p w14:paraId="7422251F" w14:textId="77777777" w:rsidR="00703A86" w:rsidRPr="00E16B38" w:rsidRDefault="00703A86" w:rsidP="000F5A0D">
            <w:pPr>
              <w:jc w:val="center"/>
              <w:rPr>
                <w:b/>
                <w:bCs/>
                <w:sz w:val="20"/>
                <w:szCs w:val="20"/>
              </w:rPr>
            </w:pPr>
            <w:r w:rsidRPr="00E16B38">
              <w:rPr>
                <w:b/>
                <w:bCs/>
                <w:sz w:val="20"/>
                <w:szCs w:val="20"/>
              </w:rPr>
              <w:t>Revīzijas uzdevuma pārbaude</w:t>
            </w:r>
          </w:p>
        </w:tc>
        <w:tc>
          <w:tcPr>
            <w:tcW w:w="2413" w:type="dxa"/>
            <w:vMerge w:val="restart"/>
            <w:shd w:val="clear" w:color="auto" w:fill="A8D08D" w:themeFill="accent6" w:themeFillTint="99"/>
            <w:hideMark/>
          </w:tcPr>
          <w:p w14:paraId="5CF71DBB" w14:textId="77777777" w:rsidR="00703A86" w:rsidRPr="00E16B38" w:rsidRDefault="00703A86" w:rsidP="000F5A0D">
            <w:pPr>
              <w:jc w:val="center"/>
              <w:rPr>
                <w:b/>
                <w:bCs/>
                <w:sz w:val="20"/>
                <w:szCs w:val="20"/>
              </w:rPr>
            </w:pPr>
            <w:r w:rsidRPr="00E16B38">
              <w:rPr>
                <w:b/>
                <w:bCs/>
                <w:sz w:val="20"/>
                <w:szCs w:val="20"/>
              </w:rPr>
              <w:t>Konstatētā trūkuma apraksts</w:t>
            </w:r>
          </w:p>
        </w:tc>
        <w:tc>
          <w:tcPr>
            <w:tcW w:w="1985" w:type="dxa"/>
            <w:vMerge w:val="restart"/>
            <w:shd w:val="clear" w:color="auto" w:fill="A8D08D" w:themeFill="accent6" w:themeFillTint="99"/>
            <w:hideMark/>
          </w:tcPr>
          <w:p w14:paraId="0F3C785C" w14:textId="77777777" w:rsidR="00703A86" w:rsidRPr="00E16B38" w:rsidRDefault="00703A86" w:rsidP="000F5A0D">
            <w:pPr>
              <w:jc w:val="center"/>
              <w:rPr>
                <w:b/>
                <w:bCs/>
                <w:sz w:val="20"/>
                <w:szCs w:val="20"/>
              </w:rPr>
            </w:pPr>
            <w:r w:rsidRPr="00E16B38">
              <w:rPr>
                <w:b/>
                <w:bCs/>
                <w:sz w:val="20"/>
                <w:szCs w:val="20"/>
              </w:rPr>
              <w:t>Normatīvā regulējuma attiecīgā prasība, kas nav ievērota</w:t>
            </w:r>
          </w:p>
        </w:tc>
        <w:tc>
          <w:tcPr>
            <w:tcW w:w="1842" w:type="dxa"/>
            <w:vMerge/>
            <w:hideMark/>
          </w:tcPr>
          <w:p w14:paraId="1DE22AB4" w14:textId="77777777" w:rsidR="00703A86" w:rsidRPr="00E16B38" w:rsidRDefault="00703A86">
            <w:pPr>
              <w:rPr>
                <w:b/>
                <w:bCs/>
                <w:sz w:val="20"/>
                <w:szCs w:val="20"/>
              </w:rPr>
            </w:pPr>
          </w:p>
        </w:tc>
        <w:tc>
          <w:tcPr>
            <w:tcW w:w="1276" w:type="dxa"/>
            <w:vMerge/>
            <w:shd w:val="clear" w:color="auto" w:fill="A8D08D" w:themeFill="accent6" w:themeFillTint="99"/>
            <w:hideMark/>
          </w:tcPr>
          <w:p w14:paraId="088D0799" w14:textId="1F260C03" w:rsidR="00703A86" w:rsidRPr="00E16B38" w:rsidRDefault="00703A86" w:rsidP="00472A56">
            <w:pPr>
              <w:rPr>
                <w:b/>
                <w:bCs/>
                <w:sz w:val="20"/>
                <w:szCs w:val="20"/>
              </w:rPr>
            </w:pPr>
          </w:p>
        </w:tc>
      </w:tr>
      <w:tr w:rsidR="00703A86" w:rsidRPr="00713847" w14:paraId="5352776B" w14:textId="77777777" w:rsidTr="009216CD">
        <w:trPr>
          <w:trHeight w:val="462"/>
        </w:trPr>
        <w:tc>
          <w:tcPr>
            <w:tcW w:w="568" w:type="dxa"/>
            <w:vMerge/>
            <w:hideMark/>
          </w:tcPr>
          <w:p w14:paraId="4D3C7F19" w14:textId="77777777" w:rsidR="00703A86" w:rsidRPr="00E16B38" w:rsidRDefault="00703A86">
            <w:pPr>
              <w:rPr>
                <w:b/>
                <w:bCs/>
                <w:sz w:val="20"/>
                <w:szCs w:val="20"/>
              </w:rPr>
            </w:pPr>
          </w:p>
        </w:tc>
        <w:tc>
          <w:tcPr>
            <w:tcW w:w="1843" w:type="dxa"/>
            <w:vMerge/>
            <w:hideMark/>
          </w:tcPr>
          <w:p w14:paraId="24E4B8DA" w14:textId="77777777" w:rsidR="00703A86" w:rsidRPr="00E16B38" w:rsidRDefault="00703A86">
            <w:pPr>
              <w:rPr>
                <w:b/>
                <w:bCs/>
                <w:sz w:val="20"/>
                <w:szCs w:val="20"/>
              </w:rPr>
            </w:pPr>
          </w:p>
        </w:tc>
        <w:tc>
          <w:tcPr>
            <w:tcW w:w="1413" w:type="dxa"/>
            <w:vMerge/>
            <w:shd w:val="clear" w:color="auto" w:fill="A8D08D" w:themeFill="accent6" w:themeFillTint="99"/>
            <w:hideMark/>
          </w:tcPr>
          <w:p w14:paraId="759443B5" w14:textId="77777777" w:rsidR="00703A86" w:rsidRPr="00E16B38" w:rsidRDefault="00703A86">
            <w:pPr>
              <w:rPr>
                <w:b/>
                <w:bCs/>
                <w:sz w:val="20"/>
                <w:szCs w:val="20"/>
              </w:rPr>
            </w:pPr>
          </w:p>
        </w:tc>
        <w:tc>
          <w:tcPr>
            <w:tcW w:w="1705" w:type="dxa"/>
            <w:vMerge/>
            <w:shd w:val="clear" w:color="auto" w:fill="A8D08D" w:themeFill="accent6" w:themeFillTint="99"/>
            <w:hideMark/>
          </w:tcPr>
          <w:p w14:paraId="53F65FA7" w14:textId="77777777" w:rsidR="00703A86" w:rsidRPr="00E16B38" w:rsidRDefault="00703A86">
            <w:pPr>
              <w:rPr>
                <w:b/>
                <w:bCs/>
                <w:sz w:val="20"/>
                <w:szCs w:val="20"/>
              </w:rPr>
            </w:pPr>
          </w:p>
        </w:tc>
        <w:tc>
          <w:tcPr>
            <w:tcW w:w="1276" w:type="dxa"/>
            <w:shd w:val="clear" w:color="auto" w:fill="A8D08D" w:themeFill="accent6" w:themeFillTint="99"/>
            <w:hideMark/>
          </w:tcPr>
          <w:p w14:paraId="2DC06EE6" w14:textId="77777777" w:rsidR="00703A86" w:rsidRPr="00E16B38" w:rsidRDefault="00703A86" w:rsidP="000F5A0D">
            <w:pPr>
              <w:jc w:val="center"/>
              <w:rPr>
                <w:b/>
                <w:bCs/>
                <w:sz w:val="20"/>
                <w:szCs w:val="20"/>
              </w:rPr>
            </w:pPr>
            <w:r w:rsidRPr="00E16B38">
              <w:rPr>
                <w:b/>
                <w:bCs/>
                <w:sz w:val="20"/>
                <w:szCs w:val="20"/>
              </w:rPr>
              <w:t>Pārskata tips</w:t>
            </w:r>
          </w:p>
        </w:tc>
        <w:tc>
          <w:tcPr>
            <w:tcW w:w="989" w:type="dxa"/>
            <w:shd w:val="clear" w:color="auto" w:fill="A8D08D" w:themeFill="accent6" w:themeFillTint="99"/>
            <w:hideMark/>
          </w:tcPr>
          <w:p w14:paraId="4A6B303E" w14:textId="77777777" w:rsidR="00703A86" w:rsidRPr="00E16B38" w:rsidRDefault="00703A86" w:rsidP="000F5A0D">
            <w:pPr>
              <w:jc w:val="center"/>
              <w:rPr>
                <w:b/>
                <w:bCs/>
                <w:sz w:val="20"/>
                <w:szCs w:val="20"/>
              </w:rPr>
            </w:pPr>
            <w:r w:rsidRPr="00E16B38">
              <w:rPr>
                <w:b/>
                <w:bCs/>
                <w:sz w:val="20"/>
                <w:szCs w:val="20"/>
              </w:rPr>
              <w:t>Pārskata periods</w:t>
            </w:r>
          </w:p>
        </w:tc>
        <w:tc>
          <w:tcPr>
            <w:tcW w:w="2413" w:type="dxa"/>
            <w:vMerge/>
            <w:shd w:val="clear" w:color="auto" w:fill="A8D08D" w:themeFill="accent6" w:themeFillTint="99"/>
            <w:hideMark/>
          </w:tcPr>
          <w:p w14:paraId="0D268754" w14:textId="77777777" w:rsidR="00703A86" w:rsidRPr="00E16B38" w:rsidRDefault="00703A86">
            <w:pPr>
              <w:rPr>
                <w:b/>
                <w:bCs/>
                <w:sz w:val="20"/>
                <w:szCs w:val="20"/>
              </w:rPr>
            </w:pPr>
          </w:p>
        </w:tc>
        <w:tc>
          <w:tcPr>
            <w:tcW w:w="1985" w:type="dxa"/>
            <w:vMerge/>
            <w:shd w:val="clear" w:color="auto" w:fill="A8D08D" w:themeFill="accent6" w:themeFillTint="99"/>
            <w:hideMark/>
          </w:tcPr>
          <w:p w14:paraId="1A225BF6" w14:textId="77777777" w:rsidR="00703A86" w:rsidRPr="00E16B38" w:rsidRDefault="00703A86">
            <w:pPr>
              <w:rPr>
                <w:b/>
                <w:bCs/>
                <w:sz w:val="20"/>
                <w:szCs w:val="20"/>
              </w:rPr>
            </w:pPr>
          </w:p>
        </w:tc>
        <w:tc>
          <w:tcPr>
            <w:tcW w:w="1842" w:type="dxa"/>
            <w:vMerge/>
            <w:hideMark/>
          </w:tcPr>
          <w:p w14:paraId="332EB9EB" w14:textId="77777777" w:rsidR="00703A86" w:rsidRPr="00E16B38" w:rsidRDefault="00703A86">
            <w:pPr>
              <w:rPr>
                <w:b/>
                <w:bCs/>
                <w:sz w:val="20"/>
                <w:szCs w:val="20"/>
              </w:rPr>
            </w:pPr>
          </w:p>
        </w:tc>
        <w:tc>
          <w:tcPr>
            <w:tcW w:w="1276" w:type="dxa"/>
            <w:vMerge/>
            <w:shd w:val="clear" w:color="auto" w:fill="A8D08D" w:themeFill="accent6" w:themeFillTint="99"/>
            <w:hideMark/>
          </w:tcPr>
          <w:p w14:paraId="229F4623" w14:textId="2C4BBA32" w:rsidR="00703A86" w:rsidRPr="00E16B38" w:rsidRDefault="00703A86">
            <w:pPr>
              <w:rPr>
                <w:b/>
                <w:bCs/>
                <w:sz w:val="20"/>
                <w:szCs w:val="20"/>
              </w:rPr>
            </w:pPr>
          </w:p>
        </w:tc>
      </w:tr>
      <w:tr w:rsidR="00B95826" w:rsidRPr="00713847" w14:paraId="606C30D0" w14:textId="77777777" w:rsidTr="00B95826">
        <w:trPr>
          <w:trHeight w:val="560"/>
        </w:trPr>
        <w:tc>
          <w:tcPr>
            <w:tcW w:w="568" w:type="dxa"/>
            <w:vMerge w:val="restart"/>
            <w:hideMark/>
          </w:tcPr>
          <w:p w14:paraId="1DBC2162" w14:textId="77777777" w:rsidR="00B95826" w:rsidRPr="00E16B38" w:rsidRDefault="00B95826" w:rsidP="00B95826">
            <w:pPr>
              <w:rPr>
                <w:sz w:val="20"/>
                <w:szCs w:val="20"/>
              </w:rPr>
            </w:pPr>
            <w:r w:rsidRPr="00E16B38">
              <w:rPr>
                <w:sz w:val="20"/>
                <w:szCs w:val="20"/>
              </w:rPr>
              <w:t>1.</w:t>
            </w:r>
          </w:p>
        </w:tc>
        <w:tc>
          <w:tcPr>
            <w:tcW w:w="1843" w:type="dxa"/>
            <w:vMerge w:val="restart"/>
            <w:hideMark/>
          </w:tcPr>
          <w:p w14:paraId="55597A73" w14:textId="13E1B52A" w:rsidR="00B95826" w:rsidRPr="00E16B38" w:rsidRDefault="00B672EF" w:rsidP="00B95826">
            <w:pPr>
              <w:jc w:val="both"/>
              <w:rPr>
                <w:sz w:val="20"/>
                <w:szCs w:val="20"/>
              </w:rPr>
            </w:pPr>
            <w:r>
              <w:rPr>
                <w:b/>
                <w:sz w:val="20"/>
                <w:szCs w:val="20"/>
              </w:rPr>
              <w:t>Prakse Nr.1.</w:t>
            </w:r>
          </w:p>
        </w:tc>
        <w:tc>
          <w:tcPr>
            <w:tcW w:w="1413" w:type="dxa"/>
            <w:vMerge w:val="restart"/>
            <w:hideMark/>
          </w:tcPr>
          <w:p w14:paraId="64BB836A" w14:textId="77777777" w:rsidR="00B95826" w:rsidRPr="00EE0BDB" w:rsidRDefault="00B95826" w:rsidP="00B95826">
            <w:pPr>
              <w:jc w:val="center"/>
              <w:rPr>
                <w:sz w:val="20"/>
                <w:szCs w:val="20"/>
                <w:highlight w:val="yellow"/>
              </w:rPr>
            </w:pPr>
            <w:r w:rsidRPr="00FA6610">
              <w:rPr>
                <w:sz w:val="20"/>
                <w:szCs w:val="20"/>
              </w:rPr>
              <w:t>Divi uzdevumi</w:t>
            </w:r>
          </w:p>
        </w:tc>
        <w:tc>
          <w:tcPr>
            <w:tcW w:w="1705" w:type="dxa"/>
            <w:hideMark/>
          </w:tcPr>
          <w:p w14:paraId="08AD5A18" w14:textId="77777777" w:rsidR="00B95826" w:rsidRPr="00CF1414" w:rsidRDefault="00B95826" w:rsidP="00B95826">
            <w:pPr>
              <w:rPr>
                <w:sz w:val="20"/>
                <w:szCs w:val="20"/>
              </w:rPr>
            </w:pPr>
            <w:r w:rsidRPr="00CF1414">
              <w:rPr>
                <w:sz w:val="20"/>
                <w:szCs w:val="20"/>
              </w:rPr>
              <w:t>Finanšu institūcija</w:t>
            </w:r>
          </w:p>
          <w:p w14:paraId="7D66035C" w14:textId="77777777" w:rsidR="00B95826" w:rsidRPr="00CF1414" w:rsidRDefault="00B95826" w:rsidP="00B95826">
            <w:pPr>
              <w:rPr>
                <w:sz w:val="20"/>
                <w:szCs w:val="20"/>
              </w:rPr>
            </w:pPr>
          </w:p>
        </w:tc>
        <w:tc>
          <w:tcPr>
            <w:tcW w:w="1276" w:type="dxa"/>
            <w:hideMark/>
          </w:tcPr>
          <w:p w14:paraId="4D9BECE9" w14:textId="77777777" w:rsidR="00B95826" w:rsidRPr="00CF1414" w:rsidRDefault="00B95826" w:rsidP="00B95826">
            <w:pPr>
              <w:rPr>
                <w:sz w:val="20"/>
                <w:szCs w:val="20"/>
              </w:rPr>
            </w:pPr>
            <w:r w:rsidRPr="00CF1414">
              <w:rPr>
                <w:sz w:val="20"/>
                <w:szCs w:val="20"/>
              </w:rPr>
              <w:t>Apvienotais gada un konsolidētais gada pārskats vienā dokumentā</w:t>
            </w:r>
          </w:p>
        </w:tc>
        <w:tc>
          <w:tcPr>
            <w:tcW w:w="989" w:type="dxa"/>
            <w:vMerge w:val="restart"/>
            <w:hideMark/>
          </w:tcPr>
          <w:p w14:paraId="71DC96A9" w14:textId="77777777" w:rsidR="00B95826" w:rsidRPr="00DE5A36" w:rsidRDefault="00B95826" w:rsidP="00B95826">
            <w:pPr>
              <w:jc w:val="center"/>
              <w:rPr>
                <w:sz w:val="20"/>
                <w:szCs w:val="20"/>
              </w:rPr>
            </w:pPr>
            <w:r w:rsidRPr="00DE5A36">
              <w:rPr>
                <w:sz w:val="20"/>
                <w:szCs w:val="20"/>
              </w:rPr>
              <w:t>2018.</w:t>
            </w:r>
          </w:p>
          <w:p w14:paraId="368CC070" w14:textId="77777777" w:rsidR="00B95826" w:rsidRPr="00EE0BDB" w:rsidRDefault="00B95826" w:rsidP="00B95826">
            <w:pPr>
              <w:jc w:val="center"/>
              <w:rPr>
                <w:sz w:val="20"/>
                <w:szCs w:val="20"/>
                <w:highlight w:val="yellow"/>
              </w:rPr>
            </w:pPr>
            <w:r w:rsidRPr="00DE5A36">
              <w:rPr>
                <w:sz w:val="20"/>
                <w:szCs w:val="20"/>
              </w:rPr>
              <w:t>pārskata gads</w:t>
            </w:r>
          </w:p>
        </w:tc>
        <w:tc>
          <w:tcPr>
            <w:tcW w:w="2413" w:type="dxa"/>
          </w:tcPr>
          <w:p w14:paraId="50BF6A05" w14:textId="77777777" w:rsidR="00B95826" w:rsidRPr="00C62E58" w:rsidRDefault="00B95826" w:rsidP="00B95826">
            <w:pPr>
              <w:jc w:val="both"/>
              <w:rPr>
                <w:sz w:val="20"/>
                <w:szCs w:val="20"/>
              </w:rPr>
            </w:pPr>
            <w:r w:rsidRPr="00C62E58">
              <w:rPr>
                <w:sz w:val="20"/>
                <w:szCs w:val="20"/>
              </w:rPr>
              <w:t>Nav sniegta informācija Finanšu ministrijai kā kompetentajai iestādei par atklātības ziņojuma publicēšanu atbilstošajā tīmekļa vietnē.</w:t>
            </w:r>
          </w:p>
        </w:tc>
        <w:tc>
          <w:tcPr>
            <w:tcW w:w="1985" w:type="dxa"/>
          </w:tcPr>
          <w:p w14:paraId="5A5319C8" w14:textId="22A153B2" w:rsidR="00B95826" w:rsidRPr="00C62E58" w:rsidRDefault="00814870" w:rsidP="00B95826">
            <w:pPr>
              <w:jc w:val="both"/>
              <w:rPr>
                <w:sz w:val="20"/>
                <w:szCs w:val="20"/>
              </w:rPr>
            </w:pPr>
            <w:r w:rsidRPr="00C62E58">
              <w:rPr>
                <w:sz w:val="20"/>
                <w:szCs w:val="20"/>
              </w:rPr>
              <w:t xml:space="preserve">ES </w:t>
            </w:r>
            <w:r w:rsidR="00B95826" w:rsidRPr="00C62E58">
              <w:rPr>
                <w:sz w:val="20"/>
                <w:szCs w:val="20"/>
              </w:rPr>
              <w:t>Regulas Nr.537/2014</w:t>
            </w:r>
            <w:r w:rsidR="007A3A91" w:rsidRPr="00C62E58">
              <w:rPr>
                <w:rStyle w:val="FootnoteReference"/>
                <w:sz w:val="20"/>
                <w:szCs w:val="20"/>
              </w:rPr>
              <w:footnoteReference w:id="5"/>
            </w:r>
            <w:r w:rsidRPr="00C62E58">
              <w:rPr>
                <w:sz w:val="20"/>
                <w:szCs w:val="20"/>
              </w:rPr>
              <w:t xml:space="preserve"> </w:t>
            </w:r>
            <w:r w:rsidR="00B95826" w:rsidRPr="00C62E58">
              <w:rPr>
                <w:sz w:val="20"/>
                <w:szCs w:val="20"/>
              </w:rPr>
              <w:t>13.panta 1.punkta un Revīzijas pakalpojumu likuma 37.</w:t>
            </w:r>
            <w:r w:rsidR="00B95826" w:rsidRPr="00C62E58">
              <w:rPr>
                <w:sz w:val="20"/>
                <w:szCs w:val="20"/>
                <w:vertAlign w:val="superscript"/>
              </w:rPr>
              <w:t>5</w:t>
            </w:r>
            <w:r w:rsidR="00B95826" w:rsidRPr="00C62E58">
              <w:rPr>
                <w:sz w:val="20"/>
                <w:szCs w:val="20"/>
              </w:rPr>
              <w:t xml:space="preserve"> panta pirmā daļa.</w:t>
            </w:r>
          </w:p>
        </w:tc>
        <w:tc>
          <w:tcPr>
            <w:tcW w:w="1842" w:type="dxa"/>
          </w:tcPr>
          <w:p w14:paraId="4110F0F0" w14:textId="77777777" w:rsidR="00B95826" w:rsidRPr="005024B8" w:rsidRDefault="00B95826" w:rsidP="00B95826">
            <w:pPr>
              <w:jc w:val="both"/>
              <w:rPr>
                <w:sz w:val="20"/>
                <w:szCs w:val="20"/>
              </w:rPr>
            </w:pPr>
            <w:r w:rsidRPr="005024B8">
              <w:rPr>
                <w:sz w:val="20"/>
                <w:szCs w:val="20"/>
              </w:rPr>
              <w:t>Par atklātības ziņojuma publicēšanu informēt Finanšu ministriju kā kompetento iestādi.</w:t>
            </w:r>
          </w:p>
        </w:tc>
        <w:tc>
          <w:tcPr>
            <w:tcW w:w="1276" w:type="dxa"/>
            <w:vMerge w:val="restart"/>
            <w:hideMark/>
          </w:tcPr>
          <w:p w14:paraId="41F7F484" w14:textId="77777777" w:rsidR="00B95826" w:rsidRPr="00EE0BDB" w:rsidRDefault="00B95826" w:rsidP="004C5A7A">
            <w:pPr>
              <w:jc w:val="center"/>
              <w:rPr>
                <w:sz w:val="20"/>
                <w:szCs w:val="20"/>
                <w:highlight w:val="yellow"/>
              </w:rPr>
            </w:pPr>
            <w:r w:rsidRPr="004C5A7A">
              <w:rPr>
                <w:sz w:val="20"/>
                <w:szCs w:val="20"/>
              </w:rPr>
              <w:t>1.kategorija</w:t>
            </w:r>
          </w:p>
        </w:tc>
      </w:tr>
      <w:tr w:rsidR="00814870" w:rsidRPr="00713847" w14:paraId="08F469FB" w14:textId="77777777" w:rsidTr="00283532">
        <w:trPr>
          <w:trHeight w:val="548"/>
        </w:trPr>
        <w:tc>
          <w:tcPr>
            <w:tcW w:w="568" w:type="dxa"/>
            <w:vMerge/>
            <w:hideMark/>
          </w:tcPr>
          <w:p w14:paraId="319972A1" w14:textId="77777777" w:rsidR="00814870" w:rsidRPr="00E16B38" w:rsidRDefault="00814870" w:rsidP="00814870">
            <w:pPr>
              <w:rPr>
                <w:sz w:val="20"/>
                <w:szCs w:val="20"/>
              </w:rPr>
            </w:pPr>
          </w:p>
        </w:tc>
        <w:tc>
          <w:tcPr>
            <w:tcW w:w="1843" w:type="dxa"/>
            <w:vMerge/>
            <w:hideMark/>
          </w:tcPr>
          <w:p w14:paraId="66CF66DF" w14:textId="77777777" w:rsidR="00814870" w:rsidRPr="00E16B38" w:rsidRDefault="00814870" w:rsidP="00814870">
            <w:pPr>
              <w:rPr>
                <w:sz w:val="20"/>
                <w:szCs w:val="20"/>
              </w:rPr>
            </w:pPr>
          </w:p>
        </w:tc>
        <w:tc>
          <w:tcPr>
            <w:tcW w:w="1413" w:type="dxa"/>
            <w:vMerge/>
            <w:hideMark/>
          </w:tcPr>
          <w:p w14:paraId="3DAA77CA" w14:textId="77777777" w:rsidR="00814870" w:rsidRPr="00E16B38" w:rsidRDefault="00814870" w:rsidP="00814870">
            <w:pPr>
              <w:rPr>
                <w:sz w:val="20"/>
                <w:szCs w:val="20"/>
              </w:rPr>
            </w:pPr>
          </w:p>
        </w:tc>
        <w:tc>
          <w:tcPr>
            <w:tcW w:w="1705" w:type="dxa"/>
            <w:hideMark/>
          </w:tcPr>
          <w:p w14:paraId="4FC2671C" w14:textId="77777777" w:rsidR="00814870" w:rsidRPr="00E16B38" w:rsidRDefault="00814870" w:rsidP="00814870">
            <w:pPr>
              <w:rPr>
                <w:sz w:val="20"/>
                <w:szCs w:val="20"/>
              </w:rPr>
            </w:pPr>
            <w:r w:rsidRPr="00E16B38">
              <w:rPr>
                <w:sz w:val="20"/>
                <w:szCs w:val="20"/>
              </w:rPr>
              <w:t>Finanšu institūcija</w:t>
            </w:r>
          </w:p>
          <w:p w14:paraId="6FFA7822" w14:textId="77777777" w:rsidR="00814870" w:rsidRPr="00E16B38" w:rsidRDefault="00814870" w:rsidP="00814870">
            <w:pPr>
              <w:rPr>
                <w:sz w:val="20"/>
                <w:szCs w:val="20"/>
              </w:rPr>
            </w:pPr>
          </w:p>
        </w:tc>
        <w:tc>
          <w:tcPr>
            <w:tcW w:w="1276" w:type="dxa"/>
          </w:tcPr>
          <w:p w14:paraId="76DF9DD2" w14:textId="77777777" w:rsidR="00814870" w:rsidRPr="00E16B38" w:rsidRDefault="00814870" w:rsidP="00814870">
            <w:pPr>
              <w:rPr>
                <w:sz w:val="20"/>
                <w:szCs w:val="20"/>
              </w:rPr>
            </w:pPr>
            <w:r w:rsidRPr="00E16B38">
              <w:rPr>
                <w:sz w:val="20"/>
                <w:szCs w:val="20"/>
              </w:rPr>
              <w:t>Gada pārskats un konsolidētais gada pārskats</w:t>
            </w:r>
          </w:p>
        </w:tc>
        <w:tc>
          <w:tcPr>
            <w:tcW w:w="989" w:type="dxa"/>
            <w:vMerge/>
            <w:hideMark/>
          </w:tcPr>
          <w:p w14:paraId="7BB669A9" w14:textId="77777777" w:rsidR="00814870" w:rsidRPr="00E16B38" w:rsidRDefault="00814870" w:rsidP="00814870">
            <w:pPr>
              <w:rPr>
                <w:sz w:val="20"/>
                <w:szCs w:val="20"/>
              </w:rPr>
            </w:pPr>
          </w:p>
        </w:tc>
        <w:tc>
          <w:tcPr>
            <w:tcW w:w="2413" w:type="dxa"/>
          </w:tcPr>
          <w:p w14:paraId="200079A6" w14:textId="77777777" w:rsidR="00814870" w:rsidRPr="00C62E58" w:rsidRDefault="00814870" w:rsidP="00814870">
            <w:pPr>
              <w:jc w:val="both"/>
              <w:rPr>
                <w:sz w:val="20"/>
                <w:szCs w:val="20"/>
              </w:rPr>
            </w:pPr>
            <w:r w:rsidRPr="00C62E58">
              <w:rPr>
                <w:sz w:val="20"/>
                <w:szCs w:val="20"/>
              </w:rPr>
              <w:t>Publicētajā atklātības ziņojumā par pēdējo veikto kvalitātes kontroles pārbaudi nav sniegta pilnīga informācija par pēdējās veiktās kvalitātes kontroles pārbaudes veicējiem.</w:t>
            </w:r>
          </w:p>
        </w:tc>
        <w:tc>
          <w:tcPr>
            <w:tcW w:w="1985" w:type="dxa"/>
          </w:tcPr>
          <w:p w14:paraId="4D479585" w14:textId="77777777" w:rsidR="00814870" w:rsidRPr="00C62E58" w:rsidRDefault="00814870" w:rsidP="00814870">
            <w:pPr>
              <w:jc w:val="both"/>
              <w:rPr>
                <w:sz w:val="20"/>
                <w:szCs w:val="20"/>
              </w:rPr>
            </w:pPr>
            <w:r w:rsidRPr="00C62E58">
              <w:rPr>
                <w:sz w:val="20"/>
                <w:szCs w:val="20"/>
              </w:rPr>
              <w:t>ES Regulas Nr.537/2014 13.panta 2.punkta e) apakšpunkts.</w:t>
            </w:r>
          </w:p>
        </w:tc>
        <w:tc>
          <w:tcPr>
            <w:tcW w:w="1842" w:type="dxa"/>
          </w:tcPr>
          <w:p w14:paraId="4E3FDC58" w14:textId="1E79B9D0" w:rsidR="00814870" w:rsidRPr="00C62E58" w:rsidRDefault="008E51BE" w:rsidP="00FE366B">
            <w:pPr>
              <w:jc w:val="both"/>
              <w:rPr>
                <w:sz w:val="20"/>
                <w:szCs w:val="20"/>
              </w:rPr>
            </w:pPr>
            <w:r w:rsidRPr="00F1153E">
              <w:rPr>
                <w:sz w:val="20"/>
                <w:szCs w:val="20"/>
              </w:rPr>
              <w:t xml:space="preserve">Atklātības ziņojumā norādīt pilnīgu un precīzu informāciju par pēdējo kvalitātes kontroles pārbaudi (inspekciju), tās </w:t>
            </w:r>
            <w:r w:rsidRPr="00F1153E">
              <w:rPr>
                <w:sz w:val="20"/>
                <w:szCs w:val="20"/>
              </w:rPr>
              <w:lastRenderedPageBreak/>
              <w:t>veicējiem un norises laiku.</w:t>
            </w:r>
          </w:p>
        </w:tc>
        <w:tc>
          <w:tcPr>
            <w:tcW w:w="1276" w:type="dxa"/>
            <w:vMerge/>
            <w:hideMark/>
          </w:tcPr>
          <w:p w14:paraId="02F4EB52" w14:textId="77777777" w:rsidR="00814870" w:rsidRPr="00E16B38" w:rsidRDefault="00814870" w:rsidP="00814870">
            <w:pPr>
              <w:rPr>
                <w:sz w:val="20"/>
                <w:szCs w:val="20"/>
              </w:rPr>
            </w:pPr>
          </w:p>
        </w:tc>
      </w:tr>
      <w:tr w:rsidR="005B4423" w:rsidRPr="00713847" w14:paraId="61446A53" w14:textId="77777777" w:rsidTr="00A70876">
        <w:trPr>
          <w:trHeight w:val="1552"/>
        </w:trPr>
        <w:tc>
          <w:tcPr>
            <w:tcW w:w="568" w:type="dxa"/>
            <w:vMerge w:val="restart"/>
            <w:hideMark/>
          </w:tcPr>
          <w:p w14:paraId="239276B6" w14:textId="77777777" w:rsidR="005B4423" w:rsidRPr="00E16B38" w:rsidRDefault="005B4423" w:rsidP="002E7E46">
            <w:pPr>
              <w:rPr>
                <w:sz w:val="20"/>
                <w:szCs w:val="20"/>
              </w:rPr>
            </w:pPr>
            <w:r w:rsidRPr="00E16B38">
              <w:rPr>
                <w:sz w:val="20"/>
                <w:szCs w:val="20"/>
              </w:rPr>
              <w:t>2.</w:t>
            </w:r>
          </w:p>
        </w:tc>
        <w:tc>
          <w:tcPr>
            <w:tcW w:w="1843" w:type="dxa"/>
            <w:vMerge w:val="restart"/>
            <w:hideMark/>
          </w:tcPr>
          <w:p w14:paraId="44E0FB40" w14:textId="1A6591DA" w:rsidR="005B4423" w:rsidRPr="00E16B38" w:rsidRDefault="00B672EF" w:rsidP="002E7E46">
            <w:pPr>
              <w:jc w:val="both"/>
              <w:rPr>
                <w:sz w:val="20"/>
                <w:szCs w:val="20"/>
              </w:rPr>
            </w:pPr>
            <w:r>
              <w:rPr>
                <w:b/>
                <w:sz w:val="20"/>
                <w:szCs w:val="20"/>
              </w:rPr>
              <w:t>Prakse Nr.2.</w:t>
            </w:r>
          </w:p>
        </w:tc>
        <w:tc>
          <w:tcPr>
            <w:tcW w:w="1413" w:type="dxa"/>
            <w:vMerge w:val="restart"/>
            <w:hideMark/>
          </w:tcPr>
          <w:p w14:paraId="06139A5C" w14:textId="77777777" w:rsidR="005B4423" w:rsidRPr="00E16B38" w:rsidRDefault="005B4423" w:rsidP="002E7E46">
            <w:pPr>
              <w:jc w:val="center"/>
              <w:rPr>
                <w:sz w:val="20"/>
                <w:szCs w:val="20"/>
              </w:rPr>
            </w:pPr>
            <w:r>
              <w:rPr>
                <w:sz w:val="20"/>
                <w:szCs w:val="20"/>
              </w:rPr>
              <w:t>Viens uzdevums</w:t>
            </w:r>
          </w:p>
        </w:tc>
        <w:tc>
          <w:tcPr>
            <w:tcW w:w="1705" w:type="dxa"/>
            <w:vMerge w:val="restart"/>
            <w:hideMark/>
          </w:tcPr>
          <w:p w14:paraId="39157DF5" w14:textId="77777777" w:rsidR="005B4423" w:rsidRPr="00E16B38" w:rsidRDefault="005B4423" w:rsidP="002E7E46">
            <w:pPr>
              <w:rPr>
                <w:sz w:val="20"/>
                <w:szCs w:val="20"/>
              </w:rPr>
            </w:pPr>
            <w:r w:rsidRPr="00E16B38">
              <w:rPr>
                <w:sz w:val="20"/>
                <w:szCs w:val="20"/>
              </w:rPr>
              <w:t>Kapitālsabiedrība, kuras pārvedami vērtspapīri ir iekļauti regulētajā tirgū</w:t>
            </w:r>
          </w:p>
        </w:tc>
        <w:tc>
          <w:tcPr>
            <w:tcW w:w="1276" w:type="dxa"/>
            <w:vMerge w:val="restart"/>
            <w:hideMark/>
          </w:tcPr>
          <w:p w14:paraId="088E053C" w14:textId="77777777" w:rsidR="005B4423" w:rsidRPr="00E16B38" w:rsidRDefault="005B4423" w:rsidP="002E7E46">
            <w:pPr>
              <w:rPr>
                <w:sz w:val="20"/>
                <w:szCs w:val="20"/>
              </w:rPr>
            </w:pPr>
            <w:r w:rsidRPr="00E16B38">
              <w:rPr>
                <w:sz w:val="20"/>
                <w:szCs w:val="20"/>
              </w:rPr>
              <w:t>Gada pārskats</w:t>
            </w:r>
          </w:p>
        </w:tc>
        <w:tc>
          <w:tcPr>
            <w:tcW w:w="989" w:type="dxa"/>
            <w:vMerge w:val="restart"/>
            <w:hideMark/>
          </w:tcPr>
          <w:p w14:paraId="4B6B917C" w14:textId="77777777" w:rsidR="005B4423" w:rsidRPr="00E16B38" w:rsidRDefault="005B4423" w:rsidP="006F42DD">
            <w:pPr>
              <w:jc w:val="center"/>
              <w:rPr>
                <w:sz w:val="20"/>
                <w:szCs w:val="20"/>
              </w:rPr>
            </w:pPr>
            <w:r>
              <w:rPr>
                <w:sz w:val="20"/>
                <w:szCs w:val="20"/>
              </w:rPr>
              <w:t>2018</w:t>
            </w:r>
            <w:r w:rsidRPr="00E16B38">
              <w:rPr>
                <w:sz w:val="20"/>
                <w:szCs w:val="20"/>
              </w:rPr>
              <w:t>.</w:t>
            </w:r>
          </w:p>
          <w:p w14:paraId="78B90ED8" w14:textId="77777777" w:rsidR="005B4423" w:rsidRPr="00E16B38" w:rsidRDefault="005B4423" w:rsidP="006F42DD">
            <w:pPr>
              <w:jc w:val="center"/>
              <w:rPr>
                <w:sz w:val="20"/>
                <w:szCs w:val="20"/>
              </w:rPr>
            </w:pPr>
            <w:r w:rsidRPr="00E16B38">
              <w:rPr>
                <w:sz w:val="20"/>
                <w:szCs w:val="20"/>
              </w:rPr>
              <w:t>pārskata gads</w:t>
            </w:r>
          </w:p>
        </w:tc>
        <w:tc>
          <w:tcPr>
            <w:tcW w:w="2413" w:type="dxa"/>
          </w:tcPr>
          <w:p w14:paraId="6E7B7BA3" w14:textId="77777777" w:rsidR="005B4423" w:rsidRPr="00C62E58" w:rsidRDefault="005B4423" w:rsidP="002E7E46">
            <w:pPr>
              <w:jc w:val="both"/>
              <w:rPr>
                <w:color w:val="000000" w:themeColor="text1"/>
                <w:sz w:val="20"/>
                <w:szCs w:val="20"/>
              </w:rPr>
            </w:pPr>
            <w:r w:rsidRPr="00C62E58">
              <w:rPr>
                <w:color w:val="000000" w:themeColor="text1"/>
                <w:sz w:val="20"/>
                <w:szCs w:val="20"/>
              </w:rPr>
              <w:t>Nav sniegta informācija Finanšu ministrijai kā kompetentajai iestādei par atklātības ziņojuma publicēšanu atbilstošajā tīmekļa vietnē.</w:t>
            </w:r>
          </w:p>
        </w:tc>
        <w:tc>
          <w:tcPr>
            <w:tcW w:w="1985" w:type="dxa"/>
          </w:tcPr>
          <w:p w14:paraId="12431022" w14:textId="77777777" w:rsidR="005B4423" w:rsidRPr="00C62E58" w:rsidRDefault="005B4423" w:rsidP="002E7E46">
            <w:pPr>
              <w:jc w:val="both"/>
              <w:rPr>
                <w:color w:val="000000" w:themeColor="text1"/>
                <w:sz w:val="20"/>
                <w:szCs w:val="20"/>
              </w:rPr>
            </w:pPr>
            <w:r w:rsidRPr="00C62E58">
              <w:rPr>
                <w:color w:val="000000" w:themeColor="text1"/>
                <w:sz w:val="20"/>
                <w:szCs w:val="20"/>
              </w:rPr>
              <w:t>ES Regulas Nr.537/2014 13.panta 1.punkta un Revīzijas pakalpojumu likuma 37.</w:t>
            </w:r>
            <w:r w:rsidRPr="00C62E58">
              <w:rPr>
                <w:color w:val="000000" w:themeColor="text1"/>
                <w:sz w:val="20"/>
                <w:szCs w:val="20"/>
                <w:vertAlign w:val="superscript"/>
              </w:rPr>
              <w:t>5</w:t>
            </w:r>
            <w:r w:rsidRPr="00C62E58">
              <w:rPr>
                <w:color w:val="000000" w:themeColor="text1"/>
                <w:sz w:val="20"/>
                <w:szCs w:val="20"/>
              </w:rPr>
              <w:t xml:space="preserve"> panta pirmā daļa.</w:t>
            </w:r>
          </w:p>
        </w:tc>
        <w:tc>
          <w:tcPr>
            <w:tcW w:w="1842" w:type="dxa"/>
          </w:tcPr>
          <w:p w14:paraId="31CE9BD4" w14:textId="77777777" w:rsidR="005B4423" w:rsidRPr="00C62E58" w:rsidRDefault="005B4423" w:rsidP="002054FC">
            <w:pPr>
              <w:jc w:val="both"/>
              <w:rPr>
                <w:color w:val="000000" w:themeColor="text1"/>
                <w:sz w:val="20"/>
                <w:szCs w:val="20"/>
              </w:rPr>
            </w:pPr>
            <w:r w:rsidRPr="00C62E58">
              <w:rPr>
                <w:color w:val="000000" w:themeColor="text1"/>
                <w:sz w:val="20"/>
                <w:szCs w:val="20"/>
              </w:rPr>
              <w:t>Par atklātības ziņojuma publicēšanu informēt Finanšu ministriju kā kompetento iestādi.</w:t>
            </w:r>
          </w:p>
        </w:tc>
        <w:tc>
          <w:tcPr>
            <w:tcW w:w="1276" w:type="dxa"/>
            <w:vMerge w:val="restart"/>
            <w:hideMark/>
          </w:tcPr>
          <w:p w14:paraId="5E3CE5B0" w14:textId="77777777" w:rsidR="005B4423" w:rsidRPr="00E16B38" w:rsidRDefault="005B4423" w:rsidP="002E7E46">
            <w:pPr>
              <w:jc w:val="center"/>
              <w:rPr>
                <w:sz w:val="20"/>
                <w:szCs w:val="20"/>
              </w:rPr>
            </w:pPr>
            <w:r>
              <w:rPr>
                <w:sz w:val="20"/>
                <w:szCs w:val="20"/>
              </w:rPr>
              <w:t>2</w:t>
            </w:r>
            <w:r w:rsidRPr="00E16B38">
              <w:rPr>
                <w:sz w:val="20"/>
                <w:szCs w:val="20"/>
              </w:rPr>
              <w:t>.kategorija</w:t>
            </w:r>
          </w:p>
        </w:tc>
      </w:tr>
      <w:tr w:rsidR="005B4423" w:rsidRPr="00713847" w14:paraId="3531FF62" w14:textId="77777777" w:rsidTr="002E7E46">
        <w:trPr>
          <w:trHeight w:val="1457"/>
        </w:trPr>
        <w:tc>
          <w:tcPr>
            <w:tcW w:w="568" w:type="dxa"/>
            <w:vMerge/>
            <w:hideMark/>
          </w:tcPr>
          <w:p w14:paraId="18AFE6BE" w14:textId="77777777" w:rsidR="005B4423" w:rsidRPr="00A103E4" w:rsidRDefault="005B4423" w:rsidP="002E7E46">
            <w:pPr>
              <w:rPr>
                <w:sz w:val="20"/>
                <w:szCs w:val="20"/>
              </w:rPr>
            </w:pPr>
          </w:p>
        </w:tc>
        <w:tc>
          <w:tcPr>
            <w:tcW w:w="1843" w:type="dxa"/>
            <w:vMerge/>
            <w:hideMark/>
          </w:tcPr>
          <w:p w14:paraId="2F33D2C7" w14:textId="77777777" w:rsidR="005B4423" w:rsidRPr="000D612B" w:rsidRDefault="005B4423" w:rsidP="002E7E46">
            <w:pPr>
              <w:rPr>
                <w:sz w:val="20"/>
                <w:szCs w:val="20"/>
              </w:rPr>
            </w:pPr>
          </w:p>
        </w:tc>
        <w:tc>
          <w:tcPr>
            <w:tcW w:w="1413" w:type="dxa"/>
            <w:vMerge/>
            <w:hideMark/>
          </w:tcPr>
          <w:p w14:paraId="7229E844" w14:textId="77777777" w:rsidR="005B4423" w:rsidRPr="000D612B" w:rsidRDefault="005B4423" w:rsidP="002E7E46">
            <w:pPr>
              <w:rPr>
                <w:sz w:val="20"/>
                <w:szCs w:val="20"/>
              </w:rPr>
            </w:pPr>
          </w:p>
        </w:tc>
        <w:tc>
          <w:tcPr>
            <w:tcW w:w="1705" w:type="dxa"/>
            <w:vMerge/>
            <w:hideMark/>
          </w:tcPr>
          <w:p w14:paraId="4CC07FF3" w14:textId="77777777" w:rsidR="005B4423" w:rsidRPr="000D612B" w:rsidRDefault="005B4423" w:rsidP="002E7E46">
            <w:pPr>
              <w:rPr>
                <w:sz w:val="20"/>
                <w:szCs w:val="20"/>
              </w:rPr>
            </w:pPr>
          </w:p>
        </w:tc>
        <w:tc>
          <w:tcPr>
            <w:tcW w:w="1276" w:type="dxa"/>
            <w:vMerge/>
            <w:hideMark/>
          </w:tcPr>
          <w:p w14:paraId="0FF961E0" w14:textId="77777777" w:rsidR="005B4423" w:rsidRPr="000D612B" w:rsidRDefault="005B4423" w:rsidP="002E7E46">
            <w:pPr>
              <w:rPr>
                <w:sz w:val="20"/>
                <w:szCs w:val="20"/>
              </w:rPr>
            </w:pPr>
          </w:p>
        </w:tc>
        <w:tc>
          <w:tcPr>
            <w:tcW w:w="989" w:type="dxa"/>
            <w:vMerge/>
            <w:hideMark/>
          </w:tcPr>
          <w:p w14:paraId="6D2C849F" w14:textId="77777777" w:rsidR="005B4423" w:rsidRPr="000D612B" w:rsidRDefault="005B4423" w:rsidP="002E7E46">
            <w:pPr>
              <w:rPr>
                <w:sz w:val="20"/>
                <w:szCs w:val="20"/>
              </w:rPr>
            </w:pPr>
          </w:p>
        </w:tc>
        <w:tc>
          <w:tcPr>
            <w:tcW w:w="2413" w:type="dxa"/>
          </w:tcPr>
          <w:p w14:paraId="5FE8B515" w14:textId="77777777" w:rsidR="005B4423" w:rsidRPr="00C62E58" w:rsidRDefault="005B4423" w:rsidP="00D84E15">
            <w:pPr>
              <w:jc w:val="both"/>
              <w:rPr>
                <w:color w:val="000000" w:themeColor="text1"/>
                <w:sz w:val="20"/>
                <w:szCs w:val="20"/>
              </w:rPr>
            </w:pPr>
            <w:r w:rsidRPr="00C62E58">
              <w:rPr>
                <w:color w:val="000000" w:themeColor="text1"/>
                <w:sz w:val="20"/>
                <w:szCs w:val="20"/>
              </w:rPr>
              <w:t>Publicētajā atklātības ziņojumā atspoguļotā finanšu informācija ir nepilnīga.</w:t>
            </w:r>
          </w:p>
        </w:tc>
        <w:tc>
          <w:tcPr>
            <w:tcW w:w="1985" w:type="dxa"/>
          </w:tcPr>
          <w:p w14:paraId="7D77C110" w14:textId="77777777" w:rsidR="005B4423" w:rsidRPr="00C62E58" w:rsidRDefault="005B4423" w:rsidP="00D84E15">
            <w:pPr>
              <w:jc w:val="both"/>
              <w:rPr>
                <w:color w:val="000000" w:themeColor="text1"/>
                <w:sz w:val="20"/>
                <w:szCs w:val="20"/>
              </w:rPr>
            </w:pPr>
            <w:r w:rsidRPr="00C62E58">
              <w:rPr>
                <w:color w:val="000000" w:themeColor="text1"/>
                <w:sz w:val="20"/>
                <w:szCs w:val="20"/>
              </w:rPr>
              <w:t>ES Regulas Nr.537/2014 13.panta 2.punkta k) apakšpunkts.</w:t>
            </w:r>
          </w:p>
        </w:tc>
        <w:tc>
          <w:tcPr>
            <w:tcW w:w="1842" w:type="dxa"/>
          </w:tcPr>
          <w:p w14:paraId="76368C3A" w14:textId="2D346BE8" w:rsidR="005B4423" w:rsidRPr="00C62E58" w:rsidRDefault="005B4423" w:rsidP="002054FC">
            <w:pPr>
              <w:jc w:val="both"/>
              <w:rPr>
                <w:color w:val="000000" w:themeColor="text1"/>
                <w:sz w:val="20"/>
                <w:szCs w:val="20"/>
              </w:rPr>
            </w:pPr>
            <w:r w:rsidRPr="00C62E58">
              <w:rPr>
                <w:color w:val="000000" w:themeColor="text1"/>
                <w:sz w:val="20"/>
                <w:szCs w:val="20"/>
              </w:rPr>
              <w:t>Atklātības ziņojumā norādīt pilnīgu un precīzu finanšu informāciju par noteiktajā pārskata periodā gūtajiem ieņēmumiem</w:t>
            </w:r>
            <w:r w:rsidR="00C348D5">
              <w:rPr>
                <w:color w:val="000000" w:themeColor="text1"/>
                <w:sz w:val="20"/>
                <w:szCs w:val="20"/>
              </w:rPr>
              <w:t>, sadalot pa to veidiem</w:t>
            </w:r>
            <w:r w:rsidR="006E7A1B">
              <w:rPr>
                <w:color w:val="000000" w:themeColor="text1"/>
                <w:sz w:val="20"/>
                <w:szCs w:val="20"/>
              </w:rPr>
              <w:t>.</w:t>
            </w:r>
          </w:p>
        </w:tc>
        <w:tc>
          <w:tcPr>
            <w:tcW w:w="1276" w:type="dxa"/>
            <w:vMerge/>
            <w:hideMark/>
          </w:tcPr>
          <w:p w14:paraId="25AE925F" w14:textId="77777777" w:rsidR="005B4423" w:rsidRPr="007036B4" w:rsidRDefault="005B4423" w:rsidP="002E7E46">
            <w:pPr>
              <w:rPr>
                <w:sz w:val="22"/>
                <w:szCs w:val="22"/>
              </w:rPr>
            </w:pPr>
          </w:p>
        </w:tc>
      </w:tr>
      <w:tr w:rsidR="005B4423" w:rsidRPr="00D76978" w14:paraId="14A95094" w14:textId="77777777" w:rsidTr="002E7E46">
        <w:trPr>
          <w:trHeight w:val="1553"/>
        </w:trPr>
        <w:tc>
          <w:tcPr>
            <w:tcW w:w="568" w:type="dxa"/>
            <w:vMerge/>
            <w:hideMark/>
          </w:tcPr>
          <w:p w14:paraId="5A1F2745" w14:textId="77777777" w:rsidR="005B4423" w:rsidRPr="00713847" w:rsidRDefault="005B4423" w:rsidP="00EC7E0C"/>
        </w:tc>
        <w:tc>
          <w:tcPr>
            <w:tcW w:w="1843" w:type="dxa"/>
            <w:vMerge/>
            <w:hideMark/>
          </w:tcPr>
          <w:p w14:paraId="783265A5" w14:textId="77777777" w:rsidR="005B4423" w:rsidRPr="000D612B" w:rsidRDefault="005B4423" w:rsidP="00EC7E0C">
            <w:pPr>
              <w:rPr>
                <w:sz w:val="20"/>
                <w:szCs w:val="20"/>
              </w:rPr>
            </w:pPr>
          </w:p>
        </w:tc>
        <w:tc>
          <w:tcPr>
            <w:tcW w:w="1413" w:type="dxa"/>
            <w:vMerge/>
            <w:hideMark/>
          </w:tcPr>
          <w:p w14:paraId="40725424" w14:textId="77777777" w:rsidR="005B4423" w:rsidRPr="000D612B" w:rsidRDefault="005B4423" w:rsidP="00EC7E0C">
            <w:pPr>
              <w:rPr>
                <w:sz w:val="20"/>
                <w:szCs w:val="20"/>
              </w:rPr>
            </w:pPr>
          </w:p>
        </w:tc>
        <w:tc>
          <w:tcPr>
            <w:tcW w:w="1705" w:type="dxa"/>
            <w:vMerge/>
            <w:hideMark/>
          </w:tcPr>
          <w:p w14:paraId="7D12C3D0" w14:textId="77777777" w:rsidR="005B4423" w:rsidRPr="00E16B38" w:rsidRDefault="005B4423" w:rsidP="00EC7E0C">
            <w:pPr>
              <w:rPr>
                <w:sz w:val="20"/>
                <w:szCs w:val="20"/>
              </w:rPr>
            </w:pPr>
          </w:p>
        </w:tc>
        <w:tc>
          <w:tcPr>
            <w:tcW w:w="1276" w:type="dxa"/>
            <w:vMerge/>
          </w:tcPr>
          <w:p w14:paraId="53EF017D" w14:textId="77777777" w:rsidR="005B4423" w:rsidRPr="00E16B38" w:rsidRDefault="005B4423" w:rsidP="00EC7E0C">
            <w:pPr>
              <w:rPr>
                <w:sz w:val="20"/>
                <w:szCs w:val="20"/>
              </w:rPr>
            </w:pPr>
          </w:p>
        </w:tc>
        <w:tc>
          <w:tcPr>
            <w:tcW w:w="989" w:type="dxa"/>
            <w:vMerge/>
            <w:hideMark/>
          </w:tcPr>
          <w:p w14:paraId="13190D3A" w14:textId="77777777" w:rsidR="005B4423" w:rsidRPr="00E16B38" w:rsidRDefault="005B4423" w:rsidP="00EC7E0C">
            <w:pPr>
              <w:rPr>
                <w:sz w:val="20"/>
                <w:szCs w:val="20"/>
              </w:rPr>
            </w:pPr>
          </w:p>
        </w:tc>
        <w:tc>
          <w:tcPr>
            <w:tcW w:w="2413" w:type="dxa"/>
          </w:tcPr>
          <w:p w14:paraId="431D245D" w14:textId="71207910" w:rsidR="005B4423" w:rsidRPr="00816522" w:rsidRDefault="005B4423" w:rsidP="00D468D6">
            <w:pPr>
              <w:jc w:val="both"/>
              <w:rPr>
                <w:color w:val="000000" w:themeColor="text1"/>
                <w:sz w:val="20"/>
                <w:szCs w:val="20"/>
              </w:rPr>
            </w:pPr>
            <w:r w:rsidRPr="00816522">
              <w:rPr>
                <w:color w:val="000000" w:themeColor="text1"/>
                <w:sz w:val="20"/>
                <w:szCs w:val="20"/>
              </w:rPr>
              <w:t>Pārbaudītā atsevišķa revīzijas uzdevuma ietvaros tika konstatēts, ka nav ievērota noteiktā prasība attiecībā uz neatkarīga revidenta ziņojuma satura atbilstību normatīvā</w:t>
            </w:r>
            <w:r w:rsidR="003F13A8" w:rsidRPr="00816522">
              <w:rPr>
                <w:color w:val="000000" w:themeColor="text1"/>
                <w:sz w:val="20"/>
                <w:szCs w:val="20"/>
              </w:rPr>
              <w:t xml:space="preserve"> regulējuma prasībām - </w:t>
            </w:r>
            <w:r w:rsidRPr="00816522">
              <w:rPr>
                <w:color w:val="000000" w:themeColor="text1"/>
                <w:sz w:val="20"/>
                <w:szCs w:val="20"/>
              </w:rPr>
              <w:t>neatkarīga revidenta ziņojuma forma nav izvēlēta atbilstoši ES Regulas Nr.537/2014 noteiktajām prasībām.</w:t>
            </w:r>
          </w:p>
        </w:tc>
        <w:tc>
          <w:tcPr>
            <w:tcW w:w="1985" w:type="dxa"/>
          </w:tcPr>
          <w:p w14:paraId="5008E9C3" w14:textId="77777777" w:rsidR="005B4423" w:rsidRPr="00816522" w:rsidRDefault="005B4423" w:rsidP="00EC7E0C">
            <w:pPr>
              <w:jc w:val="both"/>
              <w:rPr>
                <w:color w:val="000000" w:themeColor="text1"/>
                <w:sz w:val="20"/>
                <w:szCs w:val="20"/>
              </w:rPr>
            </w:pPr>
            <w:r w:rsidRPr="00816522">
              <w:rPr>
                <w:color w:val="000000" w:themeColor="text1"/>
                <w:sz w:val="20"/>
                <w:szCs w:val="20"/>
              </w:rPr>
              <w:t>ES Regulas Nr.537/2014 10.panta 2.punkts.</w:t>
            </w:r>
          </w:p>
        </w:tc>
        <w:tc>
          <w:tcPr>
            <w:tcW w:w="1842" w:type="dxa"/>
          </w:tcPr>
          <w:p w14:paraId="00FCBFDA" w14:textId="585C4979" w:rsidR="005B4423" w:rsidRPr="002054FC" w:rsidRDefault="005B4423" w:rsidP="00426A13">
            <w:pPr>
              <w:jc w:val="both"/>
              <w:rPr>
                <w:color w:val="000000" w:themeColor="text1"/>
                <w:sz w:val="20"/>
                <w:szCs w:val="20"/>
                <w:highlight w:val="yellow"/>
              </w:rPr>
            </w:pPr>
            <w:r w:rsidRPr="002054FC">
              <w:rPr>
                <w:color w:val="000000" w:themeColor="text1"/>
                <w:sz w:val="20"/>
                <w:szCs w:val="20"/>
              </w:rPr>
              <w:t xml:space="preserve">Sniedzot revīzijas pakalpojumu un izdodot neatkarīgu </w:t>
            </w:r>
            <w:r w:rsidRPr="004C193C">
              <w:rPr>
                <w:color w:val="000000" w:themeColor="text1"/>
                <w:sz w:val="20"/>
                <w:szCs w:val="20"/>
              </w:rPr>
              <w:t>revidenta ziņojumu,</w:t>
            </w:r>
            <w:r w:rsidR="00426A13" w:rsidRPr="004C193C">
              <w:rPr>
                <w:color w:val="000000" w:themeColor="text1"/>
                <w:sz w:val="20"/>
                <w:szCs w:val="20"/>
              </w:rPr>
              <w:t xml:space="preserve"> pārskatīt ziņojuma satura atbilstību normatīvo aktu prasībām.</w:t>
            </w:r>
          </w:p>
        </w:tc>
        <w:tc>
          <w:tcPr>
            <w:tcW w:w="1276" w:type="dxa"/>
            <w:vMerge/>
            <w:hideMark/>
          </w:tcPr>
          <w:p w14:paraId="7B58B1C8" w14:textId="77777777" w:rsidR="005B4423" w:rsidRPr="00E16B38" w:rsidRDefault="005B4423" w:rsidP="00EC7E0C">
            <w:pPr>
              <w:rPr>
                <w:sz w:val="20"/>
                <w:szCs w:val="20"/>
              </w:rPr>
            </w:pPr>
          </w:p>
        </w:tc>
      </w:tr>
      <w:tr w:rsidR="00AA0C00" w:rsidRPr="00D76978" w14:paraId="1299FF5C" w14:textId="77777777" w:rsidTr="00AA0C00">
        <w:trPr>
          <w:trHeight w:val="844"/>
        </w:trPr>
        <w:tc>
          <w:tcPr>
            <w:tcW w:w="568" w:type="dxa"/>
            <w:vMerge w:val="restart"/>
            <w:hideMark/>
          </w:tcPr>
          <w:p w14:paraId="3E84F3A4" w14:textId="77777777" w:rsidR="00AA0C00" w:rsidRPr="000D612B" w:rsidRDefault="00AA0C00" w:rsidP="00AA0C00">
            <w:pPr>
              <w:rPr>
                <w:sz w:val="20"/>
                <w:szCs w:val="20"/>
              </w:rPr>
            </w:pPr>
            <w:r w:rsidRPr="000D612B">
              <w:rPr>
                <w:sz w:val="20"/>
                <w:szCs w:val="20"/>
              </w:rPr>
              <w:t>3.</w:t>
            </w:r>
          </w:p>
        </w:tc>
        <w:tc>
          <w:tcPr>
            <w:tcW w:w="1843" w:type="dxa"/>
            <w:vMerge w:val="restart"/>
            <w:hideMark/>
          </w:tcPr>
          <w:p w14:paraId="0D83A50F" w14:textId="3C9A15B8" w:rsidR="00AA0C00" w:rsidRPr="00BD071B" w:rsidRDefault="00B672EF" w:rsidP="00AA0C00">
            <w:pPr>
              <w:jc w:val="both"/>
              <w:rPr>
                <w:b/>
                <w:sz w:val="20"/>
                <w:szCs w:val="20"/>
              </w:rPr>
            </w:pPr>
            <w:r>
              <w:rPr>
                <w:b/>
                <w:sz w:val="20"/>
                <w:szCs w:val="20"/>
              </w:rPr>
              <w:t>Prakse Nr.3.</w:t>
            </w:r>
          </w:p>
        </w:tc>
        <w:tc>
          <w:tcPr>
            <w:tcW w:w="1413" w:type="dxa"/>
            <w:vMerge w:val="restart"/>
            <w:hideMark/>
          </w:tcPr>
          <w:p w14:paraId="0E5FF90F" w14:textId="77777777" w:rsidR="00AA0C00" w:rsidRPr="000D612B" w:rsidRDefault="00AA0C00" w:rsidP="00AA0C00">
            <w:pPr>
              <w:jc w:val="center"/>
              <w:rPr>
                <w:sz w:val="20"/>
                <w:szCs w:val="20"/>
              </w:rPr>
            </w:pPr>
            <w:r>
              <w:rPr>
                <w:sz w:val="20"/>
                <w:szCs w:val="20"/>
              </w:rPr>
              <w:t>Viens uzdevums</w:t>
            </w:r>
          </w:p>
        </w:tc>
        <w:tc>
          <w:tcPr>
            <w:tcW w:w="1705" w:type="dxa"/>
            <w:vMerge w:val="restart"/>
            <w:hideMark/>
          </w:tcPr>
          <w:p w14:paraId="12E2684D" w14:textId="77777777" w:rsidR="00AA0C00" w:rsidRPr="001924DC" w:rsidRDefault="00AA0C00" w:rsidP="00AA0C00">
            <w:pPr>
              <w:rPr>
                <w:color w:val="FF0000"/>
                <w:sz w:val="20"/>
                <w:szCs w:val="20"/>
              </w:rPr>
            </w:pPr>
            <w:r w:rsidRPr="006F42DD">
              <w:rPr>
                <w:color w:val="000000" w:themeColor="text1"/>
                <w:sz w:val="20"/>
                <w:szCs w:val="20"/>
              </w:rPr>
              <w:t>Kapitālsabiedrība, kuras pārvedami vērtspapīri ir iekļauti regulētajā tirgū</w:t>
            </w:r>
          </w:p>
        </w:tc>
        <w:tc>
          <w:tcPr>
            <w:tcW w:w="1276" w:type="dxa"/>
            <w:vMerge w:val="restart"/>
            <w:hideMark/>
          </w:tcPr>
          <w:p w14:paraId="12C82020" w14:textId="77777777" w:rsidR="00AA0C00" w:rsidRPr="006F42DD" w:rsidRDefault="00AA0C00" w:rsidP="00AA0C00">
            <w:pPr>
              <w:rPr>
                <w:color w:val="000000" w:themeColor="text1"/>
                <w:sz w:val="20"/>
                <w:szCs w:val="20"/>
              </w:rPr>
            </w:pPr>
            <w:r w:rsidRPr="006F42DD">
              <w:rPr>
                <w:color w:val="000000" w:themeColor="text1"/>
                <w:sz w:val="20"/>
                <w:szCs w:val="20"/>
              </w:rPr>
              <w:t>Gada pārskats</w:t>
            </w:r>
          </w:p>
        </w:tc>
        <w:tc>
          <w:tcPr>
            <w:tcW w:w="989" w:type="dxa"/>
            <w:vMerge w:val="restart"/>
            <w:hideMark/>
          </w:tcPr>
          <w:p w14:paraId="22853069" w14:textId="77777777" w:rsidR="00AA0C00" w:rsidRPr="006F42DD" w:rsidRDefault="00AA0C00" w:rsidP="00AA0C00">
            <w:pPr>
              <w:jc w:val="center"/>
              <w:rPr>
                <w:color w:val="000000" w:themeColor="text1"/>
                <w:sz w:val="20"/>
                <w:szCs w:val="20"/>
              </w:rPr>
            </w:pPr>
            <w:r w:rsidRPr="006F42DD">
              <w:rPr>
                <w:color w:val="000000" w:themeColor="text1"/>
                <w:sz w:val="20"/>
                <w:szCs w:val="20"/>
              </w:rPr>
              <w:t>2018.</w:t>
            </w:r>
          </w:p>
          <w:p w14:paraId="6A9EFC3E" w14:textId="77777777" w:rsidR="00AA0C00" w:rsidRPr="006F42DD" w:rsidRDefault="00AA0C00" w:rsidP="00AA0C00">
            <w:pPr>
              <w:jc w:val="center"/>
              <w:rPr>
                <w:color w:val="000000" w:themeColor="text1"/>
                <w:sz w:val="20"/>
                <w:szCs w:val="20"/>
              </w:rPr>
            </w:pPr>
            <w:r w:rsidRPr="006F42DD">
              <w:rPr>
                <w:color w:val="000000" w:themeColor="text1"/>
                <w:sz w:val="20"/>
                <w:szCs w:val="20"/>
              </w:rPr>
              <w:t>pārskata gads</w:t>
            </w:r>
          </w:p>
        </w:tc>
        <w:tc>
          <w:tcPr>
            <w:tcW w:w="2413" w:type="dxa"/>
          </w:tcPr>
          <w:p w14:paraId="703FB707" w14:textId="77777777" w:rsidR="00AA0C00" w:rsidRPr="00917186" w:rsidRDefault="00AA0C00" w:rsidP="00AA0C00">
            <w:pPr>
              <w:jc w:val="both"/>
              <w:rPr>
                <w:sz w:val="20"/>
                <w:szCs w:val="20"/>
              </w:rPr>
            </w:pPr>
            <w:r w:rsidRPr="00917186">
              <w:rPr>
                <w:sz w:val="20"/>
                <w:szCs w:val="20"/>
              </w:rPr>
              <w:t>Publicētajā atklātības ziņojumā par pēdējo veikto kvalitātes kontroles pārbaudi nav sniegta pilnīga informācija par pēdējās veiktās kvalitātes kontroles pārbaudes veicējiem.</w:t>
            </w:r>
          </w:p>
        </w:tc>
        <w:tc>
          <w:tcPr>
            <w:tcW w:w="1985" w:type="dxa"/>
          </w:tcPr>
          <w:p w14:paraId="575D85F2" w14:textId="77777777" w:rsidR="00AA0C00" w:rsidRPr="00917186" w:rsidRDefault="00AA0C00" w:rsidP="00AA0C00">
            <w:pPr>
              <w:jc w:val="both"/>
              <w:rPr>
                <w:sz w:val="20"/>
                <w:szCs w:val="20"/>
              </w:rPr>
            </w:pPr>
            <w:r w:rsidRPr="00917186">
              <w:rPr>
                <w:sz w:val="20"/>
                <w:szCs w:val="20"/>
              </w:rPr>
              <w:t>ES Regulas Nr.537/2014 13.panta 2.punkta e) apakšpunkts.</w:t>
            </w:r>
          </w:p>
        </w:tc>
        <w:tc>
          <w:tcPr>
            <w:tcW w:w="1842" w:type="dxa"/>
          </w:tcPr>
          <w:p w14:paraId="39E87F3D" w14:textId="442A50CB" w:rsidR="00AA0C00" w:rsidRPr="009061CD" w:rsidRDefault="009061CD" w:rsidP="00FE366B">
            <w:pPr>
              <w:jc w:val="both"/>
              <w:rPr>
                <w:sz w:val="20"/>
                <w:szCs w:val="20"/>
              </w:rPr>
            </w:pPr>
            <w:r w:rsidRPr="009061CD">
              <w:rPr>
                <w:sz w:val="20"/>
                <w:szCs w:val="20"/>
              </w:rPr>
              <w:t>Atklātības ziņojumā norādīt pilnīgu un precīzu informāciju par pēdējo kvalitātes kontroles pārbaudi (inspekciju), tās veicējiem un norises laiku.</w:t>
            </w:r>
          </w:p>
        </w:tc>
        <w:tc>
          <w:tcPr>
            <w:tcW w:w="1276" w:type="dxa"/>
            <w:vMerge w:val="restart"/>
            <w:hideMark/>
          </w:tcPr>
          <w:p w14:paraId="27661756" w14:textId="77777777" w:rsidR="00AA0C00" w:rsidRPr="00E16B38" w:rsidRDefault="00AA0C00" w:rsidP="00AA0C00">
            <w:pPr>
              <w:jc w:val="center"/>
              <w:rPr>
                <w:sz w:val="20"/>
                <w:szCs w:val="20"/>
              </w:rPr>
            </w:pPr>
            <w:r>
              <w:rPr>
                <w:sz w:val="20"/>
                <w:szCs w:val="20"/>
              </w:rPr>
              <w:t>2</w:t>
            </w:r>
            <w:r w:rsidRPr="00E16B38">
              <w:rPr>
                <w:sz w:val="20"/>
                <w:szCs w:val="20"/>
              </w:rPr>
              <w:t>.kategorija</w:t>
            </w:r>
          </w:p>
        </w:tc>
      </w:tr>
      <w:tr w:rsidR="00AA0C00" w:rsidRPr="00D76978" w14:paraId="7B249488" w14:textId="77777777" w:rsidTr="00AA0C00">
        <w:trPr>
          <w:trHeight w:val="702"/>
        </w:trPr>
        <w:tc>
          <w:tcPr>
            <w:tcW w:w="568" w:type="dxa"/>
            <w:vMerge/>
            <w:hideMark/>
          </w:tcPr>
          <w:p w14:paraId="38E619FB" w14:textId="77777777" w:rsidR="00AA0C00" w:rsidRPr="000D612B" w:rsidRDefault="00AA0C00" w:rsidP="00AA0C00">
            <w:pPr>
              <w:rPr>
                <w:sz w:val="20"/>
                <w:szCs w:val="20"/>
              </w:rPr>
            </w:pPr>
          </w:p>
        </w:tc>
        <w:tc>
          <w:tcPr>
            <w:tcW w:w="1843" w:type="dxa"/>
            <w:vMerge/>
            <w:hideMark/>
          </w:tcPr>
          <w:p w14:paraId="6E7F7671" w14:textId="77777777" w:rsidR="00AA0C00" w:rsidRPr="000D612B" w:rsidRDefault="00AA0C00" w:rsidP="00AA0C00">
            <w:pPr>
              <w:rPr>
                <w:sz w:val="20"/>
                <w:szCs w:val="20"/>
              </w:rPr>
            </w:pPr>
          </w:p>
        </w:tc>
        <w:tc>
          <w:tcPr>
            <w:tcW w:w="1413" w:type="dxa"/>
            <w:vMerge/>
            <w:hideMark/>
          </w:tcPr>
          <w:p w14:paraId="2AEFB919" w14:textId="77777777" w:rsidR="00AA0C00" w:rsidRPr="000D612B" w:rsidRDefault="00AA0C00" w:rsidP="00AA0C00">
            <w:pPr>
              <w:rPr>
                <w:sz w:val="20"/>
                <w:szCs w:val="20"/>
              </w:rPr>
            </w:pPr>
          </w:p>
        </w:tc>
        <w:tc>
          <w:tcPr>
            <w:tcW w:w="1705" w:type="dxa"/>
            <w:vMerge/>
            <w:hideMark/>
          </w:tcPr>
          <w:p w14:paraId="499CCB39" w14:textId="77777777" w:rsidR="00AA0C00" w:rsidRPr="00E16B38" w:rsidRDefault="00AA0C00" w:rsidP="00AA0C00">
            <w:pPr>
              <w:rPr>
                <w:sz w:val="20"/>
                <w:szCs w:val="20"/>
              </w:rPr>
            </w:pPr>
          </w:p>
        </w:tc>
        <w:tc>
          <w:tcPr>
            <w:tcW w:w="1276" w:type="dxa"/>
            <w:vMerge/>
            <w:hideMark/>
          </w:tcPr>
          <w:p w14:paraId="1F2D2D10" w14:textId="77777777" w:rsidR="00AA0C00" w:rsidRPr="00E16B38" w:rsidRDefault="00AA0C00" w:rsidP="00AA0C00">
            <w:pPr>
              <w:rPr>
                <w:sz w:val="20"/>
                <w:szCs w:val="20"/>
              </w:rPr>
            </w:pPr>
          </w:p>
        </w:tc>
        <w:tc>
          <w:tcPr>
            <w:tcW w:w="989" w:type="dxa"/>
            <w:vMerge/>
            <w:hideMark/>
          </w:tcPr>
          <w:p w14:paraId="2326931C" w14:textId="77777777" w:rsidR="00AA0C00" w:rsidRPr="00E16B38" w:rsidRDefault="00AA0C00" w:rsidP="00AA0C00">
            <w:pPr>
              <w:rPr>
                <w:sz w:val="20"/>
                <w:szCs w:val="20"/>
              </w:rPr>
            </w:pPr>
          </w:p>
        </w:tc>
        <w:tc>
          <w:tcPr>
            <w:tcW w:w="2413" w:type="dxa"/>
          </w:tcPr>
          <w:p w14:paraId="19E659EA" w14:textId="445AD63D" w:rsidR="00AA0C00" w:rsidRPr="00F07B1B" w:rsidRDefault="003F13A8" w:rsidP="003F13A8">
            <w:pPr>
              <w:pStyle w:val="CommentText"/>
              <w:jc w:val="both"/>
            </w:pPr>
            <w:r w:rsidRPr="00F07B1B">
              <w:rPr>
                <w:color w:val="000000" w:themeColor="text1"/>
              </w:rPr>
              <w:t>Pārbaudītā atsevišķa revīzijas uzdevuma ietvaros tika konstatēts, ka nav ievērota noteiktā prasība attiecībā uz neatkarīga revidenta ziņojuma satura atbilstību normatīvā regulējuma prasībām - neatkarīga revidenta ziņojuma forma nav izvēlēta atbilstoši ES Regulas Nr.537/2014 noteiktajām prasībām.</w:t>
            </w:r>
          </w:p>
        </w:tc>
        <w:tc>
          <w:tcPr>
            <w:tcW w:w="1985" w:type="dxa"/>
          </w:tcPr>
          <w:p w14:paraId="35141716" w14:textId="77777777" w:rsidR="00AA0C00" w:rsidRPr="00F07B1B" w:rsidRDefault="00AA0C00" w:rsidP="00AA0C00">
            <w:pPr>
              <w:jc w:val="both"/>
              <w:rPr>
                <w:color w:val="000000" w:themeColor="text1"/>
                <w:sz w:val="20"/>
                <w:szCs w:val="20"/>
              </w:rPr>
            </w:pPr>
            <w:r w:rsidRPr="00F07B1B">
              <w:rPr>
                <w:color w:val="000000" w:themeColor="text1"/>
                <w:sz w:val="20"/>
                <w:szCs w:val="20"/>
              </w:rPr>
              <w:t>ES Regulas Nr.537/2014 10.panta 2.punkts.</w:t>
            </w:r>
          </w:p>
        </w:tc>
        <w:tc>
          <w:tcPr>
            <w:tcW w:w="1842" w:type="dxa"/>
          </w:tcPr>
          <w:p w14:paraId="5EC67FDB" w14:textId="65C1055A" w:rsidR="00AA0C00" w:rsidRPr="00D37194" w:rsidRDefault="00AA0C00" w:rsidP="00AA0C00">
            <w:pPr>
              <w:jc w:val="both"/>
              <w:rPr>
                <w:color w:val="000000" w:themeColor="text1"/>
                <w:sz w:val="20"/>
                <w:szCs w:val="20"/>
              </w:rPr>
            </w:pPr>
            <w:r w:rsidRPr="004C193C">
              <w:rPr>
                <w:color w:val="000000" w:themeColor="text1"/>
                <w:sz w:val="20"/>
                <w:szCs w:val="20"/>
              </w:rPr>
              <w:t>Sniedzot revīzijas pakalpojumu un izdodot</w:t>
            </w:r>
            <w:r w:rsidR="005408F3" w:rsidRPr="004C193C">
              <w:rPr>
                <w:color w:val="000000" w:themeColor="text1"/>
                <w:sz w:val="20"/>
                <w:szCs w:val="20"/>
              </w:rPr>
              <w:t xml:space="preserve"> neatkarīgu revidenta ziņojumu, pārskatīt ziņojuma satura atbilstību normatīvo aktu prasībām.</w:t>
            </w:r>
          </w:p>
        </w:tc>
        <w:tc>
          <w:tcPr>
            <w:tcW w:w="1276" w:type="dxa"/>
            <w:vMerge/>
            <w:hideMark/>
          </w:tcPr>
          <w:p w14:paraId="0023DEBC" w14:textId="77777777" w:rsidR="00AA0C00" w:rsidRPr="00E16B38" w:rsidRDefault="00AA0C00" w:rsidP="00AA0C00">
            <w:pPr>
              <w:rPr>
                <w:sz w:val="20"/>
                <w:szCs w:val="20"/>
              </w:rPr>
            </w:pPr>
          </w:p>
        </w:tc>
      </w:tr>
      <w:tr w:rsidR="00F64D6F" w:rsidRPr="00D76978" w14:paraId="3E054F49" w14:textId="77777777" w:rsidTr="00F64D6F">
        <w:trPr>
          <w:trHeight w:val="409"/>
        </w:trPr>
        <w:tc>
          <w:tcPr>
            <w:tcW w:w="568" w:type="dxa"/>
            <w:vMerge w:val="restart"/>
            <w:hideMark/>
          </w:tcPr>
          <w:p w14:paraId="45631520" w14:textId="77777777" w:rsidR="00F64D6F" w:rsidRPr="000D612B" w:rsidRDefault="00F64D6F" w:rsidP="00F64D6F">
            <w:pPr>
              <w:rPr>
                <w:sz w:val="20"/>
                <w:szCs w:val="20"/>
              </w:rPr>
            </w:pPr>
            <w:r w:rsidRPr="000D612B">
              <w:rPr>
                <w:sz w:val="20"/>
                <w:szCs w:val="20"/>
              </w:rPr>
              <w:t>4.</w:t>
            </w:r>
          </w:p>
        </w:tc>
        <w:tc>
          <w:tcPr>
            <w:tcW w:w="1843" w:type="dxa"/>
            <w:vMerge w:val="restart"/>
            <w:hideMark/>
          </w:tcPr>
          <w:p w14:paraId="052E4E43" w14:textId="20A6617D" w:rsidR="00F64D6F" w:rsidRPr="00BD071B" w:rsidRDefault="00B672EF" w:rsidP="00F64D6F">
            <w:pPr>
              <w:jc w:val="both"/>
              <w:rPr>
                <w:b/>
                <w:sz w:val="20"/>
                <w:szCs w:val="20"/>
              </w:rPr>
            </w:pPr>
            <w:r>
              <w:rPr>
                <w:b/>
                <w:sz w:val="20"/>
                <w:szCs w:val="20"/>
              </w:rPr>
              <w:t>Prakse Nr.4.</w:t>
            </w:r>
          </w:p>
        </w:tc>
        <w:tc>
          <w:tcPr>
            <w:tcW w:w="1413" w:type="dxa"/>
            <w:vMerge w:val="restart"/>
            <w:hideMark/>
          </w:tcPr>
          <w:p w14:paraId="5C7D0773" w14:textId="77777777" w:rsidR="00F64D6F" w:rsidRPr="000D612B" w:rsidRDefault="00F64D6F" w:rsidP="00F64D6F">
            <w:pPr>
              <w:jc w:val="center"/>
              <w:rPr>
                <w:sz w:val="20"/>
                <w:szCs w:val="20"/>
              </w:rPr>
            </w:pPr>
            <w:r w:rsidRPr="000D612B">
              <w:rPr>
                <w:sz w:val="20"/>
                <w:szCs w:val="20"/>
              </w:rPr>
              <w:t>Divi uzdevumi</w:t>
            </w:r>
          </w:p>
        </w:tc>
        <w:tc>
          <w:tcPr>
            <w:tcW w:w="1705" w:type="dxa"/>
            <w:hideMark/>
          </w:tcPr>
          <w:p w14:paraId="4393BFF0" w14:textId="77777777" w:rsidR="00F64D6F" w:rsidRPr="00E16B38" w:rsidRDefault="00F64D6F" w:rsidP="00F64D6F">
            <w:pPr>
              <w:rPr>
                <w:sz w:val="20"/>
                <w:szCs w:val="20"/>
              </w:rPr>
            </w:pPr>
            <w:r w:rsidRPr="00A2010A">
              <w:rPr>
                <w:color w:val="000000" w:themeColor="text1"/>
                <w:sz w:val="20"/>
                <w:szCs w:val="20"/>
              </w:rPr>
              <w:t>Finanšu institūcija</w:t>
            </w:r>
          </w:p>
        </w:tc>
        <w:tc>
          <w:tcPr>
            <w:tcW w:w="1276" w:type="dxa"/>
            <w:hideMark/>
          </w:tcPr>
          <w:p w14:paraId="16372904" w14:textId="77777777" w:rsidR="00F64D6F" w:rsidRPr="00E16B38" w:rsidRDefault="00F64D6F" w:rsidP="00F64D6F">
            <w:pPr>
              <w:rPr>
                <w:sz w:val="20"/>
                <w:szCs w:val="20"/>
              </w:rPr>
            </w:pPr>
            <w:r w:rsidRPr="00CF1414">
              <w:rPr>
                <w:sz w:val="20"/>
                <w:szCs w:val="20"/>
              </w:rPr>
              <w:t>Apvienotais gada un konsolidētais gada pārskats vienā dokumentā</w:t>
            </w:r>
          </w:p>
        </w:tc>
        <w:tc>
          <w:tcPr>
            <w:tcW w:w="989" w:type="dxa"/>
            <w:vMerge w:val="restart"/>
            <w:hideMark/>
          </w:tcPr>
          <w:p w14:paraId="5D2D3539" w14:textId="77777777" w:rsidR="00F64D6F" w:rsidRPr="00E16B38" w:rsidRDefault="00F64D6F" w:rsidP="00F64D6F">
            <w:pPr>
              <w:jc w:val="center"/>
              <w:rPr>
                <w:sz w:val="20"/>
                <w:szCs w:val="20"/>
              </w:rPr>
            </w:pPr>
            <w:r w:rsidRPr="00E16B38">
              <w:rPr>
                <w:sz w:val="20"/>
                <w:szCs w:val="20"/>
              </w:rPr>
              <w:t>201</w:t>
            </w:r>
            <w:r>
              <w:rPr>
                <w:sz w:val="20"/>
                <w:szCs w:val="20"/>
              </w:rPr>
              <w:t>8</w:t>
            </w:r>
            <w:r w:rsidRPr="00E16B38">
              <w:rPr>
                <w:sz w:val="20"/>
                <w:szCs w:val="20"/>
              </w:rPr>
              <w:t>.</w:t>
            </w:r>
          </w:p>
          <w:p w14:paraId="2A5FC372" w14:textId="77777777" w:rsidR="00F64D6F" w:rsidRPr="00E16B38" w:rsidRDefault="00F64D6F" w:rsidP="00F64D6F">
            <w:pPr>
              <w:jc w:val="center"/>
              <w:rPr>
                <w:sz w:val="20"/>
                <w:szCs w:val="20"/>
              </w:rPr>
            </w:pPr>
            <w:r w:rsidRPr="00E16B38">
              <w:rPr>
                <w:sz w:val="20"/>
                <w:szCs w:val="20"/>
              </w:rPr>
              <w:t>pārskata gads</w:t>
            </w:r>
          </w:p>
        </w:tc>
        <w:tc>
          <w:tcPr>
            <w:tcW w:w="2413" w:type="dxa"/>
          </w:tcPr>
          <w:p w14:paraId="36D9A9EE" w14:textId="77777777" w:rsidR="00F64D6F" w:rsidRPr="00A72ED2" w:rsidRDefault="00F64D6F" w:rsidP="00F64D6F">
            <w:pPr>
              <w:jc w:val="both"/>
              <w:rPr>
                <w:sz w:val="20"/>
                <w:szCs w:val="20"/>
              </w:rPr>
            </w:pPr>
            <w:r w:rsidRPr="00A72ED2">
              <w:rPr>
                <w:sz w:val="20"/>
                <w:szCs w:val="20"/>
              </w:rPr>
              <w:t>Nav sniegta informācija Finanšu ministrijai kā kompetentajai iestādei par atklātības ziņojuma publicēšanu atbilstošajā tīmekļa vietnē.</w:t>
            </w:r>
          </w:p>
        </w:tc>
        <w:tc>
          <w:tcPr>
            <w:tcW w:w="1985" w:type="dxa"/>
          </w:tcPr>
          <w:p w14:paraId="5758EE2B" w14:textId="77777777" w:rsidR="00F64D6F" w:rsidRPr="00A72ED2" w:rsidRDefault="00F64D6F" w:rsidP="00F64D6F">
            <w:pPr>
              <w:jc w:val="both"/>
              <w:rPr>
                <w:sz w:val="20"/>
                <w:szCs w:val="20"/>
              </w:rPr>
            </w:pPr>
            <w:r w:rsidRPr="00A72ED2">
              <w:rPr>
                <w:sz w:val="20"/>
                <w:szCs w:val="20"/>
              </w:rPr>
              <w:t>ES Regulas Nr.537/2014 13.panta 1.punkta un Revīzijas pakalpojumu likuma 37.</w:t>
            </w:r>
            <w:r w:rsidRPr="00A72ED2">
              <w:rPr>
                <w:sz w:val="20"/>
                <w:szCs w:val="20"/>
                <w:vertAlign w:val="superscript"/>
              </w:rPr>
              <w:t>5</w:t>
            </w:r>
            <w:r w:rsidRPr="00A72ED2">
              <w:rPr>
                <w:sz w:val="20"/>
                <w:szCs w:val="20"/>
              </w:rPr>
              <w:t xml:space="preserve"> panta pirmā daļa.</w:t>
            </w:r>
          </w:p>
        </w:tc>
        <w:tc>
          <w:tcPr>
            <w:tcW w:w="1842" w:type="dxa"/>
          </w:tcPr>
          <w:p w14:paraId="09B5D83E" w14:textId="77777777" w:rsidR="00F64D6F" w:rsidRPr="00A72ED2" w:rsidRDefault="00F64D6F" w:rsidP="00F64D6F">
            <w:pPr>
              <w:jc w:val="both"/>
              <w:rPr>
                <w:sz w:val="20"/>
                <w:szCs w:val="20"/>
              </w:rPr>
            </w:pPr>
            <w:r w:rsidRPr="00A72ED2">
              <w:rPr>
                <w:sz w:val="20"/>
                <w:szCs w:val="20"/>
              </w:rPr>
              <w:t>Par atklātības ziņojuma publicēšanu informēt Finanšu ministriju kā kompetento iestādi.</w:t>
            </w:r>
          </w:p>
        </w:tc>
        <w:tc>
          <w:tcPr>
            <w:tcW w:w="1276" w:type="dxa"/>
            <w:vMerge w:val="restart"/>
            <w:hideMark/>
          </w:tcPr>
          <w:p w14:paraId="2035763A" w14:textId="77777777" w:rsidR="00F64D6F" w:rsidRPr="00E16B38" w:rsidRDefault="00F64D6F" w:rsidP="00F64D6F">
            <w:pPr>
              <w:jc w:val="center"/>
              <w:rPr>
                <w:sz w:val="20"/>
                <w:szCs w:val="20"/>
              </w:rPr>
            </w:pPr>
            <w:r>
              <w:rPr>
                <w:sz w:val="20"/>
                <w:szCs w:val="20"/>
              </w:rPr>
              <w:t>1</w:t>
            </w:r>
            <w:r w:rsidRPr="00E16B38">
              <w:rPr>
                <w:sz w:val="20"/>
                <w:szCs w:val="20"/>
              </w:rPr>
              <w:t>.kategorija</w:t>
            </w:r>
          </w:p>
        </w:tc>
      </w:tr>
      <w:tr w:rsidR="00F64D6F" w:rsidRPr="00D76978" w14:paraId="25E39599" w14:textId="77777777" w:rsidTr="00F64D6F">
        <w:trPr>
          <w:trHeight w:val="1551"/>
        </w:trPr>
        <w:tc>
          <w:tcPr>
            <w:tcW w:w="568" w:type="dxa"/>
            <w:vMerge/>
            <w:hideMark/>
          </w:tcPr>
          <w:p w14:paraId="6CBF708B" w14:textId="77777777" w:rsidR="00F64D6F" w:rsidRPr="000D612B" w:rsidRDefault="00F64D6F" w:rsidP="00F64D6F">
            <w:pPr>
              <w:rPr>
                <w:sz w:val="20"/>
                <w:szCs w:val="20"/>
              </w:rPr>
            </w:pPr>
          </w:p>
        </w:tc>
        <w:tc>
          <w:tcPr>
            <w:tcW w:w="1843" w:type="dxa"/>
            <w:vMerge/>
            <w:hideMark/>
          </w:tcPr>
          <w:p w14:paraId="074D7A36" w14:textId="77777777" w:rsidR="00F64D6F" w:rsidRPr="000D612B" w:rsidRDefault="00F64D6F" w:rsidP="00F64D6F">
            <w:pPr>
              <w:rPr>
                <w:sz w:val="20"/>
                <w:szCs w:val="20"/>
              </w:rPr>
            </w:pPr>
          </w:p>
        </w:tc>
        <w:tc>
          <w:tcPr>
            <w:tcW w:w="1413" w:type="dxa"/>
            <w:vMerge/>
            <w:hideMark/>
          </w:tcPr>
          <w:p w14:paraId="42562AE1" w14:textId="77777777" w:rsidR="00F64D6F" w:rsidRPr="000D612B" w:rsidRDefault="00F64D6F" w:rsidP="00F64D6F">
            <w:pPr>
              <w:rPr>
                <w:sz w:val="20"/>
                <w:szCs w:val="20"/>
              </w:rPr>
            </w:pPr>
          </w:p>
        </w:tc>
        <w:tc>
          <w:tcPr>
            <w:tcW w:w="1705" w:type="dxa"/>
            <w:hideMark/>
          </w:tcPr>
          <w:p w14:paraId="7EB7DB97" w14:textId="77777777" w:rsidR="00F64D6F" w:rsidRPr="000D612B" w:rsidRDefault="00F64D6F" w:rsidP="00F64D6F">
            <w:pPr>
              <w:rPr>
                <w:sz w:val="20"/>
                <w:szCs w:val="20"/>
              </w:rPr>
            </w:pPr>
            <w:r w:rsidRPr="000D612B">
              <w:rPr>
                <w:sz w:val="20"/>
                <w:szCs w:val="20"/>
              </w:rPr>
              <w:t>Kapitālsabiedrība, kuras pārvedami vērtspapīri ir iekļauti regulētajā tirgū</w:t>
            </w:r>
          </w:p>
        </w:tc>
        <w:tc>
          <w:tcPr>
            <w:tcW w:w="1276" w:type="dxa"/>
            <w:hideMark/>
          </w:tcPr>
          <w:p w14:paraId="6E703899" w14:textId="77777777" w:rsidR="00F64D6F" w:rsidRPr="000D612B" w:rsidRDefault="00F64D6F" w:rsidP="00F64D6F">
            <w:pPr>
              <w:rPr>
                <w:sz w:val="20"/>
                <w:szCs w:val="20"/>
              </w:rPr>
            </w:pPr>
            <w:r w:rsidRPr="000D612B">
              <w:rPr>
                <w:sz w:val="20"/>
                <w:szCs w:val="20"/>
              </w:rPr>
              <w:t>Gada pārskats un konsolidētais gada pārskats</w:t>
            </w:r>
          </w:p>
        </w:tc>
        <w:tc>
          <w:tcPr>
            <w:tcW w:w="989" w:type="dxa"/>
            <w:vMerge/>
            <w:hideMark/>
          </w:tcPr>
          <w:p w14:paraId="62383273" w14:textId="77777777" w:rsidR="00F64D6F" w:rsidRPr="000D612B" w:rsidRDefault="00F64D6F" w:rsidP="00F64D6F">
            <w:pPr>
              <w:rPr>
                <w:sz w:val="20"/>
                <w:szCs w:val="20"/>
              </w:rPr>
            </w:pPr>
          </w:p>
        </w:tc>
        <w:tc>
          <w:tcPr>
            <w:tcW w:w="2413" w:type="dxa"/>
          </w:tcPr>
          <w:p w14:paraId="20F46322" w14:textId="77777777" w:rsidR="00F64D6F" w:rsidRPr="00A72ED2" w:rsidRDefault="00F64D6F" w:rsidP="00F64D6F">
            <w:pPr>
              <w:jc w:val="both"/>
              <w:rPr>
                <w:sz w:val="20"/>
                <w:szCs w:val="20"/>
              </w:rPr>
            </w:pPr>
            <w:r w:rsidRPr="00A72ED2">
              <w:rPr>
                <w:sz w:val="20"/>
                <w:szCs w:val="20"/>
              </w:rPr>
              <w:t>Publicētajā atklātības ziņojumā par pēdējo veikto kvalitātes kontroles pārbaudi nav sniegta pilnīga informācija par pēdējās veiktās kvalitātes kontroles pārbaudes veicējiem.</w:t>
            </w:r>
          </w:p>
        </w:tc>
        <w:tc>
          <w:tcPr>
            <w:tcW w:w="1985" w:type="dxa"/>
          </w:tcPr>
          <w:p w14:paraId="5A8BE4C5" w14:textId="77777777" w:rsidR="00F64D6F" w:rsidRPr="00A72ED2" w:rsidRDefault="00F64D6F" w:rsidP="00F64D6F">
            <w:pPr>
              <w:jc w:val="both"/>
              <w:rPr>
                <w:sz w:val="20"/>
                <w:szCs w:val="20"/>
              </w:rPr>
            </w:pPr>
            <w:r w:rsidRPr="00A72ED2">
              <w:rPr>
                <w:sz w:val="20"/>
                <w:szCs w:val="20"/>
              </w:rPr>
              <w:t>ES Regulas Nr.537/2014 13.panta 2.punkta e) apakšpunkts.</w:t>
            </w:r>
          </w:p>
        </w:tc>
        <w:tc>
          <w:tcPr>
            <w:tcW w:w="1842" w:type="dxa"/>
          </w:tcPr>
          <w:p w14:paraId="43D4361A" w14:textId="4D29C74F" w:rsidR="00F64D6F" w:rsidRPr="00A72ED2" w:rsidRDefault="009061CD" w:rsidP="005418FF">
            <w:pPr>
              <w:jc w:val="both"/>
              <w:rPr>
                <w:sz w:val="20"/>
                <w:szCs w:val="20"/>
              </w:rPr>
            </w:pPr>
            <w:r w:rsidRPr="009061CD">
              <w:rPr>
                <w:sz w:val="20"/>
                <w:szCs w:val="20"/>
              </w:rPr>
              <w:t>Atklātības ziņojumā norādīt pilnīgu un precīzu informāciju par pēdējo kvalitātes kontroles pārbaudi (inspekciju), tās veicējiem un norises laiku.</w:t>
            </w:r>
          </w:p>
        </w:tc>
        <w:tc>
          <w:tcPr>
            <w:tcW w:w="1276" w:type="dxa"/>
            <w:vMerge/>
            <w:hideMark/>
          </w:tcPr>
          <w:p w14:paraId="3F2C69CC" w14:textId="77777777" w:rsidR="00F64D6F" w:rsidRPr="00D76978" w:rsidRDefault="00F64D6F" w:rsidP="00F64D6F">
            <w:pPr>
              <w:rPr>
                <w:sz w:val="20"/>
                <w:szCs w:val="20"/>
              </w:rPr>
            </w:pPr>
          </w:p>
        </w:tc>
      </w:tr>
      <w:tr w:rsidR="00CB4DC9" w:rsidRPr="00D76978" w14:paraId="66543D73" w14:textId="77777777" w:rsidTr="00D66F3B">
        <w:trPr>
          <w:trHeight w:val="415"/>
        </w:trPr>
        <w:tc>
          <w:tcPr>
            <w:tcW w:w="568" w:type="dxa"/>
            <w:vMerge w:val="restart"/>
            <w:hideMark/>
          </w:tcPr>
          <w:p w14:paraId="26EEC3EF" w14:textId="77777777" w:rsidR="00CB4DC9" w:rsidRPr="000D612B" w:rsidRDefault="00CB4DC9" w:rsidP="00D66F3B">
            <w:pPr>
              <w:rPr>
                <w:sz w:val="20"/>
                <w:szCs w:val="20"/>
              </w:rPr>
            </w:pPr>
            <w:r w:rsidRPr="000D612B">
              <w:rPr>
                <w:sz w:val="20"/>
                <w:szCs w:val="20"/>
              </w:rPr>
              <w:t>5.</w:t>
            </w:r>
          </w:p>
        </w:tc>
        <w:tc>
          <w:tcPr>
            <w:tcW w:w="1843" w:type="dxa"/>
            <w:vMerge w:val="restart"/>
            <w:hideMark/>
          </w:tcPr>
          <w:p w14:paraId="30DF67E4" w14:textId="4DB7ED04" w:rsidR="00CB4DC9" w:rsidRPr="00BD071B" w:rsidRDefault="00B672EF" w:rsidP="00D66F3B">
            <w:pPr>
              <w:jc w:val="both"/>
              <w:rPr>
                <w:b/>
                <w:sz w:val="20"/>
                <w:szCs w:val="20"/>
              </w:rPr>
            </w:pPr>
            <w:r>
              <w:rPr>
                <w:b/>
                <w:sz w:val="20"/>
                <w:szCs w:val="20"/>
              </w:rPr>
              <w:t>Prakse Nr.5.</w:t>
            </w:r>
          </w:p>
        </w:tc>
        <w:tc>
          <w:tcPr>
            <w:tcW w:w="1413" w:type="dxa"/>
            <w:vMerge w:val="restart"/>
            <w:hideMark/>
          </w:tcPr>
          <w:p w14:paraId="05A154EC" w14:textId="77777777" w:rsidR="00CB4DC9" w:rsidRPr="000D612B" w:rsidRDefault="00CB4DC9" w:rsidP="00D66F3B">
            <w:pPr>
              <w:jc w:val="center"/>
              <w:rPr>
                <w:sz w:val="20"/>
                <w:szCs w:val="20"/>
              </w:rPr>
            </w:pPr>
            <w:r>
              <w:rPr>
                <w:sz w:val="20"/>
                <w:szCs w:val="20"/>
              </w:rPr>
              <w:t>Viens uzdevums</w:t>
            </w:r>
          </w:p>
        </w:tc>
        <w:tc>
          <w:tcPr>
            <w:tcW w:w="1705" w:type="dxa"/>
            <w:vMerge w:val="restart"/>
            <w:hideMark/>
          </w:tcPr>
          <w:p w14:paraId="194392F7" w14:textId="1CF2F1BA" w:rsidR="00CB4DC9" w:rsidRPr="000D612B" w:rsidRDefault="00CB4DC9" w:rsidP="00D66F3B">
            <w:pPr>
              <w:rPr>
                <w:sz w:val="20"/>
                <w:szCs w:val="20"/>
              </w:rPr>
            </w:pPr>
            <w:r w:rsidRPr="000D612B">
              <w:rPr>
                <w:sz w:val="20"/>
                <w:szCs w:val="20"/>
              </w:rPr>
              <w:t>Kapitālsabiedrība, kuras pārvedami vērtspapīri ir iekļauti regulētajā tirgū</w:t>
            </w:r>
          </w:p>
        </w:tc>
        <w:tc>
          <w:tcPr>
            <w:tcW w:w="1276" w:type="dxa"/>
            <w:vMerge w:val="restart"/>
            <w:hideMark/>
          </w:tcPr>
          <w:p w14:paraId="5069CE2B" w14:textId="56369A5B" w:rsidR="00CB4DC9" w:rsidRPr="000D612B" w:rsidRDefault="00CB4DC9" w:rsidP="00D66F3B">
            <w:pPr>
              <w:rPr>
                <w:sz w:val="20"/>
                <w:szCs w:val="20"/>
              </w:rPr>
            </w:pPr>
            <w:r w:rsidRPr="000D612B">
              <w:rPr>
                <w:sz w:val="20"/>
                <w:szCs w:val="20"/>
              </w:rPr>
              <w:t>Gada pārskats</w:t>
            </w:r>
          </w:p>
        </w:tc>
        <w:tc>
          <w:tcPr>
            <w:tcW w:w="989" w:type="dxa"/>
            <w:vMerge w:val="restart"/>
            <w:hideMark/>
          </w:tcPr>
          <w:p w14:paraId="0617298E" w14:textId="6847EF55" w:rsidR="00CB4DC9" w:rsidRDefault="00CB4DC9" w:rsidP="00D66F3B">
            <w:pPr>
              <w:jc w:val="center"/>
              <w:rPr>
                <w:sz w:val="20"/>
                <w:szCs w:val="20"/>
              </w:rPr>
            </w:pPr>
            <w:r w:rsidRPr="000D612B">
              <w:rPr>
                <w:sz w:val="20"/>
                <w:szCs w:val="20"/>
              </w:rPr>
              <w:t>201</w:t>
            </w:r>
            <w:r>
              <w:rPr>
                <w:sz w:val="20"/>
                <w:szCs w:val="20"/>
              </w:rPr>
              <w:t>8</w:t>
            </w:r>
            <w:r w:rsidRPr="000D612B">
              <w:rPr>
                <w:sz w:val="20"/>
                <w:szCs w:val="20"/>
              </w:rPr>
              <w:t>.</w:t>
            </w:r>
          </w:p>
          <w:p w14:paraId="41A1EF92" w14:textId="77777777" w:rsidR="00CB4DC9" w:rsidRPr="000D612B" w:rsidRDefault="00CB4DC9" w:rsidP="00D66F3B">
            <w:pPr>
              <w:jc w:val="center"/>
              <w:rPr>
                <w:sz w:val="20"/>
                <w:szCs w:val="20"/>
              </w:rPr>
            </w:pPr>
            <w:r w:rsidRPr="000D612B">
              <w:rPr>
                <w:sz w:val="20"/>
                <w:szCs w:val="20"/>
              </w:rPr>
              <w:t>pārskata gads</w:t>
            </w:r>
          </w:p>
        </w:tc>
        <w:tc>
          <w:tcPr>
            <w:tcW w:w="2413" w:type="dxa"/>
          </w:tcPr>
          <w:p w14:paraId="7C709CB6" w14:textId="621AAA62" w:rsidR="00CB4DC9" w:rsidRPr="00A72ED2" w:rsidRDefault="00CB4DC9" w:rsidP="00D66F3B">
            <w:pPr>
              <w:jc w:val="both"/>
              <w:rPr>
                <w:color w:val="FF0000"/>
                <w:sz w:val="20"/>
                <w:szCs w:val="20"/>
              </w:rPr>
            </w:pPr>
            <w:r w:rsidRPr="00A72ED2">
              <w:rPr>
                <w:color w:val="000000" w:themeColor="text1"/>
                <w:sz w:val="20"/>
                <w:szCs w:val="20"/>
              </w:rPr>
              <w:t>Publicētajā atklātības ziņojumā atspoguļotā finanšu informācija ir nepilnīga.</w:t>
            </w:r>
          </w:p>
        </w:tc>
        <w:tc>
          <w:tcPr>
            <w:tcW w:w="1985" w:type="dxa"/>
          </w:tcPr>
          <w:p w14:paraId="0738E8CF" w14:textId="3407503D" w:rsidR="00CB4DC9" w:rsidRPr="00A72ED2" w:rsidRDefault="00CB4DC9" w:rsidP="00D66F3B">
            <w:pPr>
              <w:jc w:val="both"/>
              <w:rPr>
                <w:color w:val="FF0000"/>
                <w:sz w:val="20"/>
                <w:szCs w:val="20"/>
              </w:rPr>
            </w:pPr>
            <w:r w:rsidRPr="00A72ED2">
              <w:rPr>
                <w:color w:val="000000" w:themeColor="text1"/>
                <w:sz w:val="20"/>
                <w:szCs w:val="20"/>
              </w:rPr>
              <w:t>ES Regulas Nr.537/2014 13.panta 2.punkta k) apakšpunkts.</w:t>
            </w:r>
          </w:p>
        </w:tc>
        <w:tc>
          <w:tcPr>
            <w:tcW w:w="1842" w:type="dxa"/>
          </w:tcPr>
          <w:p w14:paraId="2D47F5E3" w14:textId="68ADDED5" w:rsidR="00CB4DC9" w:rsidRPr="00A72ED2" w:rsidRDefault="00CB4DC9" w:rsidP="00D66F3B">
            <w:pPr>
              <w:jc w:val="both"/>
              <w:rPr>
                <w:color w:val="FF0000"/>
                <w:sz w:val="20"/>
                <w:szCs w:val="20"/>
              </w:rPr>
            </w:pPr>
            <w:r w:rsidRPr="00A72ED2">
              <w:rPr>
                <w:color w:val="000000" w:themeColor="text1"/>
                <w:sz w:val="20"/>
                <w:szCs w:val="20"/>
              </w:rPr>
              <w:t>Atklātības ziņojumā norādīt pilnīgu un precīzu finanšu informāciju par noteiktajā pārskata periodā gūtajiem ieņēmumiem</w:t>
            </w:r>
            <w:r w:rsidR="00C348D5">
              <w:rPr>
                <w:color w:val="000000" w:themeColor="text1"/>
                <w:sz w:val="20"/>
                <w:szCs w:val="20"/>
              </w:rPr>
              <w:t>, sadalot pa to veidiem</w:t>
            </w:r>
            <w:r w:rsidR="00651AA0">
              <w:rPr>
                <w:color w:val="000000" w:themeColor="text1"/>
                <w:sz w:val="20"/>
                <w:szCs w:val="20"/>
              </w:rPr>
              <w:t>.</w:t>
            </w:r>
          </w:p>
        </w:tc>
        <w:tc>
          <w:tcPr>
            <w:tcW w:w="1276" w:type="dxa"/>
            <w:vMerge w:val="restart"/>
            <w:hideMark/>
          </w:tcPr>
          <w:p w14:paraId="3CB0D125" w14:textId="77777777" w:rsidR="00CB4DC9" w:rsidRPr="000D612B" w:rsidRDefault="00CB4DC9" w:rsidP="00D66F3B">
            <w:pPr>
              <w:jc w:val="center"/>
              <w:rPr>
                <w:sz w:val="20"/>
                <w:szCs w:val="20"/>
              </w:rPr>
            </w:pPr>
            <w:r w:rsidRPr="000D612B">
              <w:rPr>
                <w:sz w:val="20"/>
                <w:szCs w:val="20"/>
              </w:rPr>
              <w:t>2.kategorija</w:t>
            </w:r>
          </w:p>
        </w:tc>
      </w:tr>
      <w:tr w:rsidR="00CB4DC9" w:rsidRPr="000D612B" w14:paraId="0D4AF04E" w14:textId="77777777" w:rsidTr="004C193C">
        <w:trPr>
          <w:trHeight w:val="547"/>
        </w:trPr>
        <w:tc>
          <w:tcPr>
            <w:tcW w:w="568" w:type="dxa"/>
            <w:vMerge/>
            <w:hideMark/>
          </w:tcPr>
          <w:p w14:paraId="48C649C8" w14:textId="77777777" w:rsidR="00CB4DC9" w:rsidRPr="00713847" w:rsidRDefault="00CB4DC9" w:rsidP="00D66F3B"/>
        </w:tc>
        <w:tc>
          <w:tcPr>
            <w:tcW w:w="1843" w:type="dxa"/>
            <w:vMerge/>
            <w:hideMark/>
          </w:tcPr>
          <w:p w14:paraId="7A0951CC" w14:textId="77777777" w:rsidR="00CB4DC9" w:rsidRPr="007036B4" w:rsidRDefault="00CB4DC9" w:rsidP="00D66F3B">
            <w:pPr>
              <w:rPr>
                <w:sz w:val="22"/>
                <w:szCs w:val="22"/>
              </w:rPr>
            </w:pPr>
          </w:p>
        </w:tc>
        <w:tc>
          <w:tcPr>
            <w:tcW w:w="1413" w:type="dxa"/>
            <w:vMerge/>
            <w:hideMark/>
          </w:tcPr>
          <w:p w14:paraId="5293FEA3" w14:textId="77777777" w:rsidR="00CB4DC9" w:rsidRPr="007036B4" w:rsidRDefault="00CB4DC9" w:rsidP="00D66F3B">
            <w:pPr>
              <w:rPr>
                <w:sz w:val="22"/>
                <w:szCs w:val="22"/>
              </w:rPr>
            </w:pPr>
          </w:p>
        </w:tc>
        <w:tc>
          <w:tcPr>
            <w:tcW w:w="1705" w:type="dxa"/>
            <w:vMerge/>
            <w:hideMark/>
          </w:tcPr>
          <w:p w14:paraId="129C930D" w14:textId="280518A1" w:rsidR="00CB4DC9" w:rsidRPr="000D612B" w:rsidRDefault="00CB4DC9" w:rsidP="00D66F3B">
            <w:pPr>
              <w:rPr>
                <w:sz w:val="20"/>
                <w:szCs w:val="20"/>
              </w:rPr>
            </w:pPr>
          </w:p>
        </w:tc>
        <w:tc>
          <w:tcPr>
            <w:tcW w:w="1276" w:type="dxa"/>
            <w:vMerge/>
            <w:hideMark/>
          </w:tcPr>
          <w:p w14:paraId="1BC2196A" w14:textId="61C7AD17" w:rsidR="00CB4DC9" w:rsidRPr="000D612B" w:rsidRDefault="00CB4DC9" w:rsidP="00D66F3B">
            <w:pPr>
              <w:rPr>
                <w:sz w:val="20"/>
                <w:szCs w:val="20"/>
              </w:rPr>
            </w:pPr>
          </w:p>
        </w:tc>
        <w:tc>
          <w:tcPr>
            <w:tcW w:w="989" w:type="dxa"/>
            <w:vMerge/>
            <w:hideMark/>
          </w:tcPr>
          <w:p w14:paraId="0055BA20" w14:textId="77777777" w:rsidR="00CB4DC9" w:rsidRPr="000D612B" w:rsidRDefault="00CB4DC9" w:rsidP="00D66F3B">
            <w:pPr>
              <w:rPr>
                <w:sz w:val="20"/>
                <w:szCs w:val="20"/>
              </w:rPr>
            </w:pPr>
          </w:p>
        </w:tc>
        <w:tc>
          <w:tcPr>
            <w:tcW w:w="2413" w:type="dxa"/>
          </w:tcPr>
          <w:p w14:paraId="73D1FD18" w14:textId="1B3CDFBD" w:rsidR="00CB4DC9" w:rsidRPr="00BB1374" w:rsidRDefault="00CB4DC9" w:rsidP="00C33693">
            <w:pPr>
              <w:jc w:val="both"/>
              <w:rPr>
                <w:color w:val="FF0000"/>
                <w:sz w:val="20"/>
                <w:szCs w:val="20"/>
              </w:rPr>
            </w:pPr>
            <w:r w:rsidRPr="00BB1374">
              <w:rPr>
                <w:color w:val="000000" w:themeColor="text1"/>
                <w:sz w:val="20"/>
                <w:szCs w:val="20"/>
              </w:rPr>
              <w:t xml:space="preserve">Pārbaudītā atsevišķa revīzijas uzdevuma ietvaros tika konstatēts, ka </w:t>
            </w:r>
            <w:r w:rsidRPr="00BB1374">
              <w:rPr>
                <w:color w:val="000000" w:themeColor="text1"/>
                <w:sz w:val="20"/>
                <w:szCs w:val="20"/>
              </w:rPr>
              <w:lastRenderedPageBreak/>
              <w:t>nav ievērota noteiktā prasība attiecībā uz neatkarīga revidenta ziņojuma satura atbilstību normatīvā regulējuma prasībām</w:t>
            </w:r>
            <w:r w:rsidR="00C33693" w:rsidRPr="00BB1374">
              <w:rPr>
                <w:color w:val="000000" w:themeColor="text1"/>
                <w:sz w:val="20"/>
                <w:szCs w:val="20"/>
              </w:rPr>
              <w:t xml:space="preserve"> - </w:t>
            </w:r>
            <w:r w:rsidRPr="00BB1374">
              <w:rPr>
                <w:color w:val="000000" w:themeColor="text1"/>
                <w:sz w:val="20"/>
                <w:szCs w:val="20"/>
              </w:rPr>
              <w:t>neatkarīga revidenta ziņojuma forma nav izvēlēta atbilstoši ES Regulas Nr.537/2014 noteiktajām prasībām.</w:t>
            </w:r>
          </w:p>
        </w:tc>
        <w:tc>
          <w:tcPr>
            <w:tcW w:w="1985" w:type="dxa"/>
          </w:tcPr>
          <w:p w14:paraId="59E766A6" w14:textId="4E1BF556" w:rsidR="00CB4DC9" w:rsidRPr="00BB1374" w:rsidRDefault="00CB4DC9" w:rsidP="00D66F3B">
            <w:pPr>
              <w:jc w:val="both"/>
              <w:rPr>
                <w:color w:val="FF0000"/>
                <w:sz w:val="20"/>
                <w:szCs w:val="20"/>
              </w:rPr>
            </w:pPr>
            <w:r w:rsidRPr="00BB1374">
              <w:rPr>
                <w:color w:val="000000" w:themeColor="text1"/>
                <w:sz w:val="20"/>
                <w:szCs w:val="20"/>
              </w:rPr>
              <w:lastRenderedPageBreak/>
              <w:t>ES Regulas Nr.537/2014 10.panta 2.punkts.</w:t>
            </w:r>
          </w:p>
        </w:tc>
        <w:tc>
          <w:tcPr>
            <w:tcW w:w="1842" w:type="dxa"/>
          </w:tcPr>
          <w:p w14:paraId="1D59C9F2" w14:textId="3BBBCCEF" w:rsidR="00CB4DC9" w:rsidRPr="00B2640B" w:rsidRDefault="00CB4DC9" w:rsidP="00D66F3B">
            <w:pPr>
              <w:jc w:val="both"/>
              <w:rPr>
                <w:color w:val="FF0000"/>
                <w:sz w:val="20"/>
                <w:szCs w:val="20"/>
                <w:highlight w:val="yellow"/>
              </w:rPr>
            </w:pPr>
            <w:r w:rsidRPr="00D37194">
              <w:rPr>
                <w:color w:val="000000" w:themeColor="text1"/>
                <w:sz w:val="20"/>
                <w:szCs w:val="20"/>
              </w:rPr>
              <w:t>Sniedzot revīzijas pakalpojumu un izdodot</w:t>
            </w:r>
            <w:r w:rsidR="003C5891">
              <w:rPr>
                <w:color w:val="000000" w:themeColor="text1"/>
                <w:sz w:val="20"/>
                <w:szCs w:val="20"/>
              </w:rPr>
              <w:t xml:space="preserve"> neatkarīgu </w:t>
            </w:r>
            <w:r w:rsidR="003C5891" w:rsidRPr="004C193C">
              <w:rPr>
                <w:color w:val="000000" w:themeColor="text1"/>
                <w:sz w:val="20"/>
                <w:szCs w:val="20"/>
              </w:rPr>
              <w:lastRenderedPageBreak/>
              <w:t>revidenta ziņojumu, pārskatīt ziņojuma satura atbilstību normatīvo aktu prasībām.</w:t>
            </w:r>
          </w:p>
        </w:tc>
        <w:tc>
          <w:tcPr>
            <w:tcW w:w="1276" w:type="dxa"/>
            <w:vMerge/>
            <w:hideMark/>
          </w:tcPr>
          <w:p w14:paraId="18A50203" w14:textId="77777777" w:rsidR="00CB4DC9" w:rsidRPr="000D612B" w:rsidRDefault="00CB4DC9" w:rsidP="00D66F3B">
            <w:pPr>
              <w:rPr>
                <w:sz w:val="20"/>
                <w:szCs w:val="20"/>
              </w:rPr>
            </w:pPr>
          </w:p>
        </w:tc>
      </w:tr>
      <w:tr w:rsidR="00CB4DC9" w:rsidRPr="000D612B" w14:paraId="62A04559" w14:textId="77777777" w:rsidTr="00D66F3B">
        <w:trPr>
          <w:trHeight w:val="986"/>
        </w:trPr>
        <w:tc>
          <w:tcPr>
            <w:tcW w:w="568" w:type="dxa"/>
            <w:vMerge/>
          </w:tcPr>
          <w:p w14:paraId="49594558" w14:textId="77777777" w:rsidR="00CB4DC9" w:rsidRPr="00713847" w:rsidRDefault="00CB4DC9" w:rsidP="00F81C8B"/>
        </w:tc>
        <w:tc>
          <w:tcPr>
            <w:tcW w:w="1843" w:type="dxa"/>
            <w:vMerge/>
          </w:tcPr>
          <w:p w14:paraId="00C614D1" w14:textId="77777777" w:rsidR="00CB4DC9" w:rsidRPr="007036B4" w:rsidRDefault="00CB4DC9" w:rsidP="00F81C8B">
            <w:pPr>
              <w:rPr>
                <w:sz w:val="22"/>
                <w:szCs w:val="22"/>
              </w:rPr>
            </w:pPr>
          </w:p>
        </w:tc>
        <w:tc>
          <w:tcPr>
            <w:tcW w:w="1413" w:type="dxa"/>
            <w:vMerge/>
          </w:tcPr>
          <w:p w14:paraId="4A195338" w14:textId="77777777" w:rsidR="00CB4DC9" w:rsidRPr="007036B4" w:rsidRDefault="00CB4DC9" w:rsidP="00F81C8B">
            <w:pPr>
              <w:rPr>
                <w:sz w:val="22"/>
                <w:szCs w:val="22"/>
              </w:rPr>
            </w:pPr>
          </w:p>
        </w:tc>
        <w:tc>
          <w:tcPr>
            <w:tcW w:w="1705" w:type="dxa"/>
            <w:vMerge/>
          </w:tcPr>
          <w:p w14:paraId="489A5526" w14:textId="77777777" w:rsidR="00CB4DC9" w:rsidRPr="000D612B" w:rsidRDefault="00CB4DC9" w:rsidP="00F81C8B">
            <w:pPr>
              <w:rPr>
                <w:sz w:val="20"/>
                <w:szCs w:val="20"/>
              </w:rPr>
            </w:pPr>
          </w:p>
        </w:tc>
        <w:tc>
          <w:tcPr>
            <w:tcW w:w="1276" w:type="dxa"/>
            <w:vMerge/>
          </w:tcPr>
          <w:p w14:paraId="63C174E2" w14:textId="77777777" w:rsidR="00CB4DC9" w:rsidRPr="000D612B" w:rsidRDefault="00CB4DC9" w:rsidP="00F81C8B">
            <w:pPr>
              <w:rPr>
                <w:sz w:val="20"/>
                <w:szCs w:val="20"/>
              </w:rPr>
            </w:pPr>
          </w:p>
        </w:tc>
        <w:tc>
          <w:tcPr>
            <w:tcW w:w="989" w:type="dxa"/>
            <w:vMerge/>
          </w:tcPr>
          <w:p w14:paraId="0FADF964" w14:textId="77777777" w:rsidR="00CB4DC9" w:rsidRPr="000D612B" w:rsidRDefault="00CB4DC9" w:rsidP="00F81C8B">
            <w:pPr>
              <w:rPr>
                <w:sz w:val="20"/>
                <w:szCs w:val="20"/>
              </w:rPr>
            </w:pPr>
          </w:p>
        </w:tc>
        <w:tc>
          <w:tcPr>
            <w:tcW w:w="2413" w:type="dxa"/>
          </w:tcPr>
          <w:p w14:paraId="20452B66" w14:textId="4DBE9D6C" w:rsidR="00CB4DC9" w:rsidRPr="00BB1374" w:rsidRDefault="00CB4DC9" w:rsidP="00F81C8B">
            <w:pPr>
              <w:jc w:val="both"/>
              <w:rPr>
                <w:color w:val="000000" w:themeColor="text1"/>
                <w:sz w:val="20"/>
                <w:szCs w:val="20"/>
              </w:rPr>
            </w:pPr>
            <w:r w:rsidRPr="00BB1374">
              <w:rPr>
                <w:color w:val="000000" w:themeColor="text1"/>
                <w:sz w:val="20"/>
                <w:szCs w:val="20"/>
              </w:rPr>
              <w:t>Pārbaudītā atsevišķa revīzijas uzdevuma ietvaros tika konstatēts, ka ir daļēja atbilstība normatīvā regulējuma prasībām attiecībā uz izsniegto papildu ziņojumu revīzijas komitejai.</w:t>
            </w:r>
          </w:p>
        </w:tc>
        <w:tc>
          <w:tcPr>
            <w:tcW w:w="1985" w:type="dxa"/>
          </w:tcPr>
          <w:p w14:paraId="189EB921" w14:textId="0C46FB11" w:rsidR="00CB4DC9" w:rsidRPr="00BB1374" w:rsidRDefault="00CB4DC9" w:rsidP="00F81C8B">
            <w:pPr>
              <w:jc w:val="both"/>
              <w:rPr>
                <w:color w:val="000000" w:themeColor="text1"/>
                <w:sz w:val="20"/>
                <w:szCs w:val="20"/>
              </w:rPr>
            </w:pPr>
            <w:r w:rsidRPr="00BB1374">
              <w:rPr>
                <w:color w:val="000000" w:themeColor="text1"/>
                <w:sz w:val="20"/>
                <w:szCs w:val="20"/>
              </w:rPr>
              <w:t>ES Regul</w:t>
            </w:r>
            <w:r w:rsidR="00C33693" w:rsidRPr="00BB1374">
              <w:rPr>
                <w:color w:val="000000" w:themeColor="text1"/>
                <w:sz w:val="20"/>
                <w:szCs w:val="20"/>
              </w:rPr>
              <w:t>as Nr.537/2014 11.panta 2.punkts un 4.punkts</w:t>
            </w:r>
            <w:r w:rsidRPr="00BB1374">
              <w:rPr>
                <w:color w:val="000000" w:themeColor="text1"/>
                <w:sz w:val="20"/>
                <w:szCs w:val="20"/>
              </w:rPr>
              <w:t>.</w:t>
            </w:r>
          </w:p>
        </w:tc>
        <w:tc>
          <w:tcPr>
            <w:tcW w:w="1842" w:type="dxa"/>
          </w:tcPr>
          <w:p w14:paraId="1C30EEFF" w14:textId="003A19FA" w:rsidR="00CB4DC9" w:rsidRPr="00D37194" w:rsidRDefault="00A966DA" w:rsidP="00F81C8B">
            <w:pPr>
              <w:jc w:val="both"/>
              <w:rPr>
                <w:color w:val="000000" w:themeColor="text1"/>
                <w:sz w:val="20"/>
                <w:szCs w:val="20"/>
              </w:rPr>
            </w:pPr>
            <w:r w:rsidRPr="00EF025E">
              <w:rPr>
                <w:color w:val="000000" w:themeColor="text1"/>
                <w:sz w:val="20"/>
                <w:szCs w:val="20"/>
              </w:rPr>
              <w:t>Sniedzot revīzijas pakalpojumu un sagatavojot papildu ziņojumu revīzijas komitejai, pārskatīt šā papildu ziņojuma satura atbilstību normatīvo aktu prasībām.</w:t>
            </w:r>
          </w:p>
        </w:tc>
        <w:tc>
          <w:tcPr>
            <w:tcW w:w="1276" w:type="dxa"/>
            <w:vMerge/>
          </w:tcPr>
          <w:p w14:paraId="1C4D7578" w14:textId="77777777" w:rsidR="00CB4DC9" w:rsidRPr="000D612B" w:rsidRDefault="00CB4DC9" w:rsidP="00F81C8B">
            <w:pPr>
              <w:rPr>
                <w:sz w:val="20"/>
                <w:szCs w:val="20"/>
              </w:rPr>
            </w:pPr>
          </w:p>
        </w:tc>
      </w:tr>
      <w:tr w:rsidR="00266DBB" w:rsidRPr="00D76978" w14:paraId="617F961E" w14:textId="77777777" w:rsidTr="00D522FC">
        <w:trPr>
          <w:trHeight w:val="1541"/>
        </w:trPr>
        <w:tc>
          <w:tcPr>
            <w:tcW w:w="568" w:type="dxa"/>
            <w:vMerge w:val="restart"/>
            <w:hideMark/>
          </w:tcPr>
          <w:p w14:paraId="35108E34" w14:textId="77777777" w:rsidR="00266DBB" w:rsidRPr="000D612B" w:rsidRDefault="00266DBB" w:rsidP="00266DBB">
            <w:pPr>
              <w:rPr>
                <w:sz w:val="20"/>
                <w:szCs w:val="20"/>
              </w:rPr>
            </w:pPr>
            <w:r w:rsidRPr="000D612B">
              <w:rPr>
                <w:sz w:val="20"/>
                <w:szCs w:val="20"/>
              </w:rPr>
              <w:t>6.</w:t>
            </w:r>
          </w:p>
        </w:tc>
        <w:tc>
          <w:tcPr>
            <w:tcW w:w="1843" w:type="dxa"/>
            <w:vMerge w:val="restart"/>
            <w:hideMark/>
          </w:tcPr>
          <w:p w14:paraId="572C4332" w14:textId="5585CA7E" w:rsidR="00266DBB" w:rsidRPr="00BD071B" w:rsidRDefault="00B672EF" w:rsidP="00266DBB">
            <w:pPr>
              <w:jc w:val="both"/>
              <w:rPr>
                <w:b/>
                <w:sz w:val="20"/>
                <w:szCs w:val="20"/>
              </w:rPr>
            </w:pPr>
            <w:r>
              <w:rPr>
                <w:b/>
                <w:sz w:val="20"/>
                <w:szCs w:val="20"/>
              </w:rPr>
              <w:t>Prakse Nr.6.</w:t>
            </w:r>
          </w:p>
        </w:tc>
        <w:tc>
          <w:tcPr>
            <w:tcW w:w="1413" w:type="dxa"/>
            <w:vMerge w:val="restart"/>
            <w:hideMark/>
          </w:tcPr>
          <w:p w14:paraId="581ABAFE" w14:textId="77777777" w:rsidR="00266DBB" w:rsidRPr="000D612B" w:rsidRDefault="00266DBB" w:rsidP="00266DBB">
            <w:pPr>
              <w:jc w:val="center"/>
              <w:rPr>
                <w:sz w:val="20"/>
                <w:szCs w:val="20"/>
              </w:rPr>
            </w:pPr>
            <w:r>
              <w:rPr>
                <w:sz w:val="20"/>
                <w:szCs w:val="20"/>
              </w:rPr>
              <w:t>Divi uzdevumi</w:t>
            </w:r>
          </w:p>
        </w:tc>
        <w:tc>
          <w:tcPr>
            <w:tcW w:w="1705" w:type="dxa"/>
            <w:vMerge w:val="restart"/>
            <w:hideMark/>
          </w:tcPr>
          <w:p w14:paraId="443DD641" w14:textId="72D62B94" w:rsidR="00266DBB" w:rsidRDefault="00266DBB" w:rsidP="00266DBB">
            <w:pPr>
              <w:rPr>
                <w:sz w:val="20"/>
                <w:szCs w:val="20"/>
              </w:rPr>
            </w:pPr>
            <w:r w:rsidRPr="000D612B">
              <w:rPr>
                <w:sz w:val="20"/>
                <w:szCs w:val="20"/>
              </w:rPr>
              <w:t>Kapitālsabiedrība, kuras pārvedami vērtspapīri ir iekļauti regulētajā tirgū</w:t>
            </w:r>
          </w:p>
          <w:p w14:paraId="34647C80" w14:textId="77777777" w:rsidR="00266DBB" w:rsidRDefault="00266DBB" w:rsidP="00266DBB">
            <w:pPr>
              <w:rPr>
                <w:sz w:val="20"/>
                <w:szCs w:val="20"/>
              </w:rPr>
            </w:pPr>
          </w:p>
          <w:p w14:paraId="0C2D6CFD" w14:textId="77777777" w:rsidR="00266DBB" w:rsidRDefault="00266DBB" w:rsidP="00266DBB">
            <w:pPr>
              <w:rPr>
                <w:sz w:val="20"/>
                <w:szCs w:val="20"/>
              </w:rPr>
            </w:pPr>
          </w:p>
          <w:p w14:paraId="2E5A63CF" w14:textId="77777777" w:rsidR="00266DBB" w:rsidRDefault="00266DBB" w:rsidP="00266DBB">
            <w:pPr>
              <w:rPr>
                <w:sz w:val="20"/>
                <w:szCs w:val="20"/>
              </w:rPr>
            </w:pPr>
          </w:p>
          <w:p w14:paraId="14847659" w14:textId="45BAE7C6" w:rsidR="00266DBB" w:rsidRPr="000D612B" w:rsidRDefault="00266DBB" w:rsidP="00266DBB">
            <w:pPr>
              <w:rPr>
                <w:sz w:val="20"/>
                <w:szCs w:val="20"/>
              </w:rPr>
            </w:pPr>
          </w:p>
        </w:tc>
        <w:tc>
          <w:tcPr>
            <w:tcW w:w="1276" w:type="dxa"/>
            <w:vMerge w:val="restart"/>
            <w:hideMark/>
          </w:tcPr>
          <w:p w14:paraId="38BCE02A" w14:textId="77777777" w:rsidR="00266DBB" w:rsidRPr="000D612B" w:rsidRDefault="00266DBB" w:rsidP="00266DBB">
            <w:pPr>
              <w:rPr>
                <w:sz w:val="20"/>
                <w:szCs w:val="20"/>
              </w:rPr>
            </w:pPr>
            <w:r w:rsidRPr="000D612B">
              <w:rPr>
                <w:sz w:val="20"/>
                <w:szCs w:val="20"/>
              </w:rPr>
              <w:t>Gada pārskats</w:t>
            </w:r>
          </w:p>
        </w:tc>
        <w:tc>
          <w:tcPr>
            <w:tcW w:w="989" w:type="dxa"/>
            <w:vMerge w:val="restart"/>
            <w:hideMark/>
          </w:tcPr>
          <w:p w14:paraId="40F08F10" w14:textId="3F2CB7DB" w:rsidR="00266DBB" w:rsidRDefault="00266DBB" w:rsidP="00266DBB">
            <w:pPr>
              <w:jc w:val="center"/>
              <w:rPr>
                <w:sz w:val="20"/>
                <w:szCs w:val="20"/>
              </w:rPr>
            </w:pPr>
            <w:r w:rsidRPr="000D612B">
              <w:rPr>
                <w:sz w:val="20"/>
                <w:szCs w:val="20"/>
              </w:rPr>
              <w:t>201</w:t>
            </w:r>
            <w:r>
              <w:rPr>
                <w:sz w:val="20"/>
                <w:szCs w:val="20"/>
              </w:rPr>
              <w:t>8</w:t>
            </w:r>
            <w:r w:rsidRPr="000D612B">
              <w:rPr>
                <w:sz w:val="20"/>
                <w:szCs w:val="20"/>
              </w:rPr>
              <w:t>.</w:t>
            </w:r>
          </w:p>
          <w:p w14:paraId="67AD308D" w14:textId="77777777" w:rsidR="00266DBB" w:rsidRPr="000D612B" w:rsidRDefault="00266DBB" w:rsidP="00266DBB">
            <w:pPr>
              <w:jc w:val="center"/>
              <w:rPr>
                <w:sz w:val="20"/>
                <w:szCs w:val="20"/>
              </w:rPr>
            </w:pPr>
            <w:r w:rsidRPr="000D612B">
              <w:rPr>
                <w:sz w:val="20"/>
                <w:szCs w:val="20"/>
              </w:rPr>
              <w:t>pārskata gads</w:t>
            </w:r>
          </w:p>
        </w:tc>
        <w:tc>
          <w:tcPr>
            <w:tcW w:w="2413" w:type="dxa"/>
          </w:tcPr>
          <w:p w14:paraId="7A2C85F5" w14:textId="3298A826" w:rsidR="00266DBB" w:rsidRPr="00333CEC" w:rsidRDefault="007E3747" w:rsidP="007E3747">
            <w:pPr>
              <w:jc w:val="both"/>
              <w:rPr>
                <w:sz w:val="20"/>
                <w:szCs w:val="20"/>
                <w:highlight w:val="yellow"/>
              </w:rPr>
            </w:pPr>
            <w:r>
              <w:rPr>
                <w:sz w:val="20"/>
                <w:szCs w:val="20"/>
              </w:rPr>
              <w:t xml:space="preserve">Nav </w:t>
            </w:r>
            <w:r w:rsidR="00266DBB" w:rsidRPr="007E3747">
              <w:rPr>
                <w:sz w:val="20"/>
                <w:szCs w:val="20"/>
              </w:rPr>
              <w:t>sniegta informācija Finanšu ministrijai kā kompetentajai iestādei par atklātības ziņojuma publicēšanu atbilstošajā tīmekļa vietnē.</w:t>
            </w:r>
          </w:p>
        </w:tc>
        <w:tc>
          <w:tcPr>
            <w:tcW w:w="1985" w:type="dxa"/>
          </w:tcPr>
          <w:p w14:paraId="191C080F" w14:textId="5FE7AED7" w:rsidR="00266DBB" w:rsidRPr="00C822D8" w:rsidRDefault="00266DBB" w:rsidP="00266DBB">
            <w:pPr>
              <w:jc w:val="both"/>
              <w:rPr>
                <w:sz w:val="20"/>
                <w:szCs w:val="20"/>
              </w:rPr>
            </w:pPr>
            <w:r w:rsidRPr="00C822D8">
              <w:rPr>
                <w:sz w:val="20"/>
                <w:szCs w:val="20"/>
              </w:rPr>
              <w:t>ES Regulas Nr.537/2014 13.panta 1.punkta un Revīzijas pakalpojumu likuma 37.</w:t>
            </w:r>
            <w:r w:rsidRPr="00C822D8">
              <w:rPr>
                <w:sz w:val="20"/>
                <w:szCs w:val="20"/>
                <w:vertAlign w:val="superscript"/>
              </w:rPr>
              <w:t>5</w:t>
            </w:r>
            <w:r w:rsidRPr="00C822D8">
              <w:rPr>
                <w:sz w:val="20"/>
                <w:szCs w:val="20"/>
              </w:rPr>
              <w:t xml:space="preserve"> panta pirmā daļa.</w:t>
            </w:r>
          </w:p>
        </w:tc>
        <w:tc>
          <w:tcPr>
            <w:tcW w:w="1842" w:type="dxa"/>
          </w:tcPr>
          <w:p w14:paraId="636DEB42" w14:textId="562B5D73" w:rsidR="00266DBB" w:rsidRPr="00C822D8" w:rsidRDefault="00266DBB" w:rsidP="00266DBB">
            <w:pPr>
              <w:jc w:val="both"/>
              <w:rPr>
                <w:sz w:val="20"/>
                <w:szCs w:val="20"/>
              </w:rPr>
            </w:pPr>
            <w:r w:rsidRPr="00C822D8">
              <w:rPr>
                <w:sz w:val="20"/>
                <w:szCs w:val="20"/>
              </w:rPr>
              <w:t>Par atklātības ziņojuma publicēšanu informēt Finanšu ministriju kā kompetento iestādi.</w:t>
            </w:r>
          </w:p>
        </w:tc>
        <w:tc>
          <w:tcPr>
            <w:tcW w:w="1276" w:type="dxa"/>
            <w:vMerge w:val="restart"/>
            <w:hideMark/>
          </w:tcPr>
          <w:p w14:paraId="0AE72B94" w14:textId="77777777" w:rsidR="00266DBB" w:rsidRPr="000D612B" w:rsidRDefault="00266DBB" w:rsidP="00266DBB">
            <w:pPr>
              <w:jc w:val="center"/>
              <w:rPr>
                <w:sz w:val="20"/>
                <w:szCs w:val="20"/>
              </w:rPr>
            </w:pPr>
            <w:r w:rsidRPr="000D612B">
              <w:rPr>
                <w:sz w:val="20"/>
                <w:szCs w:val="20"/>
              </w:rPr>
              <w:t>2.kategorija</w:t>
            </w:r>
          </w:p>
        </w:tc>
      </w:tr>
      <w:tr w:rsidR="0022779E" w:rsidRPr="00D76978" w14:paraId="56320BBC" w14:textId="77777777" w:rsidTr="0030737F">
        <w:trPr>
          <w:trHeight w:val="547"/>
        </w:trPr>
        <w:tc>
          <w:tcPr>
            <w:tcW w:w="568" w:type="dxa"/>
            <w:vMerge/>
          </w:tcPr>
          <w:p w14:paraId="6E3FD870" w14:textId="77777777" w:rsidR="0022779E" w:rsidRPr="000D612B" w:rsidRDefault="0022779E" w:rsidP="00266DBB">
            <w:pPr>
              <w:rPr>
                <w:sz w:val="20"/>
                <w:szCs w:val="20"/>
              </w:rPr>
            </w:pPr>
          </w:p>
        </w:tc>
        <w:tc>
          <w:tcPr>
            <w:tcW w:w="1843" w:type="dxa"/>
            <w:vMerge/>
          </w:tcPr>
          <w:p w14:paraId="225F2BC3" w14:textId="77777777" w:rsidR="0022779E" w:rsidRDefault="0022779E" w:rsidP="00266DBB">
            <w:pPr>
              <w:jc w:val="both"/>
              <w:rPr>
                <w:b/>
                <w:sz w:val="20"/>
                <w:szCs w:val="20"/>
              </w:rPr>
            </w:pPr>
          </w:p>
        </w:tc>
        <w:tc>
          <w:tcPr>
            <w:tcW w:w="1413" w:type="dxa"/>
            <w:vMerge/>
          </w:tcPr>
          <w:p w14:paraId="381EA10C" w14:textId="77777777" w:rsidR="0022779E" w:rsidRDefault="0022779E" w:rsidP="00266DBB">
            <w:pPr>
              <w:jc w:val="center"/>
              <w:rPr>
                <w:sz w:val="20"/>
                <w:szCs w:val="20"/>
              </w:rPr>
            </w:pPr>
          </w:p>
        </w:tc>
        <w:tc>
          <w:tcPr>
            <w:tcW w:w="1705" w:type="dxa"/>
            <w:vMerge/>
          </w:tcPr>
          <w:p w14:paraId="0A150E99" w14:textId="77777777" w:rsidR="0022779E" w:rsidRPr="000D612B" w:rsidRDefault="0022779E" w:rsidP="00266DBB">
            <w:pPr>
              <w:rPr>
                <w:sz w:val="20"/>
                <w:szCs w:val="20"/>
              </w:rPr>
            </w:pPr>
          </w:p>
        </w:tc>
        <w:tc>
          <w:tcPr>
            <w:tcW w:w="1276" w:type="dxa"/>
            <w:vMerge/>
          </w:tcPr>
          <w:p w14:paraId="64DDB0C3" w14:textId="77777777" w:rsidR="0022779E" w:rsidRPr="000D612B" w:rsidRDefault="0022779E" w:rsidP="00266DBB">
            <w:pPr>
              <w:rPr>
                <w:sz w:val="20"/>
                <w:szCs w:val="20"/>
              </w:rPr>
            </w:pPr>
          </w:p>
        </w:tc>
        <w:tc>
          <w:tcPr>
            <w:tcW w:w="989" w:type="dxa"/>
            <w:vMerge/>
          </w:tcPr>
          <w:p w14:paraId="27D316FC" w14:textId="77777777" w:rsidR="0022779E" w:rsidRPr="000D612B" w:rsidRDefault="0022779E" w:rsidP="00266DBB">
            <w:pPr>
              <w:jc w:val="center"/>
              <w:rPr>
                <w:sz w:val="20"/>
                <w:szCs w:val="20"/>
              </w:rPr>
            </w:pPr>
          </w:p>
        </w:tc>
        <w:tc>
          <w:tcPr>
            <w:tcW w:w="2413" w:type="dxa"/>
          </w:tcPr>
          <w:p w14:paraId="68259BD5" w14:textId="35D52AC0" w:rsidR="0022779E" w:rsidRPr="00EF025E" w:rsidRDefault="00EF025E" w:rsidP="00EF025E">
            <w:pPr>
              <w:jc w:val="both"/>
              <w:rPr>
                <w:sz w:val="20"/>
                <w:szCs w:val="20"/>
              </w:rPr>
            </w:pPr>
            <w:r w:rsidRPr="00EF025E">
              <w:rPr>
                <w:sz w:val="20"/>
                <w:szCs w:val="20"/>
              </w:rPr>
              <w:t>Nav izveidota Prakses tīmekļa vietne un tajā nav publicēti sagatavotie un parakstītie atklātības ziņojumi.</w:t>
            </w:r>
          </w:p>
        </w:tc>
        <w:tc>
          <w:tcPr>
            <w:tcW w:w="1985" w:type="dxa"/>
          </w:tcPr>
          <w:p w14:paraId="05D835DD" w14:textId="65168015" w:rsidR="0022779E" w:rsidRPr="00564883" w:rsidRDefault="00557194" w:rsidP="00266DBB">
            <w:pPr>
              <w:jc w:val="both"/>
              <w:rPr>
                <w:sz w:val="20"/>
                <w:szCs w:val="20"/>
              </w:rPr>
            </w:pPr>
            <w:r w:rsidRPr="0030737F">
              <w:rPr>
                <w:sz w:val="20"/>
                <w:szCs w:val="20"/>
              </w:rPr>
              <w:t>ES Regulas Nr.537/2014 13.panta 1.punkts un Revīzijas pakalpojumu likuma 33.</w:t>
            </w:r>
            <w:r w:rsidRPr="0030737F">
              <w:rPr>
                <w:sz w:val="20"/>
                <w:szCs w:val="20"/>
                <w:vertAlign w:val="superscript"/>
              </w:rPr>
              <w:t>1</w:t>
            </w:r>
            <w:r w:rsidRPr="0030737F">
              <w:rPr>
                <w:sz w:val="20"/>
                <w:szCs w:val="20"/>
              </w:rPr>
              <w:t xml:space="preserve"> panta pirmā daļa.</w:t>
            </w:r>
          </w:p>
        </w:tc>
        <w:tc>
          <w:tcPr>
            <w:tcW w:w="1842" w:type="dxa"/>
          </w:tcPr>
          <w:p w14:paraId="52971FF3" w14:textId="6827FEC9" w:rsidR="00D368E2" w:rsidRPr="00564883" w:rsidRDefault="00D368E2" w:rsidP="00051052">
            <w:pPr>
              <w:jc w:val="both"/>
              <w:rPr>
                <w:sz w:val="20"/>
                <w:szCs w:val="20"/>
              </w:rPr>
            </w:pPr>
            <w:r w:rsidRPr="0030737F">
              <w:rPr>
                <w:sz w:val="20"/>
                <w:szCs w:val="20"/>
              </w:rPr>
              <w:t>Nodrošināt, ka  prakses atklātības ziņojumus par noteiktu laika periodu  publicē prakses tīmekļa vietnē, atbilstoši ES Regulas un Revīzijas pakalpojumu likuma</w:t>
            </w:r>
            <w:r w:rsidR="00CA71CA" w:rsidRPr="0030737F">
              <w:rPr>
                <w:sz w:val="20"/>
                <w:szCs w:val="20"/>
              </w:rPr>
              <w:t xml:space="preserve"> noteiktajām prasībām attiecībā uz </w:t>
            </w:r>
            <w:r w:rsidRPr="0030737F">
              <w:rPr>
                <w:sz w:val="20"/>
                <w:szCs w:val="20"/>
              </w:rPr>
              <w:t>ziņojuma publicēšanu.</w:t>
            </w:r>
          </w:p>
        </w:tc>
        <w:tc>
          <w:tcPr>
            <w:tcW w:w="1276" w:type="dxa"/>
            <w:vMerge/>
          </w:tcPr>
          <w:p w14:paraId="0AB17DC1" w14:textId="77777777" w:rsidR="0022779E" w:rsidRPr="000D612B" w:rsidRDefault="0022779E" w:rsidP="00266DBB">
            <w:pPr>
              <w:jc w:val="center"/>
              <w:rPr>
                <w:sz w:val="20"/>
                <w:szCs w:val="20"/>
              </w:rPr>
            </w:pPr>
          </w:p>
        </w:tc>
      </w:tr>
      <w:tr w:rsidR="00DF773F" w:rsidRPr="00D76978" w14:paraId="1D36B99B" w14:textId="77777777" w:rsidTr="00DF773F">
        <w:trPr>
          <w:trHeight w:val="698"/>
        </w:trPr>
        <w:tc>
          <w:tcPr>
            <w:tcW w:w="568" w:type="dxa"/>
            <w:vMerge/>
            <w:hideMark/>
          </w:tcPr>
          <w:p w14:paraId="05BCC0C3" w14:textId="77777777" w:rsidR="00DF773F" w:rsidRPr="00713847" w:rsidRDefault="00DF773F" w:rsidP="00DF773F"/>
        </w:tc>
        <w:tc>
          <w:tcPr>
            <w:tcW w:w="1843" w:type="dxa"/>
            <w:vMerge/>
            <w:hideMark/>
          </w:tcPr>
          <w:p w14:paraId="353BBA67" w14:textId="77777777" w:rsidR="00DF773F" w:rsidRPr="007036B4" w:rsidRDefault="00DF773F" w:rsidP="00DF773F">
            <w:pPr>
              <w:rPr>
                <w:sz w:val="22"/>
                <w:szCs w:val="22"/>
              </w:rPr>
            </w:pPr>
          </w:p>
        </w:tc>
        <w:tc>
          <w:tcPr>
            <w:tcW w:w="1413" w:type="dxa"/>
            <w:vMerge/>
            <w:hideMark/>
          </w:tcPr>
          <w:p w14:paraId="4F6AD8C9" w14:textId="77777777" w:rsidR="00DF773F" w:rsidRPr="007036B4" w:rsidRDefault="00DF773F" w:rsidP="00DF773F">
            <w:pPr>
              <w:rPr>
                <w:sz w:val="22"/>
                <w:szCs w:val="22"/>
              </w:rPr>
            </w:pPr>
          </w:p>
        </w:tc>
        <w:tc>
          <w:tcPr>
            <w:tcW w:w="1705" w:type="dxa"/>
            <w:hideMark/>
          </w:tcPr>
          <w:p w14:paraId="510B68EA" w14:textId="1D52AEED" w:rsidR="00DF773F" w:rsidRPr="00D76978" w:rsidRDefault="00DF773F" w:rsidP="00DF773F">
            <w:pPr>
              <w:rPr>
                <w:sz w:val="20"/>
                <w:szCs w:val="20"/>
              </w:rPr>
            </w:pPr>
            <w:r w:rsidRPr="000D612B">
              <w:rPr>
                <w:sz w:val="20"/>
                <w:szCs w:val="20"/>
              </w:rPr>
              <w:t>Kapitālsabiedrība, kuras pārvedami vērtspapīri ir iekļauti regulētajā tirgū</w:t>
            </w:r>
          </w:p>
        </w:tc>
        <w:tc>
          <w:tcPr>
            <w:tcW w:w="1276" w:type="dxa"/>
            <w:hideMark/>
          </w:tcPr>
          <w:p w14:paraId="3DC4C74D" w14:textId="5B582EEA" w:rsidR="00DF773F" w:rsidRPr="00D76978" w:rsidRDefault="00DF773F" w:rsidP="00DF773F">
            <w:pPr>
              <w:rPr>
                <w:sz w:val="20"/>
                <w:szCs w:val="20"/>
              </w:rPr>
            </w:pPr>
            <w:r w:rsidRPr="000D612B">
              <w:rPr>
                <w:sz w:val="20"/>
                <w:szCs w:val="20"/>
              </w:rPr>
              <w:t>Gada pārskats</w:t>
            </w:r>
          </w:p>
        </w:tc>
        <w:tc>
          <w:tcPr>
            <w:tcW w:w="989" w:type="dxa"/>
            <w:vMerge/>
            <w:hideMark/>
          </w:tcPr>
          <w:p w14:paraId="411EBD33" w14:textId="77777777" w:rsidR="00DF773F" w:rsidRPr="00D76978" w:rsidRDefault="00DF773F" w:rsidP="00DF773F">
            <w:pPr>
              <w:rPr>
                <w:sz w:val="20"/>
                <w:szCs w:val="20"/>
              </w:rPr>
            </w:pPr>
          </w:p>
        </w:tc>
        <w:tc>
          <w:tcPr>
            <w:tcW w:w="2413" w:type="dxa"/>
          </w:tcPr>
          <w:p w14:paraId="7063351D" w14:textId="77777777" w:rsidR="00DF773F" w:rsidRPr="004615ED" w:rsidRDefault="00DF773F" w:rsidP="00DF773F">
            <w:pPr>
              <w:jc w:val="both"/>
              <w:rPr>
                <w:color w:val="000000" w:themeColor="text1"/>
                <w:sz w:val="20"/>
                <w:szCs w:val="20"/>
              </w:rPr>
            </w:pPr>
            <w:r w:rsidRPr="004615ED">
              <w:rPr>
                <w:color w:val="000000" w:themeColor="text1"/>
                <w:sz w:val="20"/>
                <w:szCs w:val="20"/>
              </w:rPr>
              <w:t>Publicētajā atklātības ziņojumā atspoguļotā finanšu informācija ir nepilnīga.</w:t>
            </w:r>
          </w:p>
          <w:p w14:paraId="09CE01F2" w14:textId="77777777" w:rsidR="00135282" w:rsidRPr="004615ED" w:rsidRDefault="00135282" w:rsidP="00DF773F">
            <w:pPr>
              <w:jc w:val="both"/>
              <w:rPr>
                <w:color w:val="000000" w:themeColor="text1"/>
                <w:sz w:val="20"/>
                <w:szCs w:val="20"/>
              </w:rPr>
            </w:pPr>
          </w:p>
          <w:p w14:paraId="4A89A0CD" w14:textId="77777777" w:rsidR="00135282" w:rsidRPr="004615ED" w:rsidRDefault="00135282" w:rsidP="00DF773F">
            <w:pPr>
              <w:jc w:val="both"/>
              <w:rPr>
                <w:color w:val="000000" w:themeColor="text1"/>
                <w:sz w:val="20"/>
                <w:szCs w:val="20"/>
              </w:rPr>
            </w:pPr>
          </w:p>
          <w:p w14:paraId="534D1A67" w14:textId="3F2D5E5B" w:rsidR="00135282" w:rsidRPr="004615ED" w:rsidRDefault="00135282" w:rsidP="00DF773F">
            <w:pPr>
              <w:jc w:val="both"/>
              <w:rPr>
                <w:sz w:val="20"/>
                <w:szCs w:val="20"/>
              </w:rPr>
            </w:pPr>
          </w:p>
        </w:tc>
        <w:tc>
          <w:tcPr>
            <w:tcW w:w="1985" w:type="dxa"/>
          </w:tcPr>
          <w:p w14:paraId="4FFAC931" w14:textId="74B1C5CB" w:rsidR="00DF773F" w:rsidRPr="004615ED" w:rsidRDefault="00DF773F" w:rsidP="00DF773F">
            <w:pPr>
              <w:jc w:val="both"/>
              <w:rPr>
                <w:sz w:val="20"/>
                <w:szCs w:val="20"/>
              </w:rPr>
            </w:pPr>
            <w:r w:rsidRPr="004615ED">
              <w:rPr>
                <w:color w:val="000000" w:themeColor="text1"/>
                <w:sz w:val="20"/>
                <w:szCs w:val="20"/>
              </w:rPr>
              <w:t>ES Regulas Nr.537/2014 13.panta 2.punkta k) apakšpunkts.</w:t>
            </w:r>
          </w:p>
        </w:tc>
        <w:tc>
          <w:tcPr>
            <w:tcW w:w="1842" w:type="dxa"/>
          </w:tcPr>
          <w:p w14:paraId="63054C98" w14:textId="2D896F12" w:rsidR="00DF773F" w:rsidRPr="004615ED" w:rsidRDefault="00DF773F" w:rsidP="00DF773F">
            <w:pPr>
              <w:jc w:val="both"/>
              <w:rPr>
                <w:sz w:val="20"/>
                <w:szCs w:val="20"/>
              </w:rPr>
            </w:pPr>
            <w:r w:rsidRPr="004615ED">
              <w:rPr>
                <w:color w:val="000000" w:themeColor="text1"/>
                <w:sz w:val="20"/>
                <w:szCs w:val="20"/>
              </w:rPr>
              <w:t>Atklātības ziņojumā norādīt pilnīgu un precīzu finanšu informāciju par noteiktajā pārskata periodā gūtajiem ieņēmumiem</w:t>
            </w:r>
            <w:r w:rsidR="00C348D5">
              <w:rPr>
                <w:color w:val="000000" w:themeColor="text1"/>
                <w:sz w:val="20"/>
                <w:szCs w:val="20"/>
              </w:rPr>
              <w:t>, sadalot pa to veidiem</w:t>
            </w:r>
            <w:r w:rsidR="0029001E">
              <w:rPr>
                <w:color w:val="000000" w:themeColor="text1"/>
                <w:sz w:val="20"/>
                <w:szCs w:val="20"/>
              </w:rPr>
              <w:t>.</w:t>
            </w:r>
          </w:p>
        </w:tc>
        <w:tc>
          <w:tcPr>
            <w:tcW w:w="1276" w:type="dxa"/>
            <w:vMerge/>
            <w:hideMark/>
          </w:tcPr>
          <w:p w14:paraId="5D583D5B" w14:textId="77777777" w:rsidR="00DF773F" w:rsidRPr="00D76978" w:rsidRDefault="00DF773F" w:rsidP="00DF773F">
            <w:pPr>
              <w:rPr>
                <w:sz w:val="20"/>
                <w:szCs w:val="20"/>
              </w:rPr>
            </w:pPr>
          </w:p>
        </w:tc>
      </w:tr>
      <w:tr w:rsidR="0086212B" w:rsidRPr="00D76978" w14:paraId="628DB113" w14:textId="77777777" w:rsidTr="00C36A35">
        <w:trPr>
          <w:trHeight w:val="698"/>
        </w:trPr>
        <w:tc>
          <w:tcPr>
            <w:tcW w:w="568" w:type="dxa"/>
            <w:vMerge w:val="restart"/>
          </w:tcPr>
          <w:p w14:paraId="11D69997" w14:textId="77777777" w:rsidR="0086212B" w:rsidRPr="00CF6F11" w:rsidRDefault="0086212B" w:rsidP="001421C9">
            <w:pPr>
              <w:rPr>
                <w:sz w:val="20"/>
                <w:szCs w:val="20"/>
              </w:rPr>
            </w:pPr>
            <w:r w:rsidRPr="00CF6F11">
              <w:rPr>
                <w:sz w:val="20"/>
                <w:szCs w:val="20"/>
              </w:rPr>
              <w:t>7.</w:t>
            </w:r>
          </w:p>
        </w:tc>
        <w:tc>
          <w:tcPr>
            <w:tcW w:w="1843" w:type="dxa"/>
            <w:vMerge w:val="restart"/>
          </w:tcPr>
          <w:p w14:paraId="70CEFF9F" w14:textId="7848E0DF" w:rsidR="0086212B" w:rsidRPr="00CF6F11" w:rsidRDefault="00B672EF" w:rsidP="001421C9">
            <w:pPr>
              <w:jc w:val="both"/>
              <w:rPr>
                <w:b/>
                <w:sz w:val="20"/>
                <w:szCs w:val="20"/>
              </w:rPr>
            </w:pPr>
            <w:r>
              <w:rPr>
                <w:b/>
                <w:sz w:val="20"/>
                <w:szCs w:val="20"/>
              </w:rPr>
              <w:t>Prakse Nr.7.</w:t>
            </w:r>
          </w:p>
        </w:tc>
        <w:tc>
          <w:tcPr>
            <w:tcW w:w="1413" w:type="dxa"/>
            <w:vMerge w:val="restart"/>
          </w:tcPr>
          <w:p w14:paraId="50315D13" w14:textId="77777777" w:rsidR="0086212B" w:rsidRPr="000D612B" w:rsidRDefault="0086212B" w:rsidP="001421C9">
            <w:pPr>
              <w:jc w:val="center"/>
              <w:rPr>
                <w:sz w:val="20"/>
                <w:szCs w:val="20"/>
              </w:rPr>
            </w:pPr>
            <w:r>
              <w:rPr>
                <w:sz w:val="20"/>
                <w:szCs w:val="20"/>
              </w:rPr>
              <w:t>Divi uzdevumi</w:t>
            </w:r>
          </w:p>
        </w:tc>
        <w:tc>
          <w:tcPr>
            <w:tcW w:w="1705" w:type="dxa"/>
            <w:vMerge w:val="restart"/>
          </w:tcPr>
          <w:p w14:paraId="10CC9020" w14:textId="62DBDAB5" w:rsidR="0086212B" w:rsidRPr="00D76978" w:rsidRDefault="0086212B" w:rsidP="001421C9">
            <w:pPr>
              <w:rPr>
                <w:sz w:val="20"/>
                <w:szCs w:val="20"/>
              </w:rPr>
            </w:pPr>
            <w:r w:rsidRPr="00A2010A">
              <w:rPr>
                <w:color w:val="000000" w:themeColor="text1"/>
                <w:sz w:val="20"/>
                <w:szCs w:val="20"/>
              </w:rPr>
              <w:t>Finanšu institūcija</w:t>
            </w:r>
          </w:p>
        </w:tc>
        <w:tc>
          <w:tcPr>
            <w:tcW w:w="1276" w:type="dxa"/>
            <w:vMerge w:val="restart"/>
          </w:tcPr>
          <w:p w14:paraId="12C1D686" w14:textId="1B2490ED" w:rsidR="0086212B" w:rsidRPr="00D76978" w:rsidRDefault="0086212B" w:rsidP="001421C9">
            <w:pPr>
              <w:rPr>
                <w:sz w:val="20"/>
                <w:szCs w:val="20"/>
              </w:rPr>
            </w:pPr>
            <w:r w:rsidRPr="00CF1414">
              <w:rPr>
                <w:sz w:val="20"/>
                <w:szCs w:val="20"/>
              </w:rPr>
              <w:t>Apvienotais gada un konsolidētais gada pārskats vienā dokumentā</w:t>
            </w:r>
          </w:p>
        </w:tc>
        <w:tc>
          <w:tcPr>
            <w:tcW w:w="989" w:type="dxa"/>
            <w:vMerge w:val="restart"/>
          </w:tcPr>
          <w:p w14:paraId="05D8959D" w14:textId="77777777" w:rsidR="0086212B" w:rsidRDefault="0086212B" w:rsidP="001421C9">
            <w:pPr>
              <w:jc w:val="center"/>
              <w:rPr>
                <w:sz w:val="20"/>
                <w:szCs w:val="20"/>
              </w:rPr>
            </w:pPr>
            <w:r w:rsidRPr="000D612B">
              <w:rPr>
                <w:sz w:val="20"/>
                <w:szCs w:val="20"/>
              </w:rPr>
              <w:t>201</w:t>
            </w:r>
            <w:r>
              <w:rPr>
                <w:sz w:val="20"/>
                <w:szCs w:val="20"/>
              </w:rPr>
              <w:t>8</w:t>
            </w:r>
            <w:r w:rsidRPr="000D612B">
              <w:rPr>
                <w:sz w:val="20"/>
                <w:szCs w:val="20"/>
              </w:rPr>
              <w:t>.</w:t>
            </w:r>
          </w:p>
          <w:p w14:paraId="314F7D51" w14:textId="60F06E3E" w:rsidR="0086212B" w:rsidRPr="00D76978" w:rsidRDefault="0086212B" w:rsidP="001421C9">
            <w:pPr>
              <w:jc w:val="center"/>
              <w:rPr>
                <w:sz w:val="20"/>
                <w:szCs w:val="20"/>
              </w:rPr>
            </w:pPr>
            <w:r w:rsidRPr="000D612B">
              <w:rPr>
                <w:sz w:val="20"/>
                <w:szCs w:val="20"/>
              </w:rPr>
              <w:t>pārskata gads</w:t>
            </w:r>
          </w:p>
        </w:tc>
        <w:tc>
          <w:tcPr>
            <w:tcW w:w="2413" w:type="dxa"/>
          </w:tcPr>
          <w:p w14:paraId="51874D76" w14:textId="2F6E191A" w:rsidR="0086212B" w:rsidRPr="000B088F" w:rsidRDefault="0086212B" w:rsidP="00E23CE9">
            <w:pPr>
              <w:jc w:val="both"/>
              <w:rPr>
                <w:color w:val="000000" w:themeColor="text1"/>
                <w:sz w:val="20"/>
                <w:szCs w:val="20"/>
              </w:rPr>
            </w:pPr>
            <w:r w:rsidRPr="000B088F">
              <w:rPr>
                <w:color w:val="000000" w:themeColor="text1"/>
                <w:sz w:val="20"/>
                <w:szCs w:val="20"/>
              </w:rPr>
              <w:t>Nav sniegta informācija Finanšu ministrijai kā kompetentajai iestādei par atklātības ziņojuma publicēšanu atbilstošajā tīmekļa vietnē, kā arī nav norādīts tā publicēšanas datums.</w:t>
            </w:r>
          </w:p>
        </w:tc>
        <w:tc>
          <w:tcPr>
            <w:tcW w:w="1985" w:type="dxa"/>
          </w:tcPr>
          <w:p w14:paraId="4EB39B2E" w14:textId="542B4F26" w:rsidR="0086212B" w:rsidRPr="000B088F" w:rsidRDefault="0086212B" w:rsidP="00E23CE9">
            <w:pPr>
              <w:jc w:val="both"/>
              <w:rPr>
                <w:sz w:val="20"/>
                <w:szCs w:val="20"/>
              </w:rPr>
            </w:pPr>
            <w:r w:rsidRPr="000B088F">
              <w:rPr>
                <w:sz w:val="20"/>
                <w:szCs w:val="20"/>
              </w:rPr>
              <w:t>ES Regulas Nr.537/2014 13.panta 1.punkta un Revīzijas pakalpojumu likuma 37.</w:t>
            </w:r>
            <w:r w:rsidRPr="000B088F">
              <w:rPr>
                <w:sz w:val="20"/>
                <w:szCs w:val="20"/>
                <w:vertAlign w:val="superscript"/>
              </w:rPr>
              <w:t>5</w:t>
            </w:r>
            <w:r w:rsidRPr="000B088F">
              <w:rPr>
                <w:sz w:val="20"/>
                <w:szCs w:val="20"/>
              </w:rPr>
              <w:t xml:space="preserve"> panta pirmā daļa.</w:t>
            </w:r>
          </w:p>
        </w:tc>
        <w:tc>
          <w:tcPr>
            <w:tcW w:w="1842" w:type="dxa"/>
          </w:tcPr>
          <w:p w14:paraId="5B552274" w14:textId="649D301C" w:rsidR="0086212B" w:rsidRPr="000B088F" w:rsidRDefault="0086212B" w:rsidP="00E23CE9">
            <w:pPr>
              <w:jc w:val="both"/>
              <w:rPr>
                <w:sz w:val="20"/>
                <w:szCs w:val="20"/>
              </w:rPr>
            </w:pPr>
            <w:r w:rsidRPr="000B088F">
              <w:rPr>
                <w:sz w:val="20"/>
                <w:szCs w:val="20"/>
              </w:rPr>
              <w:t>Par atklātības ziņojuma publicēšanu informēt Finanšu ministriju kā kompetento iestādi, vienlaikus arī uz minētā ziņojuma norādīt attiecīgo publicēšanas datumu.</w:t>
            </w:r>
          </w:p>
        </w:tc>
        <w:tc>
          <w:tcPr>
            <w:tcW w:w="1276" w:type="dxa"/>
            <w:vMerge w:val="restart"/>
          </w:tcPr>
          <w:p w14:paraId="6C17A7CF" w14:textId="38521B1F" w:rsidR="0086212B" w:rsidRPr="00D76978" w:rsidRDefault="0086212B" w:rsidP="001421C9">
            <w:pPr>
              <w:jc w:val="center"/>
              <w:rPr>
                <w:sz w:val="20"/>
                <w:szCs w:val="20"/>
              </w:rPr>
            </w:pPr>
            <w:r w:rsidRPr="000D612B">
              <w:rPr>
                <w:sz w:val="20"/>
                <w:szCs w:val="20"/>
              </w:rPr>
              <w:t>2.kategorija</w:t>
            </w:r>
          </w:p>
        </w:tc>
      </w:tr>
      <w:tr w:rsidR="0086212B" w:rsidRPr="00D76978" w14:paraId="719A2433" w14:textId="77777777" w:rsidTr="00C36A35">
        <w:trPr>
          <w:trHeight w:val="698"/>
        </w:trPr>
        <w:tc>
          <w:tcPr>
            <w:tcW w:w="568" w:type="dxa"/>
            <w:vMerge/>
          </w:tcPr>
          <w:p w14:paraId="047DDD06" w14:textId="77777777" w:rsidR="0086212B" w:rsidRPr="00CF6F11" w:rsidRDefault="0086212B" w:rsidP="0086212B">
            <w:pPr>
              <w:rPr>
                <w:sz w:val="20"/>
                <w:szCs w:val="20"/>
              </w:rPr>
            </w:pPr>
          </w:p>
        </w:tc>
        <w:tc>
          <w:tcPr>
            <w:tcW w:w="1843" w:type="dxa"/>
            <w:vMerge/>
          </w:tcPr>
          <w:p w14:paraId="6B94D025" w14:textId="77777777" w:rsidR="0086212B" w:rsidRPr="00CF6F11" w:rsidRDefault="0086212B" w:rsidP="0086212B">
            <w:pPr>
              <w:jc w:val="both"/>
              <w:rPr>
                <w:b/>
                <w:sz w:val="20"/>
                <w:szCs w:val="20"/>
              </w:rPr>
            </w:pPr>
          </w:p>
        </w:tc>
        <w:tc>
          <w:tcPr>
            <w:tcW w:w="1413" w:type="dxa"/>
            <w:vMerge/>
          </w:tcPr>
          <w:p w14:paraId="470218A5" w14:textId="77777777" w:rsidR="0086212B" w:rsidRDefault="0086212B" w:rsidP="0086212B">
            <w:pPr>
              <w:jc w:val="center"/>
              <w:rPr>
                <w:sz w:val="20"/>
                <w:szCs w:val="20"/>
              </w:rPr>
            </w:pPr>
          </w:p>
        </w:tc>
        <w:tc>
          <w:tcPr>
            <w:tcW w:w="1705" w:type="dxa"/>
            <w:vMerge/>
          </w:tcPr>
          <w:p w14:paraId="36785FDD" w14:textId="77777777" w:rsidR="0086212B" w:rsidRPr="00A2010A" w:rsidRDefault="0086212B" w:rsidP="0086212B">
            <w:pPr>
              <w:rPr>
                <w:color w:val="000000" w:themeColor="text1"/>
                <w:sz w:val="20"/>
                <w:szCs w:val="20"/>
              </w:rPr>
            </w:pPr>
          </w:p>
        </w:tc>
        <w:tc>
          <w:tcPr>
            <w:tcW w:w="1276" w:type="dxa"/>
            <w:vMerge/>
          </w:tcPr>
          <w:p w14:paraId="430266AB" w14:textId="77777777" w:rsidR="0086212B" w:rsidRPr="00CF1414" w:rsidRDefault="0086212B" w:rsidP="0086212B">
            <w:pPr>
              <w:rPr>
                <w:sz w:val="20"/>
                <w:szCs w:val="20"/>
              </w:rPr>
            </w:pPr>
          </w:p>
        </w:tc>
        <w:tc>
          <w:tcPr>
            <w:tcW w:w="989" w:type="dxa"/>
            <w:vMerge/>
          </w:tcPr>
          <w:p w14:paraId="4E298F9A" w14:textId="77777777" w:rsidR="0086212B" w:rsidRPr="000D612B" w:rsidRDefault="0086212B" w:rsidP="0086212B">
            <w:pPr>
              <w:jc w:val="center"/>
              <w:rPr>
                <w:sz w:val="20"/>
                <w:szCs w:val="20"/>
              </w:rPr>
            </w:pPr>
          </w:p>
        </w:tc>
        <w:tc>
          <w:tcPr>
            <w:tcW w:w="2413" w:type="dxa"/>
          </w:tcPr>
          <w:p w14:paraId="2B76ECD9" w14:textId="0D0F2B54" w:rsidR="0086212B" w:rsidRPr="000B088F" w:rsidRDefault="0086212B" w:rsidP="0086212B">
            <w:pPr>
              <w:jc w:val="both"/>
              <w:rPr>
                <w:sz w:val="20"/>
                <w:szCs w:val="20"/>
              </w:rPr>
            </w:pPr>
            <w:r w:rsidRPr="000B088F">
              <w:rPr>
                <w:sz w:val="20"/>
                <w:szCs w:val="20"/>
              </w:rPr>
              <w:t>Publicētajā atklātības ziņojumā par pēdējo veikto kvalitātes kontroles pārbaudi nav sniegta pilnīga informācija par pēdējās veiktās kvalitātes kontroles pārbaudes veicējiem.</w:t>
            </w:r>
          </w:p>
        </w:tc>
        <w:tc>
          <w:tcPr>
            <w:tcW w:w="1985" w:type="dxa"/>
          </w:tcPr>
          <w:p w14:paraId="0C691BE0" w14:textId="19FDE938" w:rsidR="0086212B" w:rsidRPr="00EF025E" w:rsidRDefault="0086212B" w:rsidP="0086212B">
            <w:pPr>
              <w:jc w:val="both"/>
              <w:rPr>
                <w:sz w:val="20"/>
                <w:szCs w:val="20"/>
              </w:rPr>
            </w:pPr>
            <w:r w:rsidRPr="00EF025E">
              <w:rPr>
                <w:sz w:val="20"/>
                <w:szCs w:val="20"/>
              </w:rPr>
              <w:t>ES Regulas Nr.537/2014 13.panta 2.punkta e) apakšpunkts.</w:t>
            </w:r>
          </w:p>
        </w:tc>
        <w:tc>
          <w:tcPr>
            <w:tcW w:w="1842" w:type="dxa"/>
          </w:tcPr>
          <w:p w14:paraId="375F0816" w14:textId="14DD8879" w:rsidR="0086212B" w:rsidRPr="00EF025E" w:rsidRDefault="00EF025E" w:rsidP="005418FF">
            <w:pPr>
              <w:jc w:val="both"/>
              <w:rPr>
                <w:sz w:val="20"/>
                <w:szCs w:val="20"/>
              </w:rPr>
            </w:pPr>
            <w:r w:rsidRPr="00EF025E">
              <w:rPr>
                <w:sz w:val="20"/>
                <w:szCs w:val="20"/>
              </w:rPr>
              <w:t>Atklātības ziņojumā norādīt pilnīgu un precīzu informāciju par pēdējo kvalitātes kontroles pārbaudi (inspekciju), tās veicējiem un norises laiku.</w:t>
            </w:r>
          </w:p>
        </w:tc>
        <w:tc>
          <w:tcPr>
            <w:tcW w:w="1276" w:type="dxa"/>
            <w:vMerge/>
          </w:tcPr>
          <w:p w14:paraId="53C6182C" w14:textId="77777777" w:rsidR="0086212B" w:rsidRPr="000D612B" w:rsidRDefault="0086212B" w:rsidP="0086212B">
            <w:pPr>
              <w:jc w:val="center"/>
              <w:rPr>
                <w:sz w:val="20"/>
                <w:szCs w:val="20"/>
              </w:rPr>
            </w:pPr>
          </w:p>
        </w:tc>
      </w:tr>
      <w:tr w:rsidR="0086212B" w:rsidRPr="00D76978" w14:paraId="2CD45456" w14:textId="77777777" w:rsidTr="00C36A35">
        <w:trPr>
          <w:trHeight w:val="698"/>
        </w:trPr>
        <w:tc>
          <w:tcPr>
            <w:tcW w:w="568" w:type="dxa"/>
            <w:vMerge/>
          </w:tcPr>
          <w:p w14:paraId="570730FB" w14:textId="77777777" w:rsidR="0086212B" w:rsidRPr="00CF6F11" w:rsidRDefault="0086212B" w:rsidP="0086212B">
            <w:pPr>
              <w:rPr>
                <w:sz w:val="20"/>
                <w:szCs w:val="20"/>
              </w:rPr>
            </w:pPr>
          </w:p>
        </w:tc>
        <w:tc>
          <w:tcPr>
            <w:tcW w:w="1843" w:type="dxa"/>
            <w:vMerge/>
          </w:tcPr>
          <w:p w14:paraId="49EEE23A" w14:textId="77777777" w:rsidR="0086212B" w:rsidRPr="00CF6F11" w:rsidRDefault="0086212B" w:rsidP="0086212B">
            <w:pPr>
              <w:jc w:val="both"/>
              <w:rPr>
                <w:b/>
                <w:sz w:val="20"/>
                <w:szCs w:val="20"/>
              </w:rPr>
            </w:pPr>
          </w:p>
        </w:tc>
        <w:tc>
          <w:tcPr>
            <w:tcW w:w="1413" w:type="dxa"/>
            <w:vMerge/>
          </w:tcPr>
          <w:p w14:paraId="6C69AB20" w14:textId="77777777" w:rsidR="0086212B" w:rsidRDefault="0086212B" w:rsidP="0086212B">
            <w:pPr>
              <w:jc w:val="center"/>
              <w:rPr>
                <w:sz w:val="20"/>
                <w:szCs w:val="20"/>
              </w:rPr>
            </w:pPr>
          </w:p>
        </w:tc>
        <w:tc>
          <w:tcPr>
            <w:tcW w:w="1705" w:type="dxa"/>
            <w:vMerge w:val="restart"/>
          </w:tcPr>
          <w:p w14:paraId="2CD6E595" w14:textId="27624DD6" w:rsidR="0086212B" w:rsidRPr="00D76978" w:rsidRDefault="0086212B" w:rsidP="0086212B">
            <w:pPr>
              <w:rPr>
                <w:sz w:val="20"/>
                <w:szCs w:val="20"/>
              </w:rPr>
            </w:pPr>
            <w:r w:rsidRPr="00A2010A">
              <w:rPr>
                <w:color w:val="000000" w:themeColor="text1"/>
                <w:sz w:val="20"/>
                <w:szCs w:val="20"/>
              </w:rPr>
              <w:t>Finanšu institūcija</w:t>
            </w:r>
          </w:p>
        </w:tc>
        <w:tc>
          <w:tcPr>
            <w:tcW w:w="1276" w:type="dxa"/>
            <w:vMerge w:val="restart"/>
          </w:tcPr>
          <w:p w14:paraId="4B3261D1" w14:textId="64D89D13" w:rsidR="0086212B" w:rsidRPr="00D76978" w:rsidRDefault="0086212B" w:rsidP="0086212B">
            <w:pPr>
              <w:rPr>
                <w:sz w:val="20"/>
                <w:szCs w:val="20"/>
              </w:rPr>
            </w:pPr>
            <w:r w:rsidRPr="00CF1414">
              <w:rPr>
                <w:sz w:val="20"/>
                <w:szCs w:val="20"/>
              </w:rPr>
              <w:t>Apvienotais gada un konsolidētais gada pārskats vienā dokumentā</w:t>
            </w:r>
          </w:p>
        </w:tc>
        <w:tc>
          <w:tcPr>
            <w:tcW w:w="989" w:type="dxa"/>
            <w:vMerge/>
          </w:tcPr>
          <w:p w14:paraId="66DF5CD9" w14:textId="77777777" w:rsidR="0086212B" w:rsidRPr="00D76978" w:rsidRDefault="0086212B" w:rsidP="0086212B">
            <w:pPr>
              <w:rPr>
                <w:sz w:val="20"/>
                <w:szCs w:val="20"/>
              </w:rPr>
            </w:pPr>
          </w:p>
        </w:tc>
        <w:tc>
          <w:tcPr>
            <w:tcW w:w="2413" w:type="dxa"/>
          </w:tcPr>
          <w:p w14:paraId="21F9ED71" w14:textId="6A1CF202" w:rsidR="0086212B" w:rsidRPr="000B088F" w:rsidRDefault="0086212B" w:rsidP="0086212B">
            <w:pPr>
              <w:jc w:val="both"/>
              <w:rPr>
                <w:sz w:val="20"/>
                <w:szCs w:val="20"/>
              </w:rPr>
            </w:pPr>
            <w:r w:rsidRPr="000B088F">
              <w:rPr>
                <w:color w:val="000000" w:themeColor="text1"/>
                <w:sz w:val="20"/>
                <w:szCs w:val="20"/>
              </w:rPr>
              <w:t>Publicētajā atklātības ziņojumā atspoguļotā finanšu informācija ir nepilnīga.</w:t>
            </w:r>
          </w:p>
        </w:tc>
        <w:tc>
          <w:tcPr>
            <w:tcW w:w="1985" w:type="dxa"/>
          </w:tcPr>
          <w:p w14:paraId="0C16BE27" w14:textId="737D198E" w:rsidR="0086212B" w:rsidRPr="000B088F" w:rsidRDefault="0086212B" w:rsidP="0086212B">
            <w:pPr>
              <w:jc w:val="both"/>
              <w:rPr>
                <w:sz w:val="20"/>
                <w:szCs w:val="20"/>
              </w:rPr>
            </w:pPr>
            <w:r w:rsidRPr="000B088F">
              <w:rPr>
                <w:color w:val="000000" w:themeColor="text1"/>
                <w:sz w:val="20"/>
                <w:szCs w:val="20"/>
              </w:rPr>
              <w:t>ES Regulas Nr.537/2014 13.panta 2.punkta k) apakšpunkts.</w:t>
            </w:r>
          </w:p>
        </w:tc>
        <w:tc>
          <w:tcPr>
            <w:tcW w:w="1842" w:type="dxa"/>
          </w:tcPr>
          <w:p w14:paraId="5F899730" w14:textId="7282123C" w:rsidR="0086212B" w:rsidRPr="000B088F" w:rsidRDefault="0086212B" w:rsidP="0086212B">
            <w:pPr>
              <w:jc w:val="both"/>
              <w:rPr>
                <w:sz w:val="20"/>
                <w:szCs w:val="20"/>
              </w:rPr>
            </w:pPr>
            <w:r w:rsidRPr="000B088F">
              <w:rPr>
                <w:color w:val="000000" w:themeColor="text1"/>
                <w:sz w:val="20"/>
                <w:szCs w:val="20"/>
              </w:rPr>
              <w:t>Atklātības ziņojumā norādīt pilnīgu un precīzu finanšu informāciju par noteiktajā pārskata periodā gūtajiem ieņēmumiem</w:t>
            </w:r>
            <w:r w:rsidR="00F9631A">
              <w:rPr>
                <w:color w:val="000000" w:themeColor="text1"/>
                <w:sz w:val="20"/>
                <w:szCs w:val="20"/>
              </w:rPr>
              <w:t>, sadalot pa to veidiem.</w:t>
            </w:r>
          </w:p>
        </w:tc>
        <w:tc>
          <w:tcPr>
            <w:tcW w:w="1276" w:type="dxa"/>
            <w:vMerge/>
          </w:tcPr>
          <w:p w14:paraId="3C79EF0B" w14:textId="77777777" w:rsidR="0086212B" w:rsidRPr="00D76978" w:rsidRDefault="0086212B" w:rsidP="0086212B">
            <w:pPr>
              <w:rPr>
                <w:sz w:val="20"/>
                <w:szCs w:val="20"/>
              </w:rPr>
            </w:pPr>
          </w:p>
        </w:tc>
      </w:tr>
      <w:tr w:rsidR="001F2E2F" w:rsidRPr="00D76978" w14:paraId="365C1D40" w14:textId="77777777" w:rsidTr="00C36A35">
        <w:trPr>
          <w:trHeight w:val="698"/>
        </w:trPr>
        <w:tc>
          <w:tcPr>
            <w:tcW w:w="568" w:type="dxa"/>
            <w:vMerge/>
          </w:tcPr>
          <w:p w14:paraId="78A17951" w14:textId="77777777" w:rsidR="001F2E2F" w:rsidRPr="00CF6F11" w:rsidRDefault="001F2E2F" w:rsidP="001F2E2F">
            <w:pPr>
              <w:rPr>
                <w:sz w:val="20"/>
                <w:szCs w:val="20"/>
              </w:rPr>
            </w:pPr>
          </w:p>
        </w:tc>
        <w:tc>
          <w:tcPr>
            <w:tcW w:w="1843" w:type="dxa"/>
            <w:vMerge/>
          </w:tcPr>
          <w:p w14:paraId="65B808E4" w14:textId="77777777" w:rsidR="001F2E2F" w:rsidRPr="00CF6F11" w:rsidRDefault="001F2E2F" w:rsidP="001F2E2F">
            <w:pPr>
              <w:jc w:val="both"/>
              <w:rPr>
                <w:b/>
                <w:sz w:val="20"/>
                <w:szCs w:val="20"/>
              </w:rPr>
            </w:pPr>
          </w:p>
        </w:tc>
        <w:tc>
          <w:tcPr>
            <w:tcW w:w="1413" w:type="dxa"/>
            <w:vMerge/>
          </w:tcPr>
          <w:p w14:paraId="603A0564" w14:textId="77777777" w:rsidR="001F2E2F" w:rsidRDefault="001F2E2F" w:rsidP="001F2E2F">
            <w:pPr>
              <w:jc w:val="center"/>
              <w:rPr>
                <w:sz w:val="20"/>
                <w:szCs w:val="20"/>
              </w:rPr>
            </w:pPr>
          </w:p>
        </w:tc>
        <w:tc>
          <w:tcPr>
            <w:tcW w:w="1705" w:type="dxa"/>
            <w:vMerge/>
          </w:tcPr>
          <w:p w14:paraId="2CEDC31E" w14:textId="77777777" w:rsidR="001F2E2F" w:rsidRPr="00A2010A" w:rsidRDefault="001F2E2F" w:rsidP="001F2E2F">
            <w:pPr>
              <w:rPr>
                <w:color w:val="000000" w:themeColor="text1"/>
                <w:sz w:val="20"/>
                <w:szCs w:val="20"/>
              </w:rPr>
            </w:pPr>
          </w:p>
        </w:tc>
        <w:tc>
          <w:tcPr>
            <w:tcW w:w="1276" w:type="dxa"/>
            <w:vMerge/>
          </w:tcPr>
          <w:p w14:paraId="38631E0E" w14:textId="77777777" w:rsidR="001F2E2F" w:rsidRPr="00CF1414" w:rsidRDefault="001F2E2F" w:rsidP="001F2E2F">
            <w:pPr>
              <w:rPr>
                <w:sz w:val="20"/>
                <w:szCs w:val="20"/>
              </w:rPr>
            </w:pPr>
          </w:p>
        </w:tc>
        <w:tc>
          <w:tcPr>
            <w:tcW w:w="989" w:type="dxa"/>
            <w:vMerge/>
          </w:tcPr>
          <w:p w14:paraId="4D84D5DA" w14:textId="77777777" w:rsidR="001F2E2F" w:rsidRPr="00D76978" w:rsidRDefault="001F2E2F" w:rsidP="001F2E2F">
            <w:pPr>
              <w:rPr>
                <w:sz w:val="20"/>
                <w:szCs w:val="20"/>
              </w:rPr>
            </w:pPr>
          </w:p>
        </w:tc>
        <w:tc>
          <w:tcPr>
            <w:tcW w:w="2413" w:type="dxa"/>
          </w:tcPr>
          <w:p w14:paraId="7C0CF312" w14:textId="72FECC20" w:rsidR="001F2E2F" w:rsidRPr="008C7583" w:rsidRDefault="00746924" w:rsidP="001F2E2F">
            <w:pPr>
              <w:jc w:val="both"/>
              <w:rPr>
                <w:color w:val="000000" w:themeColor="text1"/>
                <w:sz w:val="20"/>
                <w:szCs w:val="20"/>
              </w:rPr>
            </w:pPr>
            <w:r w:rsidRPr="008C7583">
              <w:rPr>
                <w:color w:val="000000" w:themeColor="text1"/>
                <w:sz w:val="20"/>
                <w:szCs w:val="20"/>
              </w:rPr>
              <w:t xml:space="preserve">Pārbaudītā atsevišķa revīzijas uzdevuma ietvaros tika konstatēts, ka </w:t>
            </w:r>
            <w:r w:rsidRPr="008C7583">
              <w:rPr>
                <w:color w:val="000000" w:themeColor="text1"/>
                <w:sz w:val="20"/>
                <w:szCs w:val="20"/>
              </w:rPr>
              <w:lastRenderedPageBreak/>
              <w:t>ir minimāla neatbilstība normatīvā regulējuma prasībām attiecībā uz izsniegto papildu ziņojumu revīzijas komitejai</w:t>
            </w:r>
            <w:r w:rsidR="001F2E2F" w:rsidRPr="008C7583">
              <w:rPr>
                <w:color w:val="000000" w:themeColor="text1"/>
                <w:sz w:val="20"/>
                <w:szCs w:val="20"/>
              </w:rPr>
              <w:t>.</w:t>
            </w:r>
          </w:p>
        </w:tc>
        <w:tc>
          <w:tcPr>
            <w:tcW w:w="1985" w:type="dxa"/>
          </w:tcPr>
          <w:p w14:paraId="17D5E271" w14:textId="256BBB35" w:rsidR="001F2E2F" w:rsidRPr="00746924" w:rsidRDefault="001F2E2F" w:rsidP="001F2E2F">
            <w:pPr>
              <w:jc w:val="both"/>
              <w:rPr>
                <w:color w:val="000000" w:themeColor="text1"/>
                <w:sz w:val="20"/>
                <w:szCs w:val="20"/>
              </w:rPr>
            </w:pPr>
            <w:r w:rsidRPr="00746924">
              <w:rPr>
                <w:color w:val="000000" w:themeColor="text1"/>
                <w:sz w:val="20"/>
                <w:szCs w:val="20"/>
              </w:rPr>
              <w:lastRenderedPageBreak/>
              <w:t>ES Regulas Nr.537/2014 11.panta 2.punkts.</w:t>
            </w:r>
          </w:p>
        </w:tc>
        <w:tc>
          <w:tcPr>
            <w:tcW w:w="1842" w:type="dxa"/>
          </w:tcPr>
          <w:p w14:paraId="035CC7EB" w14:textId="2F3661E4" w:rsidR="001F2E2F" w:rsidRPr="00746924" w:rsidRDefault="00EF025E" w:rsidP="001F2E2F">
            <w:pPr>
              <w:jc w:val="both"/>
              <w:rPr>
                <w:color w:val="000000" w:themeColor="text1"/>
                <w:sz w:val="20"/>
                <w:szCs w:val="20"/>
              </w:rPr>
            </w:pPr>
            <w:r w:rsidRPr="00EF025E">
              <w:rPr>
                <w:color w:val="000000" w:themeColor="text1"/>
                <w:sz w:val="20"/>
                <w:szCs w:val="20"/>
              </w:rPr>
              <w:t xml:space="preserve">Sniedzot revīzijas pakalpojumu un sagatavojot papildu </w:t>
            </w:r>
            <w:r w:rsidRPr="00EF025E">
              <w:rPr>
                <w:color w:val="000000" w:themeColor="text1"/>
                <w:sz w:val="20"/>
                <w:szCs w:val="20"/>
              </w:rPr>
              <w:lastRenderedPageBreak/>
              <w:t>ziņojumu revīzijas komitejai, pārskatīt šā papildu ziņojuma satura atbilstību normatīvo aktu prasībām.</w:t>
            </w:r>
          </w:p>
        </w:tc>
        <w:tc>
          <w:tcPr>
            <w:tcW w:w="1276" w:type="dxa"/>
            <w:vMerge/>
          </w:tcPr>
          <w:p w14:paraId="196E450F" w14:textId="77777777" w:rsidR="001F2E2F" w:rsidRPr="00D76978" w:rsidRDefault="001F2E2F" w:rsidP="001F2E2F">
            <w:pPr>
              <w:rPr>
                <w:sz w:val="20"/>
                <w:szCs w:val="20"/>
              </w:rPr>
            </w:pPr>
          </w:p>
        </w:tc>
      </w:tr>
      <w:tr w:rsidR="0086212B" w:rsidRPr="00D76978" w14:paraId="3A89F467" w14:textId="77777777" w:rsidTr="006002A0">
        <w:trPr>
          <w:trHeight w:val="418"/>
        </w:trPr>
        <w:tc>
          <w:tcPr>
            <w:tcW w:w="568" w:type="dxa"/>
            <w:vMerge/>
          </w:tcPr>
          <w:p w14:paraId="65C27A8B" w14:textId="77777777" w:rsidR="0086212B" w:rsidRPr="00CF6F11" w:rsidRDefault="0086212B" w:rsidP="0086212B">
            <w:pPr>
              <w:rPr>
                <w:sz w:val="20"/>
                <w:szCs w:val="20"/>
              </w:rPr>
            </w:pPr>
          </w:p>
        </w:tc>
        <w:tc>
          <w:tcPr>
            <w:tcW w:w="1843" w:type="dxa"/>
            <w:vMerge/>
          </w:tcPr>
          <w:p w14:paraId="70E419CF" w14:textId="77777777" w:rsidR="0086212B" w:rsidRPr="00CF6F11" w:rsidRDefault="0086212B" w:rsidP="0086212B">
            <w:pPr>
              <w:jc w:val="both"/>
              <w:rPr>
                <w:b/>
                <w:sz w:val="20"/>
                <w:szCs w:val="20"/>
              </w:rPr>
            </w:pPr>
          </w:p>
        </w:tc>
        <w:tc>
          <w:tcPr>
            <w:tcW w:w="1413" w:type="dxa"/>
            <w:vMerge/>
          </w:tcPr>
          <w:p w14:paraId="79BF08F1" w14:textId="77777777" w:rsidR="0086212B" w:rsidRDefault="0086212B" w:rsidP="0086212B">
            <w:pPr>
              <w:jc w:val="center"/>
              <w:rPr>
                <w:sz w:val="20"/>
                <w:szCs w:val="20"/>
              </w:rPr>
            </w:pPr>
          </w:p>
        </w:tc>
        <w:tc>
          <w:tcPr>
            <w:tcW w:w="1705" w:type="dxa"/>
            <w:vMerge/>
          </w:tcPr>
          <w:p w14:paraId="30C6F160" w14:textId="77777777" w:rsidR="0086212B" w:rsidRPr="00A2010A" w:rsidRDefault="0086212B" w:rsidP="0086212B">
            <w:pPr>
              <w:rPr>
                <w:color w:val="000000" w:themeColor="text1"/>
                <w:sz w:val="20"/>
                <w:szCs w:val="20"/>
              </w:rPr>
            </w:pPr>
          </w:p>
        </w:tc>
        <w:tc>
          <w:tcPr>
            <w:tcW w:w="1276" w:type="dxa"/>
            <w:vMerge/>
          </w:tcPr>
          <w:p w14:paraId="5B26B209" w14:textId="77777777" w:rsidR="0086212B" w:rsidRPr="00CF1414" w:rsidRDefault="0086212B" w:rsidP="0086212B">
            <w:pPr>
              <w:rPr>
                <w:sz w:val="20"/>
                <w:szCs w:val="20"/>
              </w:rPr>
            </w:pPr>
          </w:p>
        </w:tc>
        <w:tc>
          <w:tcPr>
            <w:tcW w:w="989" w:type="dxa"/>
            <w:vMerge/>
          </w:tcPr>
          <w:p w14:paraId="7688EC04" w14:textId="77777777" w:rsidR="0086212B" w:rsidRPr="00D76978" w:rsidRDefault="0086212B" w:rsidP="0086212B">
            <w:pPr>
              <w:rPr>
                <w:sz w:val="20"/>
                <w:szCs w:val="20"/>
              </w:rPr>
            </w:pPr>
          </w:p>
        </w:tc>
        <w:tc>
          <w:tcPr>
            <w:tcW w:w="2413" w:type="dxa"/>
          </w:tcPr>
          <w:p w14:paraId="7DD3531B" w14:textId="6310BEFD" w:rsidR="0086212B" w:rsidRPr="00E4191B" w:rsidRDefault="00DC0B15" w:rsidP="002F414C">
            <w:pPr>
              <w:jc w:val="both"/>
              <w:rPr>
                <w:color w:val="000000" w:themeColor="text1"/>
                <w:sz w:val="20"/>
                <w:szCs w:val="20"/>
              </w:rPr>
            </w:pPr>
            <w:r w:rsidRPr="006D55C7">
              <w:rPr>
                <w:color w:val="000000" w:themeColor="text1"/>
                <w:sz w:val="20"/>
                <w:szCs w:val="20"/>
              </w:rPr>
              <w:t>Nav</w:t>
            </w:r>
            <w:r w:rsidR="002F414C" w:rsidRPr="006D55C7">
              <w:rPr>
                <w:color w:val="000000" w:themeColor="text1"/>
                <w:sz w:val="20"/>
                <w:szCs w:val="20"/>
              </w:rPr>
              <w:t xml:space="preserve"> </w:t>
            </w:r>
            <w:r w:rsidRPr="006D55C7">
              <w:rPr>
                <w:color w:val="000000" w:themeColor="text1"/>
                <w:sz w:val="20"/>
                <w:szCs w:val="20"/>
              </w:rPr>
              <w:t xml:space="preserve">ievērota prasība saistībā ar zvērinātu revidentu komercsabiedrības civiltiesiskās atbildības apdrošināšanas minimālo atbildības limitu, </w:t>
            </w:r>
            <w:r w:rsidR="00FF0A69" w:rsidRPr="006D55C7">
              <w:rPr>
                <w:color w:val="000000" w:themeColor="text1"/>
                <w:sz w:val="20"/>
                <w:szCs w:val="20"/>
              </w:rPr>
              <w:t>līdz ar revīzijas pakalpojuma līguma noslēgšanu un revīzijas pakalpojuma sniegšanu</w:t>
            </w:r>
            <w:r w:rsidRPr="006D55C7">
              <w:rPr>
                <w:color w:val="000000" w:themeColor="text1"/>
                <w:sz w:val="20"/>
                <w:szCs w:val="20"/>
              </w:rPr>
              <w:t xml:space="preserve"> SNS</w:t>
            </w:r>
            <w:r w:rsidR="00FF0A69" w:rsidRPr="006D55C7">
              <w:rPr>
                <w:color w:val="000000" w:themeColor="text1"/>
                <w:sz w:val="20"/>
                <w:szCs w:val="20"/>
              </w:rPr>
              <w:t>.</w:t>
            </w:r>
          </w:p>
        </w:tc>
        <w:tc>
          <w:tcPr>
            <w:tcW w:w="1985" w:type="dxa"/>
          </w:tcPr>
          <w:p w14:paraId="2F28242D" w14:textId="1BAA1B3C" w:rsidR="0086212B" w:rsidRPr="000F5CA0" w:rsidRDefault="006002A0" w:rsidP="000F5CA0">
            <w:pPr>
              <w:jc w:val="both"/>
              <w:rPr>
                <w:color w:val="000000" w:themeColor="text1"/>
                <w:sz w:val="20"/>
                <w:szCs w:val="20"/>
              </w:rPr>
            </w:pPr>
            <w:r w:rsidRPr="000F5CA0">
              <w:rPr>
                <w:color w:val="000000" w:themeColor="text1"/>
                <w:sz w:val="20"/>
                <w:szCs w:val="20"/>
              </w:rPr>
              <w:t>Revīzija</w:t>
            </w:r>
            <w:r w:rsidR="00E12CB7">
              <w:rPr>
                <w:color w:val="000000" w:themeColor="text1"/>
                <w:sz w:val="20"/>
                <w:szCs w:val="20"/>
              </w:rPr>
              <w:t xml:space="preserve">s pakalpojumu likuma 42.panta trešā </w:t>
            </w:r>
            <w:r w:rsidRPr="000F5CA0">
              <w:rPr>
                <w:color w:val="000000" w:themeColor="text1"/>
                <w:sz w:val="20"/>
                <w:szCs w:val="20"/>
              </w:rPr>
              <w:t>daļa.</w:t>
            </w:r>
          </w:p>
        </w:tc>
        <w:tc>
          <w:tcPr>
            <w:tcW w:w="1842" w:type="dxa"/>
          </w:tcPr>
          <w:p w14:paraId="3200A572" w14:textId="28280FD0" w:rsidR="0086212B" w:rsidRPr="000F5CA0" w:rsidRDefault="00DC0B15" w:rsidP="000F5CA0">
            <w:pPr>
              <w:jc w:val="both"/>
              <w:rPr>
                <w:color w:val="000000" w:themeColor="text1"/>
                <w:sz w:val="20"/>
                <w:szCs w:val="20"/>
              </w:rPr>
            </w:pPr>
            <w:r w:rsidRPr="000F5CA0">
              <w:rPr>
                <w:color w:val="000000" w:themeColor="text1"/>
                <w:sz w:val="20"/>
                <w:szCs w:val="20"/>
              </w:rPr>
              <w:t>Sniedzot revīzijas pakalpojumu SNS, ievērot civiltiesiskās atbildības apdrošināšanas minimālo atbildības limitu</w:t>
            </w:r>
            <w:r w:rsidR="005C1A4C">
              <w:rPr>
                <w:color w:val="000000" w:themeColor="text1"/>
                <w:sz w:val="20"/>
                <w:szCs w:val="20"/>
              </w:rPr>
              <w:t>.</w:t>
            </w:r>
          </w:p>
        </w:tc>
        <w:tc>
          <w:tcPr>
            <w:tcW w:w="1276" w:type="dxa"/>
            <w:vMerge/>
          </w:tcPr>
          <w:p w14:paraId="5DD7CABF" w14:textId="77777777" w:rsidR="0086212B" w:rsidRPr="00D76978" w:rsidRDefault="0086212B" w:rsidP="0086212B">
            <w:pPr>
              <w:rPr>
                <w:sz w:val="20"/>
                <w:szCs w:val="20"/>
              </w:rPr>
            </w:pPr>
          </w:p>
        </w:tc>
      </w:tr>
      <w:tr w:rsidR="00187DC9" w:rsidRPr="00D76978" w14:paraId="1074BEF8" w14:textId="77777777" w:rsidTr="00650A55">
        <w:trPr>
          <w:trHeight w:val="698"/>
        </w:trPr>
        <w:tc>
          <w:tcPr>
            <w:tcW w:w="568" w:type="dxa"/>
          </w:tcPr>
          <w:p w14:paraId="70CF0FEC" w14:textId="77777777" w:rsidR="00187DC9" w:rsidRPr="00CF6F11" w:rsidRDefault="00187DC9" w:rsidP="0086212B">
            <w:pPr>
              <w:rPr>
                <w:sz w:val="20"/>
                <w:szCs w:val="20"/>
              </w:rPr>
            </w:pPr>
            <w:r w:rsidRPr="00CF6F11">
              <w:rPr>
                <w:sz w:val="20"/>
                <w:szCs w:val="20"/>
              </w:rPr>
              <w:t>8.</w:t>
            </w:r>
          </w:p>
        </w:tc>
        <w:tc>
          <w:tcPr>
            <w:tcW w:w="1843" w:type="dxa"/>
          </w:tcPr>
          <w:p w14:paraId="52A2D1C3" w14:textId="23D23D6A" w:rsidR="00187DC9" w:rsidRPr="00CF6F11" w:rsidRDefault="00B672EF" w:rsidP="00501727">
            <w:pPr>
              <w:jc w:val="both"/>
              <w:rPr>
                <w:b/>
                <w:sz w:val="20"/>
                <w:szCs w:val="20"/>
              </w:rPr>
            </w:pPr>
            <w:r>
              <w:rPr>
                <w:b/>
                <w:sz w:val="20"/>
                <w:szCs w:val="20"/>
              </w:rPr>
              <w:t>Prakse Nr.8.</w:t>
            </w:r>
          </w:p>
        </w:tc>
        <w:tc>
          <w:tcPr>
            <w:tcW w:w="1413" w:type="dxa"/>
          </w:tcPr>
          <w:p w14:paraId="4B55F796" w14:textId="77777777" w:rsidR="00187DC9" w:rsidRPr="000D612B" w:rsidRDefault="00187DC9" w:rsidP="0086212B">
            <w:pPr>
              <w:jc w:val="center"/>
              <w:rPr>
                <w:sz w:val="20"/>
                <w:szCs w:val="20"/>
              </w:rPr>
            </w:pPr>
            <w:r>
              <w:rPr>
                <w:sz w:val="20"/>
                <w:szCs w:val="20"/>
              </w:rPr>
              <w:t>Viens uzdevums</w:t>
            </w:r>
          </w:p>
        </w:tc>
        <w:tc>
          <w:tcPr>
            <w:tcW w:w="1705" w:type="dxa"/>
          </w:tcPr>
          <w:p w14:paraId="3C0815DA" w14:textId="0150DCCB" w:rsidR="00187DC9" w:rsidRPr="00D76978" w:rsidRDefault="00187DC9" w:rsidP="0086212B">
            <w:pPr>
              <w:rPr>
                <w:sz w:val="20"/>
                <w:szCs w:val="20"/>
              </w:rPr>
            </w:pPr>
            <w:r w:rsidRPr="00A2010A">
              <w:rPr>
                <w:color w:val="000000" w:themeColor="text1"/>
                <w:sz w:val="20"/>
                <w:szCs w:val="20"/>
              </w:rPr>
              <w:t>Finanšu institūcija</w:t>
            </w:r>
          </w:p>
        </w:tc>
        <w:tc>
          <w:tcPr>
            <w:tcW w:w="1276" w:type="dxa"/>
          </w:tcPr>
          <w:p w14:paraId="1D3B164D" w14:textId="305BC052" w:rsidR="00187DC9" w:rsidRPr="00D76978" w:rsidRDefault="00187DC9" w:rsidP="0086212B">
            <w:pPr>
              <w:rPr>
                <w:sz w:val="20"/>
                <w:szCs w:val="20"/>
              </w:rPr>
            </w:pPr>
            <w:r w:rsidRPr="000D612B">
              <w:rPr>
                <w:sz w:val="20"/>
                <w:szCs w:val="20"/>
              </w:rPr>
              <w:t>Gada pārskats</w:t>
            </w:r>
          </w:p>
        </w:tc>
        <w:tc>
          <w:tcPr>
            <w:tcW w:w="989" w:type="dxa"/>
          </w:tcPr>
          <w:p w14:paraId="7F28107D" w14:textId="77777777" w:rsidR="00187DC9" w:rsidRDefault="00187DC9" w:rsidP="00637933">
            <w:pPr>
              <w:jc w:val="center"/>
              <w:rPr>
                <w:sz w:val="20"/>
                <w:szCs w:val="20"/>
              </w:rPr>
            </w:pPr>
            <w:r w:rsidRPr="000D612B">
              <w:rPr>
                <w:sz w:val="20"/>
                <w:szCs w:val="20"/>
              </w:rPr>
              <w:t>201</w:t>
            </w:r>
            <w:r>
              <w:rPr>
                <w:sz w:val="20"/>
                <w:szCs w:val="20"/>
              </w:rPr>
              <w:t>8</w:t>
            </w:r>
            <w:r w:rsidRPr="000D612B">
              <w:rPr>
                <w:sz w:val="20"/>
                <w:szCs w:val="20"/>
              </w:rPr>
              <w:t>.</w:t>
            </w:r>
          </w:p>
          <w:p w14:paraId="7ED35419" w14:textId="3F0D82B2" w:rsidR="00187DC9" w:rsidRPr="00D76978" w:rsidRDefault="00187DC9" w:rsidP="00637933">
            <w:pPr>
              <w:jc w:val="center"/>
              <w:rPr>
                <w:sz w:val="20"/>
                <w:szCs w:val="20"/>
              </w:rPr>
            </w:pPr>
            <w:r w:rsidRPr="000D612B">
              <w:rPr>
                <w:sz w:val="20"/>
                <w:szCs w:val="20"/>
              </w:rPr>
              <w:t>pārskata gads</w:t>
            </w:r>
          </w:p>
        </w:tc>
        <w:tc>
          <w:tcPr>
            <w:tcW w:w="7516" w:type="dxa"/>
            <w:gridSpan w:val="4"/>
          </w:tcPr>
          <w:p w14:paraId="0A8E4EE1" w14:textId="67195496" w:rsidR="00187DC9" w:rsidRPr="00D76978" w:rsidRDefault="00187DC9" w:rsidP="00187DC9">
            <w:pPr>
              <w:jc w:val="center"/>
              <w:rPr>
                <w:sz w:val="20"/>
                <w:szCs w:val="20"/>
              </w:rPr>
            </w:pPr>
            <w:r>
              <w:rPr>
                <w:sz w:val="20"/>
                <w:szCs w:val="20"/>
              </w:rPr>
              <w:t>-</w:t>
            </w:r>
            <w:r w:rsidR="00501727">
              <w:rPr>
                <w:rStyle w:val="FootnoteReference"/>
                <w:sz w:val="20"/>
                <w:szCs w:val="20"/>
              </w:rPr>
              <w:footnoteReference w:id="6"/>
            </w:r>
          </w:p>
        </w:tc>
      </w:tr>
    </w:tbl>
    <w:p w14:paraId="7BB90F2A" w14:textId="5F7D1BCE" w:rsidR="00B0481C" w:rsidRDefault="00B0481C">
      <w:pPr>
        <w:rPr>
          <w:sz w:val="20"/>
        </w:rPr>
      </w:pPr>
    </w:p>
    <w:p w14:paraId="408EEA0D" w14:textId="45B5BF5A" w:rsidR="00B0481C" w:rsidRDefault="00B0481C">
      <w:pPr>
        <w:rPr>
          <w:sz w:val="20"/>
        </w:rPr>
      </w:pPr>
    </w:p>
    <w:p w14:paraId="687AB63C" w14:textId="1DEE2E98" w:rsidR="00B0481C" w:rsidRPr="009D2048" w:rsidRDefault="00882559">
      <w:r>
        <w:t>Apkopojums sagatavots un apstiprināts 2020.gada 31.janvārī.</w:t>
      </w:r>
    </w:p>
    <w:sectPr w:rsidR="00B0481C" w:rsidRPr="009D2048" w:rsidSect="00C641F2">
      <w:pgSz w:w="16838" w:h="11906" w:orient="landscape"/>
      <w:pgMar w:top="1134" w:right="1021" w:bottom="1134" w:left="851" w:header="63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186C9" w14:textId="77777777" w:rsidR="005A6430" w:rsidRDefault="005A6430" w:rsidP="000F5A0D">
      <w:r>
        <w:separator/>
      </w:r>
    </w:p>
  </w:endnote>
  <w:endnote w:type="continuationSeparator" w:id="0">
    <w:p w14:paraId="6167DF9C" w14:textId="77777777" w:rsidR="005A6430" w:rsidRDefault="005A6430" w:rsidP="000F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6FE37" w14:textId="77777777" w:rsidR="005A6430" w:rsidRDefault="005A6430" w:rsidP="000F5A0D">
      <w:r>
        <w:separator/>
      </w:r>
    </w:p>
  </w:footnote>
  <w:footnote w:type="continuationSeparator" w:id="0">
    <w:p w14:paraId="60D94F14" w14:textId="77777777" w:rsidR="005A6430" w:rsidRDefault="005A6430" w:rsidP="000F5A0D">
      <w:r>
        <w:continuationSeparator/>
      </w:r>
    </w:p>
  </w:footnote>
  <w:footnote w:id="1">
    <w:p w14:paraId="36D83370" w14:textId="7CBBBC8F" w:rsidR="000F5A0D" w:rsidRPr="009216CD" w:rsidRDefault="000F5A0D" w:rsidP="00061BE4">
      <w:pPr>
        <w:pStyle w:val="FootnoteText"/>
        <w:ind w:left="-284" w:right="139"/>
        <w:jc w:val="both"/>
        <w:rPr>
          <w:i/>
          <w:color w:val="000000" w:themeColor="text1"/>
        </w:rPr>
      </w:pPr>
      <w:r w:rsidRPr="009216CD">
        <w:rPr>
          <w:rStyle w:val="FootnoteReference"/>
          <w:i/>
          <w:color w:val="000000" w:themeColor="text1"/>
        </w:rPr>
        <w:footnoteRef/>
      </w:r>
      <w:r w:rsidRPr="009216CD">
        <w:rPr>
          <w:i/>
          <w:color w:val="000000" w:themeColor="text1"/>
        </w:rPr>
        <w:t xml:space="preserve"> Revīzijas pakalpojumu kvalitātes kontroles prasību ievērošanas pārbaužu (inspekciju) rezultātu apkopojums </w:t>
      </w:r>
      <w:r w:rsidRPr="009216CD">
        <w:rPr>
          <w:bCs/>
          <w:i/>
          <w:color w:val="000000" w:themeColor="text1"/>
        </w:rPr>
        <w:t xml:space="preserve">sagatavots </w:t>
      </w:r>
      <w:r w:rsidRPr="009216CD">
        <w:rPr>
          <w:i/>
          <w:iCs/>
          <w:color w:val="000000" w:themeColor="text1"/>
        </w:rPr>
        <w:t>saskaņā ar 2017.gada 7.marta Mini</w:t>
      </w:r>
      <w:r w:rsidR="00D940F8" w:rsidRPr="009216CD">
        <w:rPr>
          <w:i/>
          <w:iCs/>
          <w:color w:val="000000" w:themeColor="text1"/>
        </w:rPr>
        <w:t>stru kabineta noteikumu Nr.136 “</w:t>
      </w:r>
      <w:r w:rsidRPr="009216CD">
        <w:rPr>
          <w:i/>
          <w:iCs/>
          <w:color w:val="000000" w:themeColor="text1"/>
        </w:rPr>
        <w:t>Noteikumi par revīzijas pakalpojumu kvalitātes kontroles prasību ievērošanas pārbaudi un pilnvaroto pā</w:t>
      </w:r>
      <w:r w:rsidR="00D940F8" w:rsidRPr="009216CD">
        <w:rPr>
          <w:i/>
          <w:iCs/>
          <w:color w:val="000000" w:themeColor="text1"/>
        </w:rPr>
        <w:t>rstāvju kvalifikācijas prasībām” 27.punktā</w:t>
      </w:r>
      <w:r w:rsidRPr="009216CD">
        <w:rPr>
          <w:i/>
          <w:iCs/>
          <w:color w:val="000000" w:themeColor="text1"/>
        </w:rPr>
        <w:t xml:space="preserve"> un Eiropas Parlamenta un Padomes regulas (ES) Nr.537/2014 (2014.gada 16.aprīlis) par īpašām prasībām attiecībā uz obligātajām revīzijām sabiedriskas nozīmes struktūrās un ar ko atceļ Komisijas Lēmumu 2005/909/EK</w:t>
      </w:r>
      <w:r w:rsidR="00CB2675">
        <w:rPr>
          <w:i/>
          <w:iCs/>
          <w:color w:val="000000" w:themeColor="text1"/>
        </w:rPr>
        <w:t xml:space="preserve"> </w:t>
      </w:r>
      <w:r w:rsidRPr="009216CD">
        <w:rPr>
          <w:i/>
          <w:color w:val="000000" w:themeColor="text1"/>
        </w:rPr>
        <w:t>28.pa</w:t>
      </w:r>
      <w:r w:rsidR="00D940F8" w:rsidRPr="009216CD">
        <w:rPr>
          <w:i/>
          <w:color w:val="000000" w:themeColor="text1"/>
        </w:rPr>
        <w:t>nta “d” apakšpunktā noteiktajām prasībām</w:t>
      </w:r>
      <w:r w:rsidR="00D940F8" w:rsidRPr="009216CD">
        <w:rPr>
          <w:i/>
          <w:iCs/>
          <w:color w:val="000000" w:themeColor="text1"/>
        </w:rPr>
        <w:t>.</w:t>
      </w:r>
    </w:p>
  </w:footnote>
  <w:footnote w:id="2">
    <w:p w14:paraId="1F3A1DB1" w14:textId="77777777" w:rsidR="00703A86" w:rsidRPr="009216CD" w:rsidRDefault="00703A86" w:rsidP="00061BE4">
      <w:pPr>
        <w:ind w:left="-284" w:right="139"/>
        <w:jc w:val="both"/>
        <w:rPr>
          <w:i/>
          <w:color w:val="000000" w:themeColor="text1"/>
          <w:sz w:val="20"/>
          <w:szCs w:val="20"/>
        </w:rPr>
      </w:pPr>
      <w:r w:rsidRPr="009216CD">
        <w:rPr>
          <w:rStyle w:val="FootnoteReference"/>
          <w:i/>
          <w:color w:val="000000" w:themeColor="text1"/>
          <w:sz w:val="20"/>
          <w:szCs w:val="20"/>
        </w:rPr>
        <w:footnoteRef/>
      </w:r>
      <w:r w:rsidRPr="009216CD">
        <w:rPr>
          <w:i/>
          <w:color w:val="000000" w:themeColor="text1"/>
          <w:sz w:val="20"/>
          <w:szCs w:val="20"/>
        </w:rPr>
        <w:t xml:space="preserve"> Apkopojuma publiskojamajā daļā netiek norādīts pārbaudāmās zvērinātu revidentu komercsabiedrības pilns nosaukums, jo saskaņā ar Revīzijas pakalpojumu likuma 37.panta piekto daļu Finanšu ministrijas pilnvarotajām personām savā darbībā ir jāievēro konfidencialitātes prasības, kā arī īstenojot Finanšu ministrijas kā kompetentās iestādes funkcijas, ir jāievēro ES Regulas Nr.537/2014 21.pantā noteiktie neatkarības nosacījumi un šīs regulas 22.pantā minētās dienesta noslēpuma ievērošanas prasības. Līdz ar to apkopojuma nepubliskojamajā daļā attiecīgajā kolonnā norādītais konkrētais pārbaudāmās zvērinātu revidentu komercsabiedrības pilns nosaukums netiek atspoguļots un ir pieejams tikai Finanšu ministrijas rīcībā.</w:t>
      </w:r>
    </w:p>
    <w:p w14:paraId="53C1E7AD" w14:textId="35395DE4" w:rsidR="00703A86" w:rsidRPr="009216CD" w:rsidRDefault="00703A86" w:rsidP="00061BE4">
      <w:pPr>
        <w:pStyle w:val="FootnoteText"/>
        <w:ind w:left="-284" w:right="139"/>
        <w:jc w:val="both"/>
        <w:rPr>
          <w:bCs/>
          <w:i/>
          <w:color w:val="000000" w:themeColor="text1"/>
        </w:rPr>
      </w:pPr>
      <w:r w:rsidRPr="009216CD">
        <w:rPr>
          <w:i/>
          <w:color w:val="000000" w:themeColor="text1"/>
        </w:rPr>
        <w:t xml:space="preserve">Savukārt, SNS revīzijas komiteja, lai izpildītu Finanšu instrumentu tirgus likuma </w:t>
      </w:r>
      <w:r w:rsidRPr="009216CD">
        <w:rPr>
          <w:bCs/>
          <w:i/>
          <w:color w:val="000000" w:themeColor="text1"/>
        </w:rPr>
        <w:t>55.</w:t>
      </w:r>
      <w:r w:rsidRPr="009216CD">
        <w:rPr>
          <w:bCs/>
          <w:i/>
          <w:color w:val="000000" w:themeColor="text1"/>
          <w:vertAlign w:val="superscript"/>
        </w:rPr>
        <w:t>3</w:t>
      </w:r>
      <w:r w:rsidRPr="009216CD">
        <w:rPr>
          <w:bCs/>
          <w:i/>
          <w:color w:val="000000" w:themeColor="text1"/>
        </w:rPr>
        <w:t xml:space="preserve"> panta pirmās daļas 3.punktā tai noteikto uzdevumu, var sazināties ar Finanšu ministriju kā kompetento iestādi, lai saņemtu šajā punktā minēto informāciju par sava SNS iecelto zvērināto revidentu un zvērinātu revidentu komercsabiedrību.</w:t>
      </w:r>
    </w:p>
  </w:footnote>
  <w:footnote w:id="3">
    <w:p w14:paraId="6BE6E728" w14:textId="77777777" w:rsidR="00703A86" w:rsidRPr="009216CD" w:rsidRDefault="00703A86" w:rsidP="00061BE4">
      <w:pPr>
        <w:pStyle w:val="FootnoteText"/>
        <w:ind w:left="-284" w:right="139"/>
        <w:jc w:val="both"/>
        <w:rPr>
          <w:i/>
          <w:color w:val="000000" w:themeColor="text1"/>
        </w:rPr>
      </w:pPr>
      <w:r w:rsidRPr="009216CD">
        <w:rPr>
          <w:rStyle w:val="FootnoteReference"/>
          <w:i/>
          <w:color w:val="000000" w:themeColor="text1"/>
        </w:rPr>
        <w:footnoteRef/>
      </w:r>
      <w:r>
        <w:rPr>
          <w:i/>
          <w:color w:val="000000" w:themeColor="text1"/>
        </w:rPr>
        <w:t xml:space="preserve"> </w:t>
      </w:r>
      <w:r w:rsidRPr="009216CD">
        <w:rPr>
          <w:i/>
          <w:color w:val="000000" w:themeColor="text1"/>
        </w:rPr>
        <w:t xml:space="preserve">Kategoriju skaidrojumi ir noteikti </w:t>
      </w:r>
      <w:r w:rsidRPr="009216CD">
        <w:rPr>
          <w:i/>
          <w:iCs/>
          <w:color w:val="000000" w:themeColor="text1"/>
        </w:rPr>
        <w:t>Ministru kabineta 2017.gada 7.marta noteikumu Nr.136 “Noteikumi par revīzijas pakalpojumu kvalitātes kontroles prasību ievērošanas pārbaudi un pilnvaroto pārstāvju kvalifikācijas prasībām” 7.punktā.</w:t>
      </w:r>
    </w:p>
  </w:footnote>
  <w:footnote w:id="4">
    <w:p w14:paraId="2500D840" w14:textId="735A01BE" w:rsidR="00703A86" w:rsidRPr="009216CD" w:rsidRDefault="00703A86" w:rsidP="009216CD">
      <w:pPr>
        <w:pStyle w:val="FootnoteText"/>
        <w:ind w:left="-284"/>
        <w:jc w:val="both"/>
        <w:rPr>
          <w:i/>
          <w:color w:val="000000" w:themeColor="text1"/>
        </w:rPr>
      </w:pPr>
      <w:r w:rsidRPr="009216CD">
        <w:rPr>
          <w:rStyle w:val="FootnoteReference"/>
          <w:i/>
          <w:color w:val="000000" w:themeColor="text1"/>
        </w:rPr>
        <w:footnoteRef/>
      </w:r>
      <w:r>
        <w:rPr>
          <w:i/>
          <w:color w:val="000000" w:themeColor="text1"/>
        </w:rPr>
        <w:t xml:space="preserve"> </w:t>
      </w:r>
      <w:r w:rsidRPr="009216CD">
        <w:rPr>
          <w:i/>
          <w:color w:val="000000" w:themeColor="text1"/>
        </w:rPr>
        <w:t xml:space="preserve">SNS - </w:t>
      </w:r>
      <w:r w:rsidRPr="009216CD">
        <w:rPr>
          <w:i/>
          <w:iCs/>
          <w:color w:val="000000" w:themeColor="text1"/>
        </w:rPr>
        <w:t>sabiedriskas nozīmes struktūra (termina definējums ietverts Revīzijas pakalpojumu likuma 1.panta pirmās daļas 17.punktā).</w:t>
      </w:r>
    </w:p>
  </w:footnote>
  <w:footnote w:id="5">
    <w:p w14:paraId="2214A4D0" w14:textId="5CE32952" w:rsidR="007A3A91" w:rsidRPr="007A3A91" w:rsidRDefault="007A3A91" w:rsidP="007A3A91">
      <w:pPr>
        <w:pStyle w:val="FootnoteText"/>
        <w:ind w:left="-284"/>
        <w:rPr>
          <w:i/>
        </w:rPr>
      </w:pPr>
      <w:r w:rsidRPr="007A3A91">
        <w:rPr>
          <w:rStyle w:val="FootnoteReference"/>
          <w:i/>
        </w:rPr>
        <w:footnoteRef/>
      </w:r>
      <w:r w:rsidRPr="007A3A91">
        <w:rPr>
          <w:i/>
        </w:rPr>
        <w:t xml:space="preserve"> ES Regula Nr.537/2014 - </w:t>
      </w:r>
      <w:r w:rsidRPr="007A3A91">
        <w:rPr>
          <w:i/>
          <w:iCs/>
          <w:color w:val="000000" w:themeColor="text1"/>
        </w:rPr>
        <w:t>Eiropas Parlamenta un Padomes regulas (ES) Nr.537/2014 (2014.gada 16.aprīlis) par īpašām prasībām attiecībā uz obligātajām revīzijām sabiedriskas nozīmes struktūrās un ar ko atceļ Komisijas Lēmumu 2005/909/EK</w:t>
      </w:r>
      <w:r>
        <w:rPr>
          <w:i/>
          <w:iCs/>
          <w:color w:val="000000" w:themeColor="text1"/>
        </w:rPr>
        <w:t>.</w:t>
      </w:r>
    </w:p>
  </w:footnote>
  <w:footnote w:id="6">
    <w:p w14:paraId="51CEE42B" w14:textId="769DB0E4" w:rsidR="00501727" w:rsidRPr="00061BE4" w:rsidRDefault="00501727" w:rsidP="00207139">
      <w:pPr>
        <w:ind w:left="-284"/>
        <w:jc w:val="both"/>
        <w:rPr>
          <w:i/>
          <w:color w:val="000000" w:themeColor="text1"/>
          <w:sz w:val="20"/>
          <w:szCs w:val="20"/>
        </w:rPr>
      </w:pPr>
      <w:r w:rsidRPr="00CE7DBA">
        <w:rPr>
          <w:rStyle w:val="FootnoteReference"/>
          <w:sz w:val="20"/>
          <w:szCs w:val="20"/>
        </w:rPr>
        <w:footnoteRef/>
      </w:r>
      <w:r w:rsidRPr="00CE7DBA">
        <w:rPr>
          <w:sz w:val="20"/>
          <w:szCs w:val="20"/>
        </w:rPr>
        <w:t xml:space="preserve"> </w:t>
      </w:r>
      <w:r w:rsidR="00207139" w:rsidRPr="000128F8">
        <w:rPr>
          <w:i/>
          <w:color w:val="000000" w:themeColor="text1"/>
          <w:sz w:val="20"/>
          <w:szCs w:val="20"/>
        </w:rPr>
        <w:t xml:space="preserve">Pamatojoties </w:t>
      </w:r>
      <w:r w:rsidRPr="000128F8">
        <w:rPr>
          <w:i/>
          <w:color w:val="000000" w:themeColor="text1"/>
          <w:sz w:val="20"/>
          <w:szCs w:val="20"/>
        </w:rPr>
        <w:t>uz Ministru kabineta 2017.gada 7.marta noteikumu Nr.136 “Noteikumi par revīzijas pakalpojumu kvalitātes kontroles prasību ievērošanas pārbaudi un pilnvaroto pārstāvju kvalifikācijas prasībām” 7.punktu, kas nosaka, ka zvērināta revidenta vai zvērinātu revidentu komercsabiedrības iekšējās kvalitātes kontroles sistēma pēc Finanšu ministrija</w:t>
      </w:r>
      <w:r w:rsidR="00207139" w:rsidRPr="000128F8">
        <w:rPr>
          <w:i/>
          <w:color w:val="000000" w:themeColor="text1"/>
          <w:sz w:val="20"/>
          <w:szCs w:val="20"/>
        </w:rPr>
        <w:t xml:space="preserve">s </w:t>
      </w:r>
      <w:r w:rsidRPr="000128F8">
        <w:rPr>
          <w:i/>
          <w:color w:val="000000" w:themeColor="text1"/>
          <w:sz w:val="20"/>
          <w:szCs w:val="20"/>
        </w:rPr>
        <w:t>veiktās pārbaudes tiek novērtēta un tai tiek p</w:t>
      </w:r>
      <w:r w:rsidR="00207139" w:rsidRPr="000128F8">
        <w:rPr>
          <w:i/>
          <w:color w:val="000000" w:themeColor="text1"/>
          <w:sz w:val="20"/>
          <w:szCs w:val="20"/>
        </w:rPr>
        <w:t>iešķirta at</w:t>
      </w:r>
      <w:r w:rsidR="00105927" w:rsidRPr="000128F8">
        <w:rPr>
          <w:i/>
          <w:color w:val="000000" w:themeColor="text1"/>
          <w:sz w:val="20"/>
          <w:szCs w:val="20"/>
        </w:rPr>
        <w:t xml:space="preserve">bilstoša kategorija. </w:t>
      </w:r>
      <w:r w:rsidR="00207139" w:rsidRPr="000128F8">
        <w:rPr>
          <w:i/>
          <w:color w:val="000000" w:themeColor="text1"/>
          <w:sz w:val="20"/>
          <w:szCs w:val="20"/>
        </w:rPr>
        <w:t>Finanšu ministrija informē, ka attiecībā uz šo praksi</w:t>
      </w:r>
      <w:r w:rsidRPr="000128F8">
        <w:rPr>
          <w:i/>
          <w:color w:val="000000" w:themeColor="text1"/>
          <w:sz w:val="20"/>
          <w:szCs w:val="20"/>
        </w:rPr>
        <w:t xml:space="preserve"> netika veikta </w:t>
      </w:r>
      <w:r w:rsidR="00105927" w:rsidRPr="000128F8">
        <w:rPr>
          <w:i/>
          <w:color w:val="000000" w:themeColor="text1"/>
          <w:sz w:val="20"/>
          <w:szCs w:val="20"/>
        </w:rPr>
        <w:t xml:space="preserve">pilna apjoma </w:t>
      </w:r>
      <w:r w:rsidRPr="000128F8">
        <w:rPr>
          <w:i/>
          <w:color w:val="000000" w:themeColor="text1"/>
          <w:sz w:val="20"/>
          <w:szCs w:val="20"/>
        </w:rPr>
        <w:t>revīzijas pakalpojumu kvalitātes kontroles prasību ievērošanas pārbaude</w:t>
      </w:r>
      <w:r w:rsidR="00207139" w:rsidRPr="000128F8">
        <w:rPr>
          <w:i/>
          <w:color w:val="000000" w:themeColor="text1"/>
          <w:sz w:val="20"/>
          <w:szCs w:val="20"/>
        </w:rPr>
        <w:t>, bet attiecīgās pārbaudes ietvaros tika veikta atsevišķa revīzijas uzdevuma</w:t>
      </w:r>
      <w:r w:rsidRPr="000128F8">
        <w:rPr>
          <w:i/>
          <w:color w:val="000000" w:themeColor="text1"/>
          <w:sz w:val="20"/>
          <w:szCs w:val="20"/>
        </w:rPr>
        <w:t xml:space="preserve"> </w:t>
      </w:r>
      <w:r w:rsidR="00105927" w:rsidRPr="000128F8">
        <w:rPr>
          <w:i/>
          <w:color w:val="000000" w:themeColor="text1"/>
          <w:sz w:val="20"/>
          <w:szCs w:val="20"/>
        </w:rPr>
        <w:t xml:space="preserve">kvalitātes ievērošanas kontroles </w:t>
      </w:r>
      <w:r w:rsidR="00207139" w:rsidRPr="000128F8">
        <w:rPr>
          <w:i/>
          <w:color w:val="000000" w:themeColor="text1"/>
          <w:sz w:val="20"/>
          <w:szCs w:val="20"/>
        </w:rPr>
        <w:t xml:space="preserve">pārbaude, </w:t>
      </w:r>
      <w:r w:rsidRPr="000128F8">
        <w:rPr>
          <w:i/>
          <w:color w:val="000000" w:themeColor="text1"/>
          <w:sz w:val="20"/>
          <w:szCs w:val="20"/>
        </w:rPr>
        <w:t xml:space="preserve">līdz ar to minētajai </w:t>
      </w:r>
      <w:r w:rsidR="00207139" w:rsidRPr="000128F8">
        <w:rPr>
          <w:i/>
          <w:color w:val="000000" w:themeColor="text1"/>
          <w:sz w:val="20"/>
          <w:szCs w:val="20"/>
        </w:rPr>
        <w:t>praksei</w:t>
      </w:r>
      <w:r w:rsidRPr="000128F8">
        <w:rPr>
          <w:i/>
          <w:color w:val="000000" w:themeColor="text1"/>
          <w:sz w:val="20"/>
          <w:szCs w:val="20"/>
        </w:rPr>
        <w:t xml:space="preserve"> netiek piemērota noteikta kategorija</w:t>
      </w:r>
      <w:r w:rsidR="00207139" w:rsidRPr="000128F8">
        <w:rPr>
          <w:i/>
          <w:color w:val="000000" w:themeColor="text1"/>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847"/>
    <w:rsid w:val="00000560"/>
    <w:rsid w:val="00011A35"/>
    <w:rsid w:val="000128F8"/>
    <w:rsid w:val="00015E74"/>
    <w:rsid w:val="00016AC0"/>
    <w:rsid w:val="00024357"/>
    <w:rsid w:val="00045CFF"/>
    <w:rsid w:val="00051052"/>
    <w:rsid w:val="00061BE4"/>
    <w:rsid w:val="000700B2"/>
    <w:rsid w:val="00090F67"/>
    <w:rsid w:val="000A5A2C"/>
    <w:rsid w:val="000B088F"/>
    <w:rsid w:val="000B1CE7"/>
    <w:rsid w:val="000B3503"/>
    <w:rsid w:val="000C4F27"/>
    <w:rsid w:val="000C6A76"/>
    <w:rsid w:val="000D2C25"/>
    <w:rsid w:val="000D612B"/>
    <w:rsid w:val="000F5A0D"/>
    <w:rsid w:val="000F5CA0"/>
    <w:rsid w:val="0010053A"/>
    <w:rsid w:val="00102651"/>
    <w:rsid w:val="00105927"/>
    <w:rsid w:val="00112F65"/>
    <w:rsid w:val="00122B8D"/>
    <w:rsid w:val="00125912"/>
    <w:rsid w:val="00135282"/>
    <w:rsid w:val="00136B9E"/>
    <w:rsid w:val="00141647"/>
    <w:rsid w:val="00141873"/>
    <w:rsid w:val="001421C9"/>
    <w:rsid w:val="00145900"/>
    <w:rsid w:val="0015064B"/>
    <w:rsid w:val="00155721"/>
    <w:rsid w:val="00173894"/>
    <w:rsid w:val="00173E57"/>
    <w:rsid w:val="00177F04"/>
    <w:rsid w:val="00187DC9"/>
    <w:rsid w:val="001924DC"/>
    <w:rsid w:val="001A0CDE"/>
    <w:rsid w:val="001A1DC4"/>
    <w:rsid w:val="001D018D"/>
    <w:rsid w:val="001F23F1"/>
    <w:rsid w:val="001F2547"/>
    <w:rsid w:val="001F2E2F"/>
    <w:rsid w:val="00203B21"/>
    <w:rsid w:val="002054FC"/>
    <w:rsid w:val="00207139"/>
    <w:rsid w:val="0022779E"/>
    <w:rsid w:val="00264E9B"/>
    <w:rsid w:val="00266B71"/>
    <w:rsid w:val="00266DBB"/>
    <w:rsid w:val="002806B6"/>
    <w:rsid w:val="00283532"/>
    <w:rsid w:val="0029001E"/>
    <w:rsid w:val="002A0657"/>
    <w:rsid w:val="002D46AF"/>
    <w:rsid w:val="002D7A3B"/>
    <w:rsid w:val="002E11C2"/>
    <w:rsid w:val="002E5B4E"/>
    <w:rsid w:val="002E7E46"/>
    <w:rsid w:val="002F414C"/>
    <w:rsid w:val="00300B93"/>
    <w:rsid w:val="0030737F"/>
    <w:rsid w:val="003119F4"/>
    <w:rsid w:val="0032237A"/>
    <w:rsid w:val="003339D4"/>
    <w:rsid w:val="00333CEC"/>
    <w:rsid w:val="003426D3"/>
    <w:rsid w:val="003644D4"/>
    <w:rsid w:val="00365011"/>
    <w:rsid w:val="003B334E"/>
    <w:rsid w:val="003C5891"/>
    <w:rsid w:val="003D4F7C"/>
    <w:rsid w:val="003D6333"/>
    <w:rsid w:val="003E0D4D"/>
    <w:rsid w:val="003E37CA"/>
    <w:rsid w:val="003F13A8"/>
    <w:rsid w:val="00405AA6"/>
    <w:rsid w:val="00412A58"/>
    <w:rsid w:val="00426A13"/>
    <w:rsid w:val="00427114"/>
    <w:rsid w:val="00450972"/>
    <w:rsid w:val="004615ED"/>
    <w:rsid w:val="0046263B"/>
    <w:rsid w:val="0047172A"/>
    <w:rsid w:val="00474DE1"/>
    <w:rsid w:val="00477C10"/>
    <w:rsid w:val="00481559"/>
    <w:rsid w:val="00485C98"/>
    <w:rsid w:val="00486C34"/>
    <w:rsid w:val="004918C5"/>
    <w:rsid w:val="004A798E"/>
    <w:rsid w:val="004A7EB0"/>
    <w:rsid w:val="004B5039"/>
    <w:rsid w:val="004C193C"/>
    <w:rsid w:val="004C5A7A"/>
    <w:rsid w:val="004E174D"/>
    <w:rsid w:val="00501727"/>
    <w:rsid w:val="005024B8"/>
    <w:rsid w:val="00505DFD"/>
    <w:rsid w:val="00512881"/>
    <w:rsid w:val="005408F3"/>
    <w:rsid w:val="005418FF"/>
    <w:rsid w:val="005522B2"/>
    <w:rsid w:val="005550C2"/>
    <w:rsid w:val="00557194"/>
    <w:rsid w:val="00564883"/>
    <w:rsid w:val="00574336"/>
    <w:rsid w:val="00576470"/>
    <w:rsid w:val="00592D6D"/>
    <w:rsid w:val="005A6430"/>
    <w:rsid w:val="005B4423"/>
    <w:rsid w:val="005B5731"/>
    <w:rsid w:val="005C1A4C"/>
    <w:rsid w:val="005C1F2E"/>
    <w:rsid w:val="005C22EF"/>
    <w:rsid w:val="005C774B"/>
    <w:rsid w:val="005F46E2"/>
    <w:rsid w:val="006002A0"/>
    <w:rsid w:val="0060446A"/>
    <w:rsid w:val="00614DFD"/>
    <w:rsid w:val="00624D6F"/>
    <w:rsid w:val="00637933"/>
    <w:rsid w:val="00643A3A"/>
    <w:rsid w:val="006462D8"/>
    <w:rsid w:val="00651AA0"/>
    <w:rsid w:val="00653142"/>
    <w:rsid w:val="00662D74"/>
    <w:rsid w:val="00687CA0"/>
    <w:rsid w:val="006B1F2D"/>
    <w:rsid w:val="006D55C7"/>
    <w:rsid w:val="006E6363"/>
    <w:rsid w:val="006E7A1B"/>
    <w:rsid w:val="006F42DD"/>
    <w:rsid w:val="006F518C"/>
    <w:rsid w:val="007036B4"/>
    <w:rsid w:val="00703A86"/>
    <w:rsid w:val="00712093"/>
    <w:rsid w:val="00713847"/>
    <w:rsid w:val="00716682"/>
    <w:rsid w:val="00727934"/>
    <w:rsid w:val="00741F03"/>
    <w:rsid w:val="007457C5"/>
    <w:rsid w:val="00746924"/>
    <w:rsid w:val="00764A63"/>
    <w:rsid w:val="0077739F"/>
    <w:rsid w:val="00786438"/>
    <w:rsid w:val="00797732"/>
    <w:rsid w:val="007A3A91"/>
    <w:rsid w:val="007B2751"/>
    <w:rsid w:val="007B4057"/>
    <w:rsid w:val="007D08DB"/>
    <w:rsid w:val="007D24D7"/>
    <w:rsid w:val="007E3747"/>
    <w:rsid w:val="007E64AB"/>
    <w:rsid w:val="007E71A1"/>
    <w:rsid w:val="007F47D5"/>
    <w:rsid w:val="007F58B0"/>
    <w:rsid w:val="007F73FE"/>
    <w:rsid w:val="007F7FB0"/>
    <w:rsid w:val="00807724"/>
    <w:rsid w:val="00814870"/>
    <w:rsid w:val="00816522"/>
    <w:rsid w:val="00822E16"/>
    <w:rsid w:val="00825EB8"/>
    <w:rsid w:val="00833998"/>
    <w:rsid w:val="0086212B"/>
    <w:rsid w:val="008621B1"/>
    <w:rsid w:val="0087554A"/>
    <w:rsid w:val="00882559"/>
    <w:rsid w:val="00883BA1"/>
    <w:rsid w:val="008B158A"/>
    <w:rsid w:val="008B38E0"/>
    <w:rsid w:val="008B562C"/>
    <w:rsid w:val="008C0C78"/>
    <w:rsid w:val="008C7583"/>
    <w:rsid w:val="008D7E09"/>
    <w:rsid w:val="008E51BE"/>
    <w:rsid w:val="008F3A82"/>
    <w:rsid w:val="008F73AD"/>
    <w:rsid w:val="009061CD"/>
    <w:rsid w:val="00913BEB"/>
    <w:rsid w:val="00917186"/>
    <w:rsid w:val="00921151"/>
    <w:rsid w:val="009216CD"/>
    <w:rsid w:val="00941216"/>
    <w:rsid w:val="00954EE6"/>
    <w:rsid w:val="009644C3"/>
    <w:rsid w:val="00967953"/>
    <w:rsid w:val="0097067D"/>
    <w:rsid w:val="009725DF"/>
    <w:rsid w:val="00974516"/>
    <w:rsid w:val="009937E7"/>
    <w:rsid w:val="009B1F27"/>
    <w:rsid w:val="009B30A7"/>
    <w:rsid w:val="009B42EF"/>
    <w:rsid w:val="009C1309"/>
    <w:rsid w:val="009C335E"/>
    <w:rsid w:val="009C4E35"/>
    <w:rsid w:val="009D2048"/>
    <w:rsid w:val="009E3919"/>
    <w:rsid w:val="009F0142"/>
    <w:rsid w:val="009F0244"/>
    <w:rsid w:val="009F0990"/>
    <w:rsid w:val="00A05CC8"/>
    <w:rsid w:val="00A103E4"/>
    <w:rsid w:val="00A2010A"/>
    <w:rsid w:val="00A24425"/>
    <w:rsid w:val="00A25EEA"/>
    <w:rsid w:val="00A5430C"/>
    <w:rsid w:val="00A70876"/>
    <w:rsid w:val="00A72ED2"/>
    <w:rsid w:val="00A77270"/>
    <w:rsid w:val="00A772B5"/>
    <w:rsid w:val="00A85160"/>
    <w:rsid w:val="00A87E45"/>
    <w:rsid w:val="00A92E07"/>
    <w:rsid w:val="00A966DA"/>
    <w:rsid w:val="00AA0C00"/>
    <w:rsid w:val="00AE5054"/>
    <w:rsid w:val="00AF155D"/>
    <w:rsid w:val="00AF189E"/>
    <w:rsid w:val="00B0481C"/>
    <w:rsid w:val="00B06454"/>
    <w:rsid w:val="00B144E3"/>
    <w:rsid w:val="00B2465B"/>
    <w:rsid w:val="00B2640B"/>
    <w:rsid w:val="00B31BE7"/>
    <w:rsid w:val="00B60905"/>
    <w:rsid w:val="00B6271D"/>
    <w:rsid w:val="00B64906"/>
    <w:rsid w:val="00B672EF"/>
    <w:rsid w:val="00B70DDB"/>
    <w:rsid w:val="00B95826"/>
    <w:rsid w:val="00B963F6"/>
    <w:rsid w:val="00BA0366"/>
    <w:rsid w:val="00BA07DA"/>
    <w:rsid w:val="00BA3D80"/>
    <w:rsid w:val="00BA6546"/>
    <w:rsid w:val="00BB1374"/>
    <w:rsid w:val="00BD0526"/>
    <w:rsid w:val="00BD071B"/>
    <w:rsid w:val="00BF242A"/>
    <w:rsid w:val="00C0038C"/>
    <w:rsid w:val="00C33693"/>
    <w:rsid w:val="00C348D5"/>
    <w:rsid w:val="00C366DF"/>
    <w:rsid w:val="00C36A35"/>
    <w:rsid w:val="00C62E58"/>
    <w:rsid w:val="00C641F2"/>
    <w:rsid w:val="00C822D8"/>
    <w:rsid w:val="00C87EEF"/>
    <w:rsid w:val="00CA71CA"/>
    <w:rsid w:val="00CB235B"/>
    <w:rsid w:val="00CB2675"/>
    <w:rsid w:val="00CB4DC9"/>
    <w:rsid w:val="00CB7A20"/>
    <w:rsid w:val="00CD4596"/>
    <w:rsid w:val="00CE7DBA"/>
    <w:rsid w:val="00CF1414"/>
    <w:rsid w:val="00CF6F11"/>
    <w:rsid w:val="00D05A28"/>
    <w:rsid w:val="00D115B3"/>
    <w:rsid w:val="00D14C88"/>
    <w:rsid w:val="00D14FAD"/>
    <w:rsid w:val="00D368E2"/>
    <w:rsid w:val="00D37194"/>
    <w:rsid w:val="00D468D6"/>
    <w:rsid w:val="00D522FC"/>
    <w:rsid w:val="00D66F3B"/>
    <w:rsid w:val="00D76978"/>
    <w:rsid w:val="00D84E15"/>
    <w:rsid w:val="00D85949"/>
    <w:rsid w:val="00D860FA"/>
    <w:rsid w:val="00D940F8"/>
    <w:rsid w:val="00D97639"/>
    <w:rsid w:val="00DA08A7"/>
    <w:rsid w:val="00DA589A"/>
    <w:rsid w:val="00DB75BF"/>
    <w:rsid w:val="00DB75E3"/>
    <w:rsid w:val="00DC0B15"/>
    <w:rsid w:val="00DC3B9E"/>
    <w:rsid w:val="00DC7ACC"/>
    <w:rsid w:val="00DD229E"/>
    <w:rsid w:val="00DD7ACF"/>
    <w:rsid w:val="00DE5A36"/>
    <w:rsid w:val="00DF773F"/>
    <w:rsid w:val="00E049BE"/>
    <w:rsid w:val="00E12CB7"/>
    <w:rsid w:val="00E16B38"/>
    <w:rsid w:val="00E23CE9"/>
    <w:rsid w:val="00E349E5"/>
    <w:rsid w:val="00E4191B"/>
    <w:rsid w:val="00E56589"/>
    <w:rsid w:val="00E663FA"/>
    <w:rsid w:val="00E838D8"/>
    <w:rsid w:val="00E914C4"/>
    <w:rsid w:val="00E957C5"/>
    <w:rsid w:val="00EA0BFF"/>
    <w:rsid w:val="00EC7E0C"/>
    <w:rsid w:val="00EE0195"/>
    <w:rsid w:val="00EE0BDB"/>
    <w:rsid w:val="00EE27CA"/>
    <w:rsid w:val="00EF025E"/>
    <w:rsid w:val="00F0655B"/>
    <w:rsid w:val="00F07761"/>
    <w:rsid w:val="00F07B1B"/>
    <w:rsid w:val="00F11F88"/>
    <w:rsid w:val="00F23BBA"/>
    <w:rsid w:val="00F329CF"/>
    <w:rsid w:val="00F43A31"/>
    <w:rsid w:val="00F61A2D"/>
    <w:rsid w:val="00F64D6F"/>
    <w:rsid w:val="00F704E2"/>
    <w:rsid w:val="00F71B92"/>
    <w:rsid w:val="00F80C21"/>
    <w:rsid w:val="00F81C8B"/>
    <w:rsid w:val="00F9631A"/>
    <w:rsid w:val="00FA0B28"/>
    <w:rsid w:val="00FA6610"/>
    <w:rsid w:val="00FD3956"/>
    <w:rsid w:val="00FD54B8"/>
    <w:rsid w:val="00FE366B"/>
    <w:rsid w:val="00FE5B45"/>
    <w:rsid w:val="00FF0A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EDFC"/>
  <w15:chartTrackingRefBased/>
  <w15:docId w15:val="{08222EE8-C7AF-44E4-B899-2C534DB6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3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F5A0D"/>
    <w:rPr>
      <w:sz w:val="20"/>
      <w:szCs w:val="20"/>
    </w:rPr>
  </w:style>
  <w:style w:type="character" w:customStyle="1" w:styleId="FootnoteTextChar">
    <w:name w:val="Footnote Text Char"/>
    <w:basedOn w:val="DefaultParagraphFont"/>
    <w:link w:val="FootnoteText"/>
    <w:uiPriority w:val="99"/>
    <w:semiHidden/>
    <w:rsid w:val="000F5A0D"/>
    <w:rPr>
      <w:sz w:val="20"/>
      <w:szCs w:val="20"/>
    </w:rPr>
  </w:style>
  <w:style w:type="character" w:styleId="FootnoteReference">
    <w:name w:val="footnote reference"/>
    <w:basedOn w:val="DefaultParagraphFont"/>
    <w:uiPriority w:val="99"/>
    <w:semiHidden/>
    <w:unhideWhenUsed/>
    <w:rsid w:val="000F5A0D"/>
    <w:rPr>
      <w:vertAlign w:val="superscript"/>
    </w:rPr>
  </w:style>
  <w:style w:type="paragraph" w:styleId="Header">
    <w:name w:val="header"/>
    <w:basedOn w:val="Normal"/>
    <w:link w:val="HeaderChar"/>
    <w:uiPriority w:val="99"/>
    <w:unhideWhenUsed/>
    <w:rsid w:val="00BA3D80"/>
    <w:pPr>
      <w:tabs>
        <w:tab w:val="center" w:pos="4153"/>
        <w:tab w:val="right" w:pos="8306"/>
      </w:tabs>
    </w:pPr>
  </w:style>
  <w:style w:type="character" w:customStyle="1" w:styleId="HeaderChar">
    <w:name w:val="Header Char"/>
    <w:basedOn w:val="DefaultParagraphFont"/>
    <w:link w:val="Header"/>
    <w:uiPriority w:val="99"/>
    <w:rsid w:val="00BA3D80"/>
  </w:style>
  <w:style w:type="paragraph" w:styleId="Footer">
    <w:name w:val="footer"/>
    <w:basedOn w:val="Normal"/>
    <w:link w:val="FooterChar"/>
    <w:uiPriority w:val="99"/>
    <w:unhideWhenUsed/>
    <w:rsid w:val="00BA3D80"/>
    <w:pPr>
      <w:tabs>
        <w:tab w:val="center" w:pos="4153"/>
        <w:tab w:val="right" w:pos="8306"/>
      </w:tabs>
    </w:pPr>
  </w:style>
  <w:style w:type="character" w:customStyle="1" w:styleId="FooterChar">
    <w:name w:val="Footer Char"/>
    <w:basedOn w:val="DefaultParagraphFont"/>
    <w:link w:val="Footer"/>
    <w:uiPriority w:val="99"/>
    <w:rsid w:val="00BA3D80"/>
  </w:style>
  <w:style w:type="paragraph" w:styleId="NormalWeb">
    <w:name w:val="Normal (Web)"/>
    <w:basedOn w:val="Normal"/>
    <w:uiPriority w:val="99"/>
    <w:rsid w:val="00BA3D80"/>
    <w:pPr>
      <w:spacing w:before="100" w:beforeAutospacing="1" w:after="100" w:afterAutospacing="1"/>
    </w:pPr>
    <w:rPr>
      <w:rFonts w:eastAsia="Times New Roman"/>
      <w:lang w:eastAsia="lv-LV"/>
    </w:rPr>
  </w:style>
  <w:style w:type="paragraph" w:styleId="BalloonText">
    <w:name w:val="Balloon Text"/>
    <w:basedOn w:val="Normal"/>
    <w:link w:val="BalloonTextChar"/>
    <w:uiPriority w:val="99"/>
    <w:semiHidden/>
    <w:unhideWhenUsed/>
    <w:rsid w:val="00FA0B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B28"/>
    <w:rPr>
      <w:rFonts w:ascii="Segoe UI" w:hAnsi="Segoe UI" w:cs="Segoe UI"/>
      <w:sz w:val="18"/>
      <w:szCs w:val="18"/>
    </w:rPr>
  </w:style>
  <w:style w:type="character" w:styleId="CommentReference">
    <w:name w:val="annotation reference"/>
    <w:basedOn w:val="DefaultParagraphFont"/>
    <w:uiPriority w:val="99"/>
    <w:semiHidden/>
    <w:unhideWhenUsed/>
    <w:rsid w:val="004A7EB0"/>
    <w:rPr>
      <w:sz w:val="16"/>
      <w:szCs w:val="16"/>
    </w:rPr>
  </w:style>
  <w:style w:type="paragraph" w:styleId="CommentText">
    <w:name w:val="annotation text"/>
    <w:basedOn w:val="Normal"/>
    <w:link w:val="CommentTextChar"/>
    <w:uiPriority w:val="99"/>
    <w:unhideWhenUsed/>
    <w:rsid w:val="004A7EB0"/>
    <w:rPr>
      <w:sz w:val="20"/>
      <w:szCs w:val="20"/>
    </w:rPr>
  </w:style>
  <w:style w:type="character" w:customStyle="1" w:styleId="CommentTextChar">
    <w:name w:val="Comment Text Char"/>
    <w:basedOn w:val="DefaultParagraphFont"/>
    <w:link w:val="CommentText"/>
    <w:uiPriority w:val="99"/>
    <w:rsid w:val="004A7EB0"/>
    <w:rPr>
      <w:sz w:val="20"/>
      <w:szCs w:val="20"/>
    </w:rPr>
  </w:style>
  <w:style w:type="paragraph" w:styleId="CommentSubject">
    <w:name w:val="annotation subject"/>
    <w:basedOn w:val="CommentText"/>
    <w:next w:val="CommentText"/>
    <w:link w:val="CommentSubjectChar"/>
    <w:uiPriority w:val="99"/>
    <w:semiHidden/>
    <w:unhideWhenUsed/>
    <w:rsid w:val="004A7EB0"/>
    <w:rPr>
      <w:b/>
      <w:bCs/>
    </w:rPr>
  </w:style>
  <w:style w:type="character" w:customStyle="1" w:styleId="CommentSubjectChar">
    <w:name w:val="Comment Subject Char"/>
    <w:basedOn w:val="CommentTextChar"/>
    <w:link w:val="CommentSubject"/>
    <w:uiPriority w:val="99"/>
    <w:semiHidden/>
    <w:rsid w:val="004A7EB0"/>
    <w:rPr>
      <w:b/>
      <w:bCs/>
      <w:sz w:val="20"/>
      <w:szCs w:val="20"/>
    </w:rPr>
  </w:style>
  <w:style w:type="paragraph" w:styleId="EndnoteText">
    <w:name w:val="endnote text"/>
    <w:basedOn w:val="Normal"/>
    <w:link w:val="EndnoteTextChar"/>
    <w:uiPriority w:val="99"/>
    <w:semiHidden/>
    <w:unhideWhenUsed/>
    <w:rsid w:val="009216CD"/>
    <w:rPr>
      <w:sz w:val="20"/>
      <w:szCs w:val="20"/>
    </w:rPr>
  </w:style>
  <w:style w:type="character" w:customStyle="1" w:styleId="EndnoteTextChar">
    <w:name w:val="Endnote Text Char"/>
    <w:basedOn w:val="DefaultParagraphFont"/>
    <w:link w:val="EndnoteText"/>
    <w:uiPriority w:val="99"/>
    <w:semiHidden/>
    <w:rsid w:val="009216CD"/>
    <w:rPr>
      <w:sz w:val="20"/>
      <w:szCs w:val="20"/>
    </w:rPr>
  </w:style>
  <w:style w:type="character" w:styleId="EndnoteReference">
    <w:name w:val="endnote reference"/>
    <w:basedOn w:val="DefaultParagraphFont"/>
    <w:uiPriority w:val="99"/>
    <w:semiHidden/>
    <w:unhideWhenUsed/>
    <w:rsid w:val="009216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9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B05ED-D51C-49FD-A75D-528EEFF86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6114</Words>
  <Characters>3485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Maldupe</dc:creator>
  <cp:keywords/>
  <dc:description/>
  <cp:lastModifiedBy>Dace Šodnaka</cp:lastModifiedBy>
  <cp:revision>2</cp:revision>
  <cp:lastPrinted>2020-01-28T12:04:00Z</cp:lastPrinted>
  <dcterms:created xsi:type="dcterms:W3CDTF">2020-01-30T14:41:00Z</dcterms:created>
  <dcterms:modified xsi:type="dcterms:W3CDTF">2020-01-30T14:41:00Z</dcterms:modified>
</cp:coreProperties>
</file>