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94"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ayout w:type="fixed"/>
        <w:tblLook w:val="04A0" w:firstRow="1" w:lastRow="0" w:firstColumn="1" w:lastColumn="0" w:noHBand="0" w:noVBand="1"/>
      </w:tblPr>
      <w:tblGrid>
        <w:gridCol w:w="568"/>
        <w:gridCol w:w="1843"/>
        <w:gridCol w:w="1275"/>
        <w:gridCol w:w="1418"/>
        <w:gridCol w:w="1701"/>
        <w:gridCol w:w="1417"/>
        <w:gridCol w:w="993"/>
        <w:gridCol w:w="2126"/>
        <w:gridCol w:w="1417"/>
        <w:gridCol w:w="1701"/>
        <w:gridCol w:w="1276"/>
      </w:tblGrid>
      <w:tr w:rsidR="001E35DD" w:rsidRPr="00713847" w14:paraId="38D86DD8" w14:textId="77777777" w:rsidTr="007B758A">
        <w:trPr>
          <w:trHeight w:val="315"/>
        </w:trPr>
        <w:tc>
          <w:tcPr>
            <w:tcW w:w="15735" w:type="dxa"/>
            <w:gridSpan w:val="11"/>
            <w:shd w:val="clear" w:color="auto" w:fill="BDD6EE" w:themeFill="accent1" w:themeFillTint="66"/>
          </w:tcPr>
          <w:p w14:paraId="69929E86" w14:textId="53F552E2" w:rsidR="001E35DD" w:rsidRPr="00713847" w:rsidRDefault="001E35DD" w:rsidP="000F5A0D">
            <w:pPr>
              <w:jc w:val="center"/>
              <w:rPr>
                <w:b/>
                <w:bCs/>
              </w:rPr>
            </w:pPr>
            <w:r w:rsidRPr="00713847">
              <w:rPr>
                <w:b/>
                <w:bCs/>
              </w:rPr>
              <w:t>REVĪZIJAS PAKALPOJUMU KVALITĀTES KONTROLES PRASĪBU IEVĒROŠANAS PĀRBAUŽU (INSPEKCIJU) REZULTĀT</w:t>
            </w:r>
            <w:r>
              <w:rPr>
                <w:b/>
                <w:bCs/>
              </w:rPr>
              <w:t>U APKOPOJUMS, 202</w:t>
            </w:r>
            <w:r w:rsidR="00C0102E">
              <w:rPr>
                <w:b/>
                <w:bCs/>
              </w:rPr>
              <w:t>5</w:t>
            </w:r>
            <w:r w:rsidRPr="00713847">
              <w:rPr>
                <w:b/>
                <w:bCs/>
              </w:rPr>
              <w:t>.GADS</w:t>
            </w:r>
            <w:r>
              <w:rPr>
                <w:rStyle w:val="FootnoteReference"/>
                <w:b/>
                <w:bCs/>
              </w:rPr>
              <w:footnoteReference w:id="1"/>
            </w:r>
          </w:p>
        </w:tc>
      </w:tr>
      <w:tr w:rsidR="001E35DD" w:rsidRPr="00713847" w14:paraId="6F47E957" w14:textId="77777777" w:rsidTr="007B758A">
        <w:trPr>
          <w:trHeight w:val="132"/>
        </w:trPr>
        <w:tc>
          <w:tcPr>
            <w:tcW w:w="15735" w:type="dxa"/>
            <w:gridSpan w:val="11"/>
            <w:shd w:val="clear" w:color="auto" w:fill="FFF2CC" w:themeFill="accent4" w:themeFillTint="33"/>
          </w:tcPr>
          <w:p w14:paraId="61FAD846" w14:textId="1A3C9033" w:rsidR="001E35DD" w:rsidRPr="00713847" w:rsidRDefault="001E35DD">
            <w:r w:rsidRPr="00713847">
              <w:t>  </w:t>
            </w:r>
          </w:p>
        </w:tc>
      </w:tr>
      <w:tr w:rsidR="001E35DD" w:rsidRPr="00713847" w14:paraId="7F8818A4" w14:textId="77777777" w:rsidTr="007B758A">
        <w:trPr>
          <w:trHeight w:val="419"/>
        </w:trPr>
        <w:tc>
          <w:tcPr>
            <w:tcW w:w="568" w:type="dxa"/>
            <w:vMerge w:val="restart"/>
            <w:shd w:val="clear" w:color="auto" w:fill="A8D08D" w:themeFill="accent6" w:themeFillTint="99"/>
            <w:hideMark/>
          </w:tcPr>
          <w:p w14:paraId="34CFAEBC" w14:textId="77777777" w:rsidR="001E35DD" w:rsidRPr="00E16B38" w:rsidRDefault="001E35DD" w:rsidP="00713847">
            <w:pPr>
              <w:rPr>
                <w:b/>
                <w:bCs/>
                <w:sz w:val="20"/>
                <w:szCs w:val="20"/>
              </w:rPr>
            </w:pPr>
            <w:r w:rsidRPr="00E16B38">
              <w:rPr>
                <w:b/>
                <w:bCs/>
                <w:sz w:val="20"/>
                <w:szCs w:val="20"/>
              </w:rPr>
              <w:t>Nr.</w:t>
            </w:r>
          </w:p>
          <w:p w14:paraId="1E6F2D27" w14:textId="77777777" w:rsidR="001E35DD" w:rsidRPr="00E16B38" w:rsidRDefault="001E35DD" w:rsidP="00713847">
            <w:pPr>
              <w:rPr>
                <w:b/>
                <w:bCs/>
                <w:sz w:val="20"/>
                <w:szCs w:val="20"/>
              </w:rPr>
            </w:pPr>
            <w:r w:rsidRPr="00E16B38">
              <w:rPr>
                <w:b/>
                <w:bCs/>
                <w:sz w:val="20"/>
                <w:szCs w:val="20"/>
              </w:rPr>
              <w:t>p.k.</w:t>
            </w:r>
          </w:p>
        </w:tc>
        <w:tc>
          <w:tcPr>
            <w:tcW w:w="1843" w:type="dxa"/>
            <w:vMerge w:val="restart"/>
            <w:shd w:val="clear" w:color="auto" w:fill="A8D08D" w:themeFill="accent6" w:themeFillTint="99"/>
            <w:hideMark/>
          </w:tcPr>
          <w:p w14:paraId="2A23F641" w14:textId="77777777" w:rsidR="001E35DD" w:rsidRPr="00E16B38" w:rsidRDefault="001E35DD" w:rsidP="000F5A0D">
            <w:pPr>
              <w:jc w:val="center"/>
              <w:rPr>
                <w:b/>
                <w:bCs/>
                <w:sz w:val="20"/>
                <w:szCs w:val="20"/>
              </w:rPr>
            </w:pPr>
            <w:r w:rsidRPr="00E16B38">
              <w:rPr>
                <w:b/>
                <w:bCs/>
                <w:sz w:val="20"/>
                <w:szCs w:val="20"/>
              </w:rPr>
              <w:t>Pārbaudāmās zvērinātu revidentu komercsabiedrības nosaukums</w:t>
            </w:r>
            <w:r>
              <w:rPr>
                <w:rStyle w:val="FootnoteReference"/>
                <w:b/>
                <w:bCs/>
                <w:sz w:val="20"/>
                <w:szCs w:val="20"/>
              </w:rPr>
              <w:footnoteReference w:id="2"/>
            </w:r>
          </w:p>
        </w:tc>
        <w:tc>
          <w:tcPr>
            <w:tcW w:w="1275" w:type="dxa"/>
            <w:vMerge w:val="restart"/>
            <w:shd w:val="clear" w:color="auto" w:fill="A8D08D" w:themeFill="accent6" w:themeFillTint="99"/>
          </w:tcPr>
          <w:p w14:paraId="6DAA3163" w14:textId="77777777" w:rsidR="001E35DD" w:rsidRPr="009E25F9" w:rsidRDefault="001E35DD" w:rsidP="001E35DD">
            <w:pPr>
              <w:jc w:val="center"/>
              <w:rPr>
                <w:b/>
                <w:bCs/>
                <w:sz w:val="20"/>
                <w:szCs w:val="20"/>
              </w:rPr>
            </w:pPr>
            <w:r w:rsidRPr="009E25F9">
              <w:rPr>
                <w:b/>
                <w:bCs/>
                <w:sz w:val="20"/>
                <w:szCs w:val="20"/>
              </w:rPr>
              <w:t xml:space="preserve">Pārbaudes apjoms </w:t>
            </w:r>
          </w:p>
          <w:p w14:paraId="513A33D4" w14:textId="35359DA0" w:rsidR="001E35DD" w:rsidRPr="00E16B38" w:rsidRDefault="001E35DD" w:rsidP="001E35DD">
            <w:pPr>
              <w:jc w:val="center"/>
              <w:rPr>
                <w:b/>
                <w:bCs/>
                <w:sz w:val="20"/>
                <w:szCs w:val="20"/>
              </w:rPr>
            </w:pPr>
            <w:r w:rsidRPr="009E25F9">
              <w:rPr>
                <w:b/>
                <w:bCs/>
                <w:sz w:val="20"/>
                <w:szCs w:val="20"/>
              </w:rPr>
              <w:t>(pilna apjoma vai atsevišķa revīzijas uzdevuma pārbaude)</w:t>
            </w:r>
          </w:p>
        </w:tc>
        <w:tc>
          <w:tcPr>
            <w:tcW w:w="5529" w:type="dxa"/>
            <w:gridSpan w:val="4"/>
            <w:shd w:val="clear" w:color="auto" w:fill="A8D08D" w:themeFill="accent6" w:themeFillTint="99"/>
            <w:noWrap/>
            <w:hideMark/>
          </w:tcPr>
          <w:p w14:paraId="40AAE139" w14:textId="360AA3C9" w:rsidR="001E35DD" w:rsidRPr="00E16B38" w:rsidRDefault="001E35DD" w:rsidP="000F5A0D">
            <w:pPr>
              <w:jc w:val="center"/>
              <w:rPr>
                <w:b/>
                <w:bCs/>
                <w:sz w:val="20"/>
                <w:szCs w:val="20"/>
              </w:rPr>
            </w:pPr>
            <w:r w:rsidRPr="00E16B38">
              <w:rPr>
                <w:b/>
                <w:bCs/>
                <w:sz w:val="20"/>
                <w:szCs w:val="20"/>
              </w:rPr>
              <w:t>Informācija par pārbaudei pakļautajiem atsevišķiem revīzijas uzdevumiem</w:t>
            </w:r>
          </w:p>
        </w:tc>
        <w:tc>
          <w:tcPr>
            <w:tcW w:w="3543" w:type="dxa"/>
            <w:gridSpan w:val="2"/>
            <w:shd w:val="clear" w:color="auto" w:fill="A8D08D" w:themeFill="accent6" w:themeFillTint="99"/>
            <w:hideMark/>
          </w:tcPr>
          <w:p w14:paraId="768F17BA" w14:textId="77777777" w:rsidR="001E35DD" w:rsidRPr="00E16B38" w:rsidRDefault="001E35DD" w:rsidP="000F5A0D">
            <w:pPr>
              <w:jc w:val="center"/>
              <w:rPr>
                <w:b/>
                <w:bCs/>
                <w:sz w:val="20"/>
                <w:szCs w:val="20"/>
              </w:rPr>
            </w:pPr>
            <w:r w:rsidRPr="00E16B38">
              <w:rPr>
                <w:b/>
                <w:bCs/>
                <w:sz w:val="20"/>
                <w:szCs w:val="20"/>
              </w:rPr>
              <w:t>Pārbaudē konstatētais trūkums</w:t>
            </w:r>
          </w:p>
        </w:tc>
        <w:tc>
          <w:tcPr>
            <w:tcW w:w="1701" w:type="dxa"/>
            <w:vMerge w:val="restart"/>
            <w:shd w:val="clear" w:color="auto" w:fill="A8D08D" w:themeFill="accent6" w:themeFillTint="99"/>
            <w:hideMark/>
          </w:tcPr>
          <w:p w14:paraId="6A8E3A78" w14:textId="77777777" w:rsidR="001E35DD" w:rsidRPr="00E16B38" w:rsidRDefault="001E35DD" w:rsidP="000F5A0D">
            <w:pPr>
              <w:jc w:val="center"/>
              <w:rPr>
                <w:b/>
                <w:bCs/>
                <w:sz w:val="20"/>
                <w:szCs w:val="20"/>
              </w:rPr>
            </w:pPr>
            <w:r w:rsidRPr="00E16B38">
              <w:rPr>
                <w:b/>
                <w:bCs/>
                <w:sz w:val="20"/>
                <w:szCs w:val="20"/>
              </w:rPr>
              <w:t>Sniegtie ieteikumi konstatēto trūkumu novēršanai</w:t>
            </w:r>
          </w:p>
        </w:tc>
        <w:tc>
          <w:tcPr>
            <w:tcW w:w="1276" w:type="dxa"/>
            <w:vMerge w:val="restart"/>
            <w:shd w:val="clear" w:color="auto" w:fill="A8D08D" w:themeFill="accent6" w:themeFillTint="99"/>
            <w:hideMark/>
          </w:tcPr>
          <w:p w14:paraId="6D661031" w14:textId="24E0F136" w:rsidR="001E35DD" w:rsidRPr="00E16B38" w:rsidRDefault="001E35DD" w:rsidP="00703A86">
            <w:pPr>
              <w:ind w:right="-100"/>
              <w:rPr>
                <w:b/>
                <w:bCs/>
                <w:sz w:val="20"/>
                <w:szCs w:val="20"/>
              </w:rPr>
            </w:pPr>
            <w:r w:rsidRPr="00E16B38">
              <w:rPr>
                <w:b/>
                <w:bCs/>
                <w:sz w:val="20"/>
                <w:szCs w:val="20"/>
              </w:rPr>
              <w:t>Novērtējuma kategorija</w:t>
            </w:r>
            <w:r>
              <w:rPr>
                <w:rStyle w:val="FootnoteReference"/>
                <w:b/>
                <w:bCs/>
                <w:sz w:val="20"/>
                <w:szCs w:val="20"/>
              </w:rPr>
              <w:footnoteReference w:id="3"/>
            </w:r>
          </w:p>
        </w:tc>
      </w:tr>
      <w:tr w:rsidR="006D3BE0" w:rsidRPr="00713847" w14:paraId="256921A5" w14:textId="77777777" w:rsidTr="007B758A">
        <w:trPr>
          <w:trHeight w:val="404"/>
        </w:trPr>
        <w:tc>
          <w:tcPr>
            <w:tcW w:w="568" w:type="dxa"/>
            <w:vMerge/>
            <w:hideMark/>
          </w:tcPr>
          <w:p w14:paraId="23263AB3" w14:textId="77777777" w:rsidR="001E35DD" w:rsidRPr="00E16B38" w:rsidRDefault="001E35DD">
            <w:pPr>
              <w:rPr>
                <w:b/>
                <w:bCs/>
                <w:sz w:val="20"/>
                <w:szCs w:val="20"/>
              </w:rPr>
            </w:pPr>
          </w:p>
        </w:tc>
        <w:tc>
          <w:tcPr>
            <w:tcW w:w="1843" w:type="dxa"/>
            <w:vMerge/>
            <w:hideMark/>
          </w:tcPr>
          <w:p w14:paraId="0CA6A6E5" w14:textId="77777777" w:rsidR="001E35DD" w:rsidRPr="00E16B38" w:rsidRDefault="001E35DD">
            <w:pPr>
              <w:rPr>
                <w:b/>
                <w:bCs/>
                <w:sz w:val="20"/>
                <w:szCs w:val="20"/>
              </w:rPr>
            </w:pPr>
          </w:p>
        </w:tc>
        <w:tc>
          <w:tcPr>
            <w:tcW w:w="1275" w:type="dxa"/>
            <w:vMerge/>
            <w:shd w:val="clear" w:color="auto" w:fill="A8D08D" w:themeFill="accent6" w:themeFillTint="99"/>
          </w:tcPr>
          <w:p w14:paraId="679178D0" w14:textId="77777777" w:rsidR="001E35DD" w:rsidRPr="00E16B38" w:rsidRDefault="001E35DD" w:rsidP="000F5A0D">
            <w:pPr>
              <w:jc w:val="center"/>
              <w:rPr>
                <w:b/>
                <w:bCs/>
                <w:sz w:val="20"/>
                <w:szCs w:val="20"/>
              </w:rPr>
            </w:pPr>
          </w:p>
        </w:tc>
        <w:tc>
          <w:tcPr>
            <w:tcW w:w="1418" w:type="dxa"/>
            <w:vMerge w:val="restart"/>
            <w:shd w:val="clear" w:color="auto" w:fill="A8D08D" w:themeFill="accent6" w:themeFillTint="99"/>
            <w:hideMark/>
          </w:tcPr>
          <w:p w14:paraId="705D45B4" w14:textId="40E335BD" w:rsidR="001E35DD" w:rsidRPr="00E16B38" w:rsidRDefault="001E35DD" w:rsidP="000F5A0D">
            <w:pPr>
              <w:jc w:val="center"/>
              <w:rPr>
                <w:b/>
                <w:bCs/>
                <w:sz w:val="20"/>
                <w:szCs w:val="20"/>
              </w:rPr>
            </w:pPr>
            <w:r w:rsidRPr="00E16B38">
              <w:rPr>
                <w:b/>
                <w:bCs/>
                <w:sz w:val="20"/>
                <w:szCs w:val="20"/>
              </w:rPr>
              <w:t>Pārbaudāmo</w:t>
            </w:r>
            <w:r>
              <w:rPr>
                <w:b/>
                <w:bCs/>
                <w:sz w:val="20"/>
                <w:szCs w:val="20"/>
              </w:rPr>
              <w:t xml:space="preserve"> revīzijas</w:t>
            </w:r>
            <w:r w:rsidRPr="00E16B38">
              <w:rPr>
                <w:b/>
                <w:bCs/>
                <w:sz w:val="20"/>
                <w:szCs w:val="20"/>
              </w:rPr>
              <w:t xml:space="preserve"> uzdevumu skaits</w:t>
            </w:r>
          </w:p>
        </w:tc>
        <w:tc>
          <w:tcPr>
            <w:tcW w:w="1701" w:type="dxa"/>
            <w:vMerge w:val="restart"/>
            <w:shd w:val="clear" w:color="auto" w:fill="A8D08D" w:themeFill="accent6" w:themeFillTint="99"/>
            <w:hideMark/>
          </w:tcPr>
          <w:p w14:paraId="4547F22B" w14:textId="0B430419" w:rsidR="001E35DD" w:rsidRPr="00E16B38" w:rsidRDefault="001E35DD" w:rsidP="009216CD">
            <w:pPr>
              <w:jc w:val="center"/>
              <w:rPr>
                <w:b/>
                <w:bCs/>
                <w:sz w:val="20"/>
                <w:szCs w:val="20"/>
              </w:rPr>
            </w:pPr>
            <w:r>
              <w:rPr>
                <w:b/>
                <w:bCs/>
                <w:sz w:val="20"/>
                <w:szCs w:val="20"/>
              </w:rPr>
              <w:t>Klienta (SNS</w:t>
            </w:r>
            <w:r>
              <w:rPr>
                <w:rStyle w:val="FootnoteReference"/>
                <w:b/>
                <w:bCs/>
                <w:sz w:val="20"/>
                <w:szCs w:val="20"/>
              </w:rPr>
              <w:footnoteReference w:id="4"/>
            </w:r>
            <w:r w:rsidRPr="00E16B38">
              <w:rPr>
                <w:b/>
                <w:bCs/>
                <w:sz w:val="20"/>
                <w:szCs w:val="20"/>
              </w:rPr>
              <w:t>) veids</w:t>
            </w:r>
          </w:p>
        </w:tc>
        <w:tc>
          <w:tcPr>
            <w:tcW w:w="2410" w:type="dxa"/>
            <w:gridSpan w:val="2"/>
            <w:shd w:val="clear" w:color="auto" w:fill="A8D08D" w:themeFill="accent6" w:themeFillTint="99"/>
            <w:noWrap/>
            <w:hideMark/>
          </w:tcPr>
          <w:p w14:paraId="7422251F" w14:textId="77777777" w:rsidR="001E35DD" w:rsidRPr="00E16B38" w:rsidRDefault="001E35DD" w:rsidP="000F5A0D">
            <w:pPr>
              <w:jc w:val="center"/>
              <w:rPr>
                <w:b/>
                <w:bCs/>
                <w:sz w:val="20"/>
                <w:szCs w:val="20"/>
              </w:rPr>
            </w:pPr>
            <w:r w:rsidRPr="00E16B38">
              <w:rPr>
                <w:b/>
                <w:bCs/>
                <w:sz w:val="20"/>
                <w:szCs w:val="20"/>
              </w:rPr>
              <w:t>Revīzijas uzdevuma pārbaude</w:t>
            </w:r>
          </w:p>
        </w:tc>
        <w:tc>
          <w:tcPr>
            <w:tcW w:w="2126" w:type="dxa"/>
            <w:vMerge w:val="restart"/>
            <w:shd w:val="clear" w:color="auto" w:fill="A8D08D" w:themeFill="accent6" w:themeFillTint="99"/>
            <w:hideMark/>
          </w:tcPr>
          <w:p w14:paraId="5CF71DBB" w14:textId="77777777" w:rsidR="001E35DD" w:rsidRPr="00E16B38" w:rsidRDefault="001E35DD" w:rsidP="000F5A0D">
            <w:pPr>
              <w:jc w:val="center"/>
              <w:rPr>
                <w:b/>
                <w:bCs/>
                <w:sz w:val="20"/>
                <w:szCs w:val="20"/>
              </w:rPr>
            </w:pPr>
            <w:r w:rsidRPr="00E16B38">
              <w:rPr>
                <w:b/>
                <w:bCs/>
                <w:sz w:val="20"/>
                <w:szCs w:val="20"/>
              </w:rPr>
              <w:t>Konstatētā trūkuma apraksts</w:t>
            </w:r>
          </w:p>
        </w:tc>
        <w:tc>
          <w:tcPr>
            <w:tcW w:w="1417" w:type="dxa"/>
            <w:vMerge w:val="restart"/>
            <w:shd w:val="clear" w:color="auto" w:fill="A8D08D" w:themeFill="accent6" w:themeFillTint="99"/>
            <w:hideMark/>
          </w:tcPr>
          <w:p w14:paraId="0F3C785C" w14:textId="77777777" w:rsidR="001E35DD" w:rsidRPr="00E16B38" w:rsidRDefault="001E35DD" w:rsidP="000F5A0D">
            <w:pPr>
              <w:jc w:val="center"/>
              <w:rPr>
                <w:b/>
                <w:bCs/>
                <w:sz w:val="20"/>
                <w:szCs w:val="20"/>
              </w:rPr>
            </w:pPr>
            <w:r w:rsidRPr="00E16B38">
              <w:rPr>
                <w:b/>
                <w:bCs/>
                <w:sz w:val="20"/>
                <w:szCs w:val="20"/>
              </w:rPr>
              <w:t>Normatīvā regulējuma attiecīgā prasība, kas nav ievērota</w:t>
            </w:r>
          </w:p>
        </w:tc>
        <w:tc>
          <w:tcPr>
            <w:tcW w:w="1701" w:type="dxa"/>
            <w:vMerge/>
            <w:hideMark/>
          </w:tcPr>
          <w:p w14:paraId="1DE22AB4" w14:textId="77777777" w:rsidR="001E35DD" w:rsidRPr="00E16B38" w:rsidRDefault="001E35DD">
            <w:pPr>
              <w:rPr>
                <w:b/>
                <w:bCs/>
                <w:sz w:val="20"/>
                <w:szCs w:val="20"/>
              </w:rPr>
            </w:pPr>
          </w:p>
        </w:tc>
        <w:tc>
          <w:tcPr>
            <w:tcW w:w="1276" w:type="dxa"/>
            <w:vMerge/>
            <w:shd w:val="clear" w:color="auto" w:fill="A8D08D" w:themeFill="accent6" w:themeFillTint="99"/>
            <w:hideMark/>
          </w:tcPr>
          <w:p w14:paraId="088D0799" w14:textId="1F260C03" w:rsidR="001E35DD" w:rsidRPr="00E16B38" w:rsidRDefault="001E35DD" w:rsidP="00472A56">
            <w:pPr>
              <w:rPr>
                <w:b/>
                <w:bCs/>
                <w:sz w:val="20"/>
                <w:szCs w:val="20"/>
              </w:rPr>
            </w:pPr>
          </w:p>
        </w:tc>
      </w:tr>
      <w:tr w:rsidR="006D3BE0" w:rsidRPr="00713847" w14:paraId="5352776B" w14:textId="77777777" w:rsidTr="007B758A">
        <w:trPr>
          <w:trHeight w:val="462"/>
        </w:trPr>
        <w:tc>
          <w:tcPr>
            <w:tcW w:w="568" w:type="dxa"/>
            <w:vMerge/>
            <w:hideMark/>
          </w:tcPr>
          <w:p w14:paraId="4D3C7F19" w14:textId="77777777" w:rsidR="001E35DD" w:rsidRPr="00E16B38" w:rsidRDefault="001E35DD">
            <w:pPr>
              <w:rPr>
                <w:b/>
                <w:bCs/>
                <w:sz w:val="20"/>
                <w:szCs w:val="20"/>
              </w:rPr>
            </w:pPr>
          </w:p>
        </w:tc>
        <w:tc>
          <w:tcPr>
            <w:tcW w:w="1843" w:type="dxa"/>
            <w:vMerge/>
            <w:hideMark/>
          </w:tcPr>
          <w:p w14:paraId="24E4B8DA" w14:textId="77777777" w:rsidR="001E35DD" w:rsidRPr="00E16B38" w:rsidRDefault="001E35DD">
            <w:pPr>
              <w:rPr>
                <w:b/>
                <w:bCs/>
                <w:sz w:val="20"/>
                <w:szCs w:val="20"/>
              </w:rPr>
            </w:pPr>
          </w:p>
        </w:tc>
        <w:tc>
          <w:tcPr>
            <w:tcW w:w="1275" w:type="dxa"/>
            <w:vMerge/>
            <w:shd w:val="clear" w:color="auto" w:fill="A8D08D" w:themeFill="accent6" w:themeFillTint="99"/>
          </w:tcPr>
          <w:p w14:paraId="42E37BDD" w14:textId="77777777" w:rsidR="001E35DD" w:rsidRPr="00E16B38" w:rsidRDefault="001E35DD">
            <w:pPr>
              <w:rPr>
                <w:b/>
                <w:bCs/>
                <w:sz w:val="20"/>
                <w:szCs w:val="20"/>
              </w:rPr>
            </w:pPr>
          </w:p>
        </w:tc>
        <w:tc>
          <w:tcPr>
            <w:tcW w:w="1418" w:type="dxa"/>
            <w:vMerge/>
            <w:shd w:val="clear" w:color="auto" w:fill="A8D08D" w:themeFill="accent6" w:themeFillTint="99"/>
            <w:hideMark/>
          </w:tcPr>
          <w:p w14:paraId="759443B5" w14:textId="52D4A5A5" w:rsidR="001E35DD" w:rsidRPr="00E16B38" w:rsidRDefault="001E35DD">
            <w:pPr>
              <w:rPr>
                <w:b/>
                <w:bCs/>
                <w:sz w:val="20"/>
                <w:szCs w:val="20"/>
              </w:rPr>
            </w:pPr>
          </w:p>
        </w:tc>
        <w:tc>
          <w:tcPr>
            <w:tcW w:w="1701" w:type="dxa"/>
            <w:vMerge/>
            <w:shd w:val="clear" w:color="auto" w:fill="A8D08D" w:themeFill="accent6" w:themeFillTint="99"/>
            <w:hideMark/>
          </w:tcPr>
          <w:p w14:paraId="53F65FA7" w14:textId="77777777" w:rsidR="001E35DD" w:rsidRPr="00E16B38" w:rsidRDefault="001E35DD">
            <w:pPr>
              <w:rPr>
                <w:b/>
                <w:bCs/>
                <w:sz w:val="20"/>
                <w:szCs w:val="20"/>
              </w:rPr>
            </w:pPr>
          </w:p>
        </w:tc>
        <w:tc>
          <w:tcPr>
            <w:tcW w:w="1417" w:type="dxa"/>
            <w:shd w:val="clear" w:color="auto" w:fill="A8D08D" w:themeFill="accent6" w:themeFillTint="99"/>
            <w:hideMark/>
          </w:tcPr>
          <w:p w14:paraId="2DC06EE6" w14:textId="77777777" w:rsidR="001E35DD" w:rsidRPr="00E16B38" w:rsidRDefault="001E35DD" w:rsidP="000F5A0D">
            <w:pPr>
              <w:jc w:val="center"/>
              <w:rPr>
                <w:b/>
                <w:bCs/>
                <w:sz w:val="20"/>
                <w:szCs w:val="20"/>
              </w:rPr>
            </w:pPr>
            <w:r w:rsidRPr="00E16B38">
              <w:rPr>
                <w:b/>
                <w:bCs/>
                <w:sz w:val="20"/>
                <w:szCs w:val="20"/>
              </w:rPr>
              <w:t>Pārskata tips</w:t>
            </w:r>
          </w:p>
        </w:tc>
        <w:tc>
          <w:tcPr>
            <w:tcW w:w="993" w:type="dxa"/>
            <w:shd w:val="clear" w:color="auto" w:fill="A8D08D" w:themeFill="accent6" w:themeFillTint="99"/>
            <w:hideMark/>
          </w:tcPr>
          <w:p w14:paraId="4A6B303E" w14:textId="77777777" w:rsidR="001E35DD" w:rsidRPr="00E16B38" w:rsidRDefault="001E35DD" w:rsidP="000F5A0D">
            <w:pPr>
              <w:jc w:val="center"/>
              <w:rPr>
                <w:b/>
                <w:bCs/>
                <w:sz w:val="20"/>
                <w:szCs w:val="20"/>
              </w:rPr>
            </w:pPr>
            <w:r w:rsidRPr="00E16B38">
              <w:rPr>
                <w:b/>
                <w:bCs/>
                <w:sz w:val="20"/>
                <w:szCs w:val="20"/>
              </w:rPr>
              <w:t>Pārskata periods</w:t>
            </w:r>
          </w:p>
        </w:tc>
        <w:tc>
          <w:tcPr>
            <w:tcW w:w="2126" w:type="dxa"/>
            <w:vMerge/>
            <w:shd w:val="clear" w:color="auto" w:fill="A8D08D" w:themeFill="accent6" w:themeFillTint="99"/>
            <w:hideMark/>
          </w:tcPr>
          <w:p w14:paraId="0D268754" w14:textId="77777777" w:rsidR="001E35DD" w:rsidRPr="00E16B38" w:rsidRDefault="001E35DD">
            <w:pPr>
              <w:rPr>
                <w:b/>
                <w:bCs/>
                <w:sz w:val="20"/>
                <w:szCs w:val="20"/>
              </w:rPr>
            </w:pPr>
          </w:p>
        </w:tc>
        <w:tc>
          <w:tcPr>
            <w:tcW w:w="1417" w:type="dxa"/>
            <w:vMerge/>
            <w:shd w:val="clear" w:color="auto" w:fill="A8D08D" w:themeFill="accent6" w:themeFillTint="99"/>
            <w:hideMark/>
          </w:tcPr>
          <w:p w14:paraId="1A225BF6" w14:textId="77777777" w:rsidR="001E35DD" w:rsidRPr="00E16B38" w:rsidRDefault="001E35DD">
            <w:pPr>
              <w:rPr>
                <w:b/>
                <w:bCs/>
                <w:sz w:val="20"/>
                <w:szCs w:val="20"/>
              </w:rPr>
            </w:pPr>
          </w:p>
        </w:tc>
        <w:tc>
          <w:tcPr>
            <w:tcW w:w="1701" w:type="dxa"/>
            <w:vMerge/>
            <w:hideMark/>
          </w:tcPr>
          <w:p w14:paraId="332EB9EB" w14:textId="77777777" w:rsidR="001E35DD" w:rsidRPr="00E16B38" w:rsidRDefault="001E35DD">
            <w:pPr>
              <w:rPr>
                <w:b/>
                <w:bCs/>
                <w:sz w:val="20"/>
                <w:szCs w:val="20"/>
              </w:rPr>
            </w:pPr>
          </w:p>
        </w:tc>
        <w:tc>
          <w:tcPr>
            <w:tcW w:w="1276" w:type="dxa"/>
            <w:vMerge/>
            <w:shd w:val="clear" w:color="auto" w:fill="A8D08D" w:themeFill="accent6" w:themeFillTint="99"/>
            <w:hideMark/>
          </w:tcPr>
          <w:p w14:paraId="229F4623" w14:textId="2C4BBA32" w:rsidR="001E35DD" w:rsidRPr="00E16B38" w:rsidRDefault="001E35DD">
            <w:pPr>
              <w:rPr>
                <w:b/>
                <w:bCs/>
                <w:sz w:val="20"/>
                <w:szCs w:val="20"/>
              </w:rPr>
            </w:pPr>
          </w:p>
        </w:tc>
      </w:tr>
      <w:tr w:rsidR="00CC1214" w:rsidRPr="00CC1214" w14:paraId="606C30D0" w14:textId="77777777" w:rsidTr="007B758A">
        <w:trPr>
          <w:trHeight w:val="1999"/>
        </w:trPr>
        <w:tc>
          <w:tcPr>
            <w:tcW w:w="568" w:type="dxa"/>
            <w:hideMark/>
          </w:tcPr>
          <w:p w14:paraId="1DBC2162" w14:textId="77777777" w:rsidR="009E6296" w:rsidRPr="00CC1214" w:rsidRDefault="009E6296" w:rsidP="009E6296">
            <w:pPr>
              <w:rPr>
                <w:sz w:val="20"/>
                <w:szCs w:val="20"/>
              </w:rPr>
            </w:pPr>
            <w:bookmarkStart w:id="0" w:name="_Hlk91578097"/>
            <w:r w:rsidRPr="00CC1214">
              <w:rPr>
                <w:sz w:val="20"/>
                <w:szCs w:val="20"/>
              </w:rPr>
              <w:t>1.</w:t>
            </w:r>
          </w:p>
        </w:tc>
        <w:tc>
          <w:tcPr>
            <w:tcW w:w="1843" w:type="dxa"/>
            <w:hideMark/>
          </w:tcPr>
          <w:p w14:paraId="55597A73" w14:textId="1A63B78F" w:rsidR="009E6296" w:rsidRPr="00CC1214" w:rsidRDefault="00133E4F" w:rsidP="009E6296">
            <w:pPr>
              <w:rPr>
                <w:sz w:val="20"/>
                <w:szCs w:val="20"/>
              </w:rPr>
            </w:pPr>
            <w:r>
              <w:rPr>
                <w:b/>
                <w:bCs/>
                <w:sz w:val="20"/>
                <w:szCs w:val="20"/>
              </w:rPr>
              <w:t>Prakse Nr. 1</w:t>
            </w:r>
          </w:p>
        </w:tc>
        <w:tc>
          <w:tcPr>
            <w:tcW w:w="1275" w:type="dxa"/>
          </w:tcPr>
          <w:p w14:paraId="09FC3CEB" w14:textId="58E54CC6" w:rsidR="009E6296" w:rsidRPr="00CC1214" w:rsidRDefault="009E6296" w:rsidP="009E6296">
            <w:pPr>
              <w:rPr>
                <w:sz w:val="20"/>
                <w:szCs w:val="20"/>
              </w:rPr>
            </w:pPr>
            <w:r w:rsidRPr="00CC1214">
              <w:rPr>
                <w:sz w:val="20"/>
                <w:szCs w:val="20"/>
              </w:rPr>
              <w:t>Pilna apjoma pārbaude</w:t>
            </w:r>
          </w:p>
        </w:tc>
        <w:tc>
          <w:tcPr>
            <w:tcW w:w="1418" w:type="dxa"/>
            <w:hideMark/>
          </w:tcPr>
          <w:p w14:paraId="64BB836A" w14:textId="2C13ADB8" w:rsidR="009E6296" w:rsidRPr="00CC1214" w:rsidRDefault="009E6296" w:rsidP="009E6296">
            <w:pPr>
              <w:rPr>
                <w:sz w:val="20"/>
                <w:szCs w:val="20"/>
                <w:highlight w:val="yellow"/>
              </w:rPr>
            </w:pPr>
            <w:r w:rsidRPr="00CC1214">
              <w:rPr>
                <w:sz w:val="20"/>
                <w:szCs w:val="20"/>
              </w:rPr>
              <w:t>Viens uzdevums</w:t>
            </w:r>
          </w:p>
        </w:tc>
        <w:tc>
          <w:tcPr>
            <w:tcW w:w="1701" w:type="dxa"/>
            <w:hideMark/>
          </w:tcPr>
          <w:p w14:paraId="7D66035C" w14:textId="6BA62D0F" w:rsidR="009E6296" w:rsidRPr="00CC1214" w:rsidRDefault="00F4754F" w:rsidP="009E6296">
            <w:pPr>
              <w:rPr>
                <w:sz w:val="20"/>
                <w:szCs w:val="20"/>
                <w:highlight w:val="yellow"/>
              </w:rPr>
            </w:pPr>
            <w:r w:rsidRPr="004748C2">
              <w:rPr>
                <w:sz w:val="20"/>
                <w:szCs w:val="20"/>
              </w:rPr>
              <w:t>Kapitālsabiedrība, kuras pārvedami vērtspapīri ir iekļauti regulētajā tirgū</w:t>
            </w:r>
          </w:p>
        </w:tc>
        <w:tc>
          <w:tcPr>
            <w:tcW w:w="1417" w:type="dxa"/>
            <w:hideMark/>
          </w:tcPr>
          <w:p w14:paraId="78829B9C" w14:textId="77777777" w:rsidR="00213A03" w:rsidRPr="00213A03" w:rsidRDefault="00213A03" w:rsidP="00213A03">
            <w:pPr>
              <w:rPr>
                <w:sz w:val="20"/>
                <w:szCs w:val="20"/>
              </w:rPr>
            </w:pPr>
            <w:r w:rsidRPr="00213A03">
              <w:rPr>
                <w:sz w:val="20"/>
                <w:szCs w:val="20"/>
              </w:rPr>
              <w:t>Konsolidētais gada pārskats un</w:t>
            </w:r>
          </w:p>
          <w:p w14:paraId="4D9BECE9" w14:textId="45989D11" w:rsidR="009E6296" w:rsidRPr="00CC1214" w:rsidRDefault="00213A03" w:rsidP="00213A03">
            <w:pPr>
              <w:rPr>
                <w:sz w:val="20"/>
                <w:szCs w:val="20"/>
              </w:rPr>
            </w:pPr>
            <w:r w:rsidRPr="00213A03">
              <w:rPr>
                <w:sz w:val="20"/>
                <w:szCs w:val="20"/>
              </w:rPr>
              <w:t>atsevišķais gada pārskats</w:t>
            </w:r>
          </w:p>
        </w:tc>
        <w:tc>
          <w:tcPr>
            <w:tcW w:w="993" w:type="dxa"/>
            <w:hideMark/>
          </w:tcPr>
          <w:p w14:paraId="71DC96A9" w14:textId="4D0BDAF4" w:rsidR="009E6296" w:rsidRPr="00CC1214" w:rsidRDefault="009E6296" w:rsidP="009E6296">
            <w:pPr>
              <w:rPr>
                <w:sz w:val="20"/>
                <w:szCs w:val="20"/>
              </w:rPr>
            </w:pPr>
            <w:r w:rsidRPr="00CC1214">
              <w:rPr>
                <w:sz w:val="20"/>
                <w:szCs w:val="20"/>
              </w:rPr>
              <w:t>202</w:t>
            </w:r>
            <w:r w:rsidR="00213A03">
              <w:rPr>
                <w:sz w:val="20"/>
                <w:szCs w:val="20"/>
              </w:rPr>
              <w:t>4</w:t>
            </w:r>
            <w:r w:rsidRPr="00CC1214">
              <w:rPr>
                <w:sz w:val="20"/>
                <w:szCs w:val="20"/>
              </w:rPr>
              <w:t>.</w:t>
            </w:r>
          </w:p>
          <w:p w14:paraId="368CC070" w14:textId="77777777" w:rsidR="009E6296" w:rsidRPr="00CC1214" w:rsidRDefault="009E6296" w:rsidP="009E6296">
            <w:pPr>
              <w:rPr>
                <w:sz w:val="20"/>
                <w:szCs w:val="20"/>
                <w:highlight w:val="yellow"/>
              </w:rPr>
            </w:pPr>
            <w:r w:rsidRPr="00CC1214">
              <w:rPr>
                <w:sz w:val="20"/>
                <w:szCs w:val="20"/>
              </w:rPr>
              <w:t>pārskata gads</w:t>
            </w:r>
          </w:p>
        </w:tc>
        <w:tc>
          <w:tcPr>
            <w:tcW w:w="2126" w:type="dxa"/>
            <w:tcBorders>
              <w:bottom w:val="single" w:sz="8" w:space="0" w:color="4472C4" w:themeColor="accent5"/>
            </w:tcBorders>
          </w:tcPr>
          <w:p w14:paraId="50BF6A05" w14:textId="56A7499A" w:rsidR="009E6296" w:rsidRPr="00CC1214" w:rsidRDefault="009E6296" w:rsidP="009E6296">
            <w:pPr>
              <w:rPr>
                <w:sz w:val="20"/>
                <w:szCs w:val="20"/>
                <w:highlight w:val="yellow"/>
              </w:rPr>
            </w:pPr>
            <w:r w:rsidRPr="00CC1214">
              <w:rPr>
                <w:sz w:val="20"/>
                <w:szCs w:val="20"/>
              </w:rPr>
              <w:t>Trūkumi nav konstatēti.</w:t>
            </w:r>
          </w:p>
        </w:tc>
        <w:tc>
          <w:tcPr>
            <w:tcW w:w="1417" w:type="dxa"/>
          </w:tcPr>
          <w:p w14:paraId="5A5319C8" w14:textId="50F074AB" w:rsidR="009E6296" w:rsidRPr="00CC1214" w:rsidRDefault="009E6296" w:rsidP="009E6296">
            <w:pPr>
              <w:rPr>
                <w:sz w:val="20"/>
                <w:szCs w:val="20"/>
              </w:rPr>
            </w:pPr>
            <w:r w:rsidRPr="00CC1214">
              <w:rPr>
                <w:sz w:val="20"/>
                <w:szCs w:val="20"/>
              </w:rPr>
              <w:t>-</w:t>
            </w:r>
          </w:p>
        </w:tc>
        <w:tc>
          <w:tcPr>
            <w:tcW w:w="1701" w:type="dxa"/>
          </w:tcPr>
          <w:p w14:paraId="4110F0F0" w14:textId="4EE69D23" w:rsidR="009E6296" w:rsidRPr="00CC1214" w:rsidRDefault="009E6296" w:rsidP="009E6296">
            <w:pPr>
              <w:rPr>
                <w:sz w:val="20"/>
                <w:szCs w:val="20"/>
              </w:rPr>
            </w:pPr>
            <w:r w:rsidRPr="00CC1214">
              <w:rPr>
                <w:sz w:val="20"/>
                <w:szCs w:val="20"/>
              </w:rPr>
              <w:t>-</w:t>
            </w:r>
          </w:p>
        </w:tc>
        <w:tc>
          <w:tcPr>
            <w:tcW w:w="1276" w:type="dxa"/>
            <w:hideMark/>
          </w:tcPr>
          <w:p w14:paraId="41F7F484" w14:textId="078A517A" w:rsidR="009E6296" w:rsidRPr="00CC1214" w:rsidRDefault="009E6296" w:rsidP="009E6296">
            <w:pPr>
              <w:rPr>
                <w:sz w:val="20"/>
                <w:szCs w:val="20"/>
                <w:highlight w:val="yellow"/>
              </w:rPr>
            </w:pPr>
            <w:r w:rsidRPr="00CC1214">
              <w:rPr>
                <w:sz w:val="20"/>
                <w:szCs w:val="20"/>
              </w:rPr>
              <w:t>1.kategorija</w:t>
            </w:r>
          </w:p>
        </w:tc>
      </w:tr>
      <w:tr w:rsidR="00B52188" w:rsidRPr="003224AC" w14:paraId="05D07BA7" w14:textId="77777777" w:rsidTr="007B758A">
        <w:trPr>
          <w:trHeight w:val="1999"/>
        </w:trPr>
        <w:tc>
          <w:tcPr>
            <w:tcW w:w="568" w:type="dxa"/>
          </w:tcPr>
          <w:p w14:paraId="4EB654B9" w14:textId="0113B266" w:rsidR="00B52188" w:rsidRPr="003224AC" w:rsidRDefault="002408C3" w:rsidP="00B52188">
            <w:pPr>
              <w:rPr>
                <w:sz w:val="20"/>
                <w:szCs w:val="20"/>
              </w:rPr>
            </w:pPr>
            <w:r>
              <w:rPr>
                <w:sz w:val="20"/>
                <w:szCs w:val="20"/>
              </w:rPr>
              <w:t>2</w:t>
            </w:r>
            <w:r w:rsidR="00B52188" w:rsidRPr="003224AC">
              <w:rPr>
                <w:sz w:val="20"/>
                <w:szCs w:val="20"/>
              </w:rPr>
              <w:t>.</w:t>
            </w:r>
          </w:p>
        </w:tc>
        <w:tc>
          <w:tcPr>
            <w:tcW w:w="1843" w:type="dxa"/>
          </w:tcPr>
          <w:p w14:paraId="43DD1FAA" w14:textId="7E85A484" w:rsidR="00B52188" w:rsidRDefault="00133E4F" w:rsidP="00B52188">
            <w:pPr>
              <w:rPr>
                <w:b/>
                <w:bCs/>
                <w:color w:val="000000" w:themeColor="text1"/>
                <w:sz w:val="20"/>
                <w:szCs w:val="20"/>
              </w:rPr>
            </w:pPr>
            <w:r>
              <w:rPr>
                <w:b/>
                <w:bCs/>
                <w:color w:val="000000" w:themeColor="text1"/>
                <w:sz w:val="20"/>
                <w:szCs w:val="20"/>
              </w:rPr>
              <w:t>Prakse Nr. 2</w:t>
            </w:r>
          </w:p>
        </w:tc>
        <w:tc>
          <w:tcPr>
            <w:tcW w:w="1275" w:type="dxa"/>
          </w:tcPr>
          <w:p w14:paraId="15148A29" w14:textId="5BCAA2EE" w:rsidR="00B52188" w:rsidRPr="001E35DD" w:rsidRDefault="00B52188" w:rsidP="00B52188">
            <w:pPr>
              <w:rPr>
                <w:sz w:val="20"/>
                <w:szCs w:val="20"/>
              </w:rPr>
            </w:pPr>
            <w:r w:rsidRPr="001E35DD">
              <w:rPr>
                <w:sz w:val="20"/>
                <w:szCs w:val="20"/>
              </w:rPr>
              <w:t>Pilna apjoma pārbaude</w:t>
            </w:r>
          </w:p>
        </w:tc>
        <w:tc>
          <w:tcPr>
            <w:tcW w:w="1418" w:type="dxa"/>
          </w:tcPr>
          <w:p w14:paraId="500512B9" w14:textId="07D95FCD" w:rsidR="00B52188" w:rsidRPr="003224AC" w:rsidRDefault="00B52188" w:rsidP="00B52188">
            <w:pPr>
              <w:rPr>
                <w:sz w:val="20"/>
                <w:szCs w:val="20"/>
              </w:rPr>
            </w:pPr>
            <w:r w:rsidRPr="003224AC">
              <w:rPr>
                <w:sz w:val="20"/>
                <w:szCs w:val="20"/>
              </w:rPr>
              <w:t>Viens uzdevums</w:t>
            </w:r>
          </w:p>
        </w:tc>
        <w:tc>
          <w:tcPr>
            <w:tcW w:w="1701" w:type="dxa"/>
          </w:tcPr>
          <w:p w14:paraId="6DAC1626" w14:textId="56A625DF" w:rsidR="00B52188" w:rsidRDefault="00002A01" w:rsidP="00B52188">
            <w:pPr>
              <w:rPr>
                <w:color w:val="000000" w:themeColor="text1"/>
                <w:sz w:val="20"/>
                <w:szCs w:val="20"/>
              </w:rPr>
            </w:pPr>
            <w:r w:rsidRPr="00002A01">
              <w:rPr>
                <w:color w:val="000000" w:themeColor="text1"/>
                <w:sz w:val="20"/>
                <w:szCs w:val="20"/>
              </w:rPr>
              <w:t>Kapitālsabiedrība, kuras pārvedami vērtspapīri ir iekļauti regulētajā tirgū</w:t>
            </w:r>
          </w:p>
        </w:tc>
        <w:tc>
          <w:tcPr>
            <w:tcW w:w="1417" w:type="dxa"/>
          </w:tcPr>
          <w:p w14:paraId="7DDAB2ED" w14:textId="7411B624" w:rsidR="00B52188" w:rsidRPr="00D33B76" w:rsidRDefault="00B52188" w:rsidP="00B52188">
            <w:pPr>
              <w:rPr>
                <w:color w:val="000000" w:themeColor="text1"/>
                <w:sz w:val="20"/>
                <w:szCs w:val="20"/>
              </w:rPr>
            </w:pPr>
            <w:r w:rsidRPr="00D33B76">
              <w:rPr>
                <w:color w:val="000000" w:themeColor="text1"/>
                <w:sz w:val="20"/>
                <w:szCs w:val="20"/>
              </w:rPr>
              <w:t>Gada pārskats</w:t>
            </w:r>
          </w:p>
        </w:tc>
        <w:tc>
          <w:tcPr>
            <w:tcW w:w="993" w:type="dxa"/>
          </w:tcPr>
          <w:p w14:paraId="66857F28" w14:textId="2E754F5D" w:rsidR="00B52188" w:rsidRPr="00D33B76" w:rsidRDefault="00B52188" w:rsidP="00B52188">
            <w:pPr>
              <w:rPr>
                <w:color w:val="000000" w:themeColor="text1"/>
                <w:sz w:val="20"/>
                <w:szCs w:val="20"/>
              </w:rPr>
            </w:pPr>
            <w:r w:rsidRPr="00D33B76">
              <w:rPr>
                <w:color w:val="000000" w:themeColor="text1"/>
                <w:sz w:val="20"/>
                <w:szCs w:val="20"/>
              </w:rPr>
              <w:t>202</w:t>
            </w:r>
            <w:r w:rsidR="00A16812">
              <w:rPr>
                <w:color w:val="000000" w:themeColor="text1"/>
                <w:sz w:val="20"/>
                <w:szCs w:val="20"/>
              </w:rPr>
              <w:t>4</w:t>
            </w:r>
            <w:r w:rsidRPr="00D33B76">
              <w:rPr>
                <w:color w:val="000000" w:themeColor="text1"/>
                <w:sz w:val="20"/>
                <w:szCs w:val="20"/>
              </w:rPr>
              <w:t>.</w:t>
            </w:r>
          </w:p>
          <w:p w14:paraId="4A0F2981" w14:textId="2A6C19F1" w:rsidR="00B52188" w:rsidRPr="00D33B76" w:rsidRDefault="00B52188" w:rsidP="00B52188">
            <w:pPr>
              <w:rPr>
                <w:color w:val="000000" w:themeColor="text1"/>
                <w:sz w:val="20"/>
                <w:szCs w:val="20"/>
              </w:rPr>
            </w:pPr>
            <w:r w:rsidRPr="00D33B76">
              <w:rPr>
                <w:color w:val="000000" w:themeColor="text1"/>
                <w:sz w:val="20"/>
                <w:szCs w:val="20"/>
              </w:rPr>
              <w:t>pārskata gads</w:t>
            </w:r>
          </w:p>
        </w:tc>
        <w:tc>
          <w:tcPr>
            <w:tcW w:w="2126" w:type="dxa"/>
            <w:tcBorders>
              <w:bottom w:val="single" w:sz="8" w:space="0" w:color="4472C4" w:themeColor="accent5"/>
            </w:tcBorders>
          </w:tcPr>
          <w:p w14:paraId="42B819FF" w14:textId="102C086C" w:rsidR="00B52188" w:rsidRDefault="00B52188" w:rsidP="00B52188">
            <w:pPr>
              <w:rPr>
                <w:sz w:val="20"/>
                <w:szCs w:val="20"/>
              </w:rPr>
            </w:pPr>
            <w:r>
              <w:rPr>
                <w:sz w:val="20"/>
                <w:szCs w:val="20"/>
              </w:rPr>
              <w:t>Trūkum</w:t>
            </w:r>
            <w:r w:rsidRPr="00CB296E">
              <w:rPr>
                <w:sz w:val="20"/>
                <w:szCs w:val="20"/>
              </w:rPr>
              <w:t>i</w:t>
            </w:r>
            <w:r>
              <w:rPr>
                <w:sz w:val="20"/>
                <w:szCs w:val="20"/>
              </w:rPr>
              <w:t xml:space="preserve"> nav konstatēti.</w:t>
            </w:r>
          </w:p>
        </w:tc>
        <w:tc>
          <w:tcPr>
            <w:tcW w:w="1417" w:type="dxa"/>
          </w:tcPr>
          <w:p w14:paraId="2BCA2733" w14:textId="044BD0DC" w:rsidR="00B52188" w:rsidRDefault="00B52188" w:rsidP="00B52188">
            <w:pPr>
              <w:rPr>
                <w:color w:val="000000" w:themeColor="text1"/>
                <w:sz w:val="20"/>
                <w:szCs w:val="20"/>
              </w:rPr>
            </w:pPr>
            <w:r>
              <w:rPr>
                <w:color w:val="000000" w:themeColor="text1"/>
                <w:sz w:val="20"/>
                <w:szCs w:val="20"/>
              </w:rPr>
              <w:t>-</w:t>
            </w:r>
          </w:p>
        </w:tc>
        <w:tc>
          <w:tcPr>
            <w:tcW w:w="1701" w:type="dxa"/>
          </w:tcPr>
          <w:p w14:paraId="054EA806" w14:textId="6B982F2F" w:rsidR="00B52188" w:rsidRDefault="00B52188" w:rsidP="00B52188">
            <w:pPr>
              <w:rPr>
                <w:color w:val="000000" w:themeColor="text1"/>
                <w:sz w:val="20"/>
                <w:szCs w:val="20"/>
              </w:rPr>
            </w:pPr>
            <w:r>
              <w:rPr>
                <w:color w:val="000000" w:themeColor="text1"/>
                <w:sz w:val="20"/>
                <w:szCs w:val="20"/>
              </w:rPr>
              <w:t>-</w:t>
            </w:r>
          </w:p>
        </w:tc>
        <w:tc>
          <w:tcPr>
            <w:tcW w:w="1276" w:type="dxa"/>
          </w:tcPr>
          <w:p w14:paraId="35908F26" w14:textId="4856FECE" w:rsidR="00B52188" w:rsidRPr="009E6296" w:rsidRDefault="00B52188" w:rsidP="00B52188">
            <w:pPr>
              <w:rPr>
                <w:color w:val="000000" w:themeColor="text1"/>
                <w:sz w:val="20"/>
                <w:szCs w:val="20"/>
              </w:rPr>
            </w:pPr>
            <w:r w:rsidRPr="009E6296">
              <w:rPr>
                <w:color w:val="000000" w:themeColor="text1"/>
                <w:sz w:val="20"/>
                <w:szCs w:val="20"/>
              </w:rPr>
              <w:t>1.kategorija</w:t>
            </w:r>
          </w:p>
        </w:tc>
      </w:tr>
      <w:tr w:rsidR="00B52188" w:rsidRPr="003224AC" w14:paraId="0DAA04D0" w14:textId="77777777" w:rsidTr="007B758A">
        <w:trPr>
          <w:trHeight w:val="1999"/>
        </w:trPr>
        <w:tc>
          <w:tcPr>
            <w:tcW w:w="568" w:type="dxa"/>
          </w:tcPr>
          <w:p w14:paraId="48B70EF7" w14:textId="49E2A01E" w:rsidR="00B52188" w:rsidRPr="003224AC" w:rsidRDefault="002408C3" w:rsidP="00B52188">
            <w:pPr>
              <w:rPr>
                <w:sz w:val="20"/>
                <w:szCs w:val="20"/>
              </w:rPr>
            </w:pPr>
            <w:r>
              <w:rPr>
                <w:sz w:val="20"/>
                <w:szCs w:val="20"/>
              </w:rPr>
              <w:lastRenderedPageBreak/>
              <w:t>3</w:t>
            </w:r>
            <w:r w:rsidR="00B52188" w:rsidRPr="003224AC">
              <w:rPr>
                <w:sz w:val="20"/>
                <w:szCs w:val="20"/>
              </w:rPr>
              <w:t>.</w:t>
            </w:r>
          </w:p>
        </w:tc>
        <w:tc>
          <w:tcPr>
            <w:tcW w:w="1843" w:type="dxa"/>
          </w:tcPr>
          <w:p w14:paraId="31C5FB23" w14:textId="6805454D" w:rsidR="00B52188" w:rsidRDefault="00133E4F" w:rsidP="00B52188">
            <w:pPr>
              <w:rPr>
                <w:b/>
                <w:bCs/>
                <w:color w:val="000000" w:themeColor="text1"/>
                <w:sz w:val="20"/>
                <w:szCs w:val="20"/>
              </w:rPr>
            </w:pPr>
            <w:r>
              <w:rPr>
                <w:b/>
                <w:bCs/>
                <w:color w:val="000000" w:themeColor="text1"/>
                <w:sz w:val="20"/>
                <w:szCs w:val="20"/>
              </w:rPr>
              <w:t>Prakse Nr. 3</w:t>
            </w:r>
          </w:p>
        </w:tc>
        <w:tc>
          <w:tcPr>
            <w:tcW w:w="1275" w:type="dxa"/>
          </w:tcPr>
          <w:p w14:paraId="13404CA7" w14:textId="31C762F2" w:rsidR="00B52188" w:rsidRPr="001E35DD" w:rsidRDefault="00B52188" w:rsidP="00B52188">
            <w:pPr>
              <w:rPr>
                <w:sz w:val="20"/>
                <w:szCs w:val="20"/>
              </w:rPr>
            </w:pPr>
            <w:r w:rsidRPr="001E35DD">
              <w:rPr>
                <w:sz w:val="20"/>
                <w:szCs w:val="20"/>
              </w:rPr>
              <w:t>Pilna apjoma pārbaude</w:t>
            </w:r>
          </w:p>
        </w:tc>
        <w:tc>
          <w:tcPr>
            <w:tcW w:w="1418" w:type="dxa"/>
          </w:tcPr>
          <w:p w14:paraId="24C95B77" w14:textId="492B9A28" w:rsidR="00B52188" w:rsidRPr="003224AC" w:rsidRDefault="00B52188" w:rsidP="00B52188">
            <w:pPr>
              <w:rPr>
                <w:sz w:val="20"/>
                <w:szCs w:val="20"/>
              </w:rPr>
            </w:pPr>
            <w:r w:rsidRPr="003224AC">
              <w:rPr>
                <w:sz w:val="20"/>
                <w:szCs w:val="20"/>
              </w:rPr>
              <w:t>Viens uzdevums</w:t>
            </w:r>
          </w:p>
        </w:tc>
        <w:tc>
          <w:tcPr>
            <w:tcW w:w="1701" w:type="dxa"/>
          </w:tcPr>
          <w:p w14:paraId="5BC6B1EE" w14:textId="1EA6E103" w:rsidR="00B52188" w:rsidRDefault="00AB5CC1" w:rsidP="00B52188">
            <w:pPr>
              <w:rPr>
                <w:color w:val="000000" w:themeColor="text1"/>
                <w:sz w:val="20"/>
                <w:szCs w:val="20"/>
              </w:rPr>
            </w:pPr>
            <w:r>
              <w:rPr>
                <w:sz w:val="20"/>
                <w:szCs w:val="20"/>
              </w:rPr>
              <w:t>Finanšu institūcija</w:t>
            </w:r>
          </w:p>
        </w:tc>
        <w:tc>
          <w:tcPr>
            <w:tcW w:w="1417" w:type="dxa"/>
          </w:tcPr>
          <w:p w14:paraId="70A4DF29" w14:textId="472AED99" w:rsidR="00B52188" w:rsidRPr="00D33B76" w:rsidRDefault="00B52188" w:rsidP="00B52188">
            <w:pPr>
              <w:rPr>
                <w:color w:val="000000" w:themeColor="text1"/>
                <w:sz w:val="20"/>
                <w:szCs w:val="20"/>
              </w:rPr>
            </w:pPr>
            <w:r w:rsidRPr="00D33B76">
              <w:rPr>
                <w:color w:val="000000" w:themeColor="text1"/>
                <w:sz w:val="20"/>
                <w:szCs w:val="20"/>
              </w:rPr>
              <w:t>Gada pārskats</w:t>
            </w:r>
          </w:p>
        </w:tc>
        <w:tc>
          <w:tcPr>
            <w:tcW w:w="993" w:type="dxa"/>
          </w:tcPr>
          <w:p w14:paraId="54E9DA47" w14:textId="6FEA3901" w:rsidR="00B52188" w:rsidRPr="00D33B76" w:rsidRDefault="00B52188" w:rsidP="00B52188">
            <w:pPr>
              <w:rPr>
                <w:color w:val="000000" w:themeColor="text1"/>
                <w:sz w:val="20"/>
                <w:szCs w:val="20"/>
              </w:rPr>
            </w:pPr>
            <w:r w:rsidRPr="00D33B76">
              <w:rPr>
                <w:color w:val="000000" w:themeColor="text1"/>
                <w:sz w:val="20"/>
                <w:szCs w:val="20"/>
              </w:rPr>
              <w:t>202</w:t>
            </w:r>
            <w:r w:rsidR="005D2BD6">
              <w:rPr>
                <w:color w:val="000000" w:themeColor="text1"/>
                <w:sz w:val="20"/>
                <w:szCs w:val="20"/>
              </w:rPr>
              <w:t>4</w:t>
            </w:r>
            <w:r w:rsidRPr="00D33B76">
              <w:rPr>
                <w:color w:val="000000" w:themeColor="text1"/>
                <w:sz w:val="20"/>
                <w:szCs w:val="20"/>
              </w:rPr>
              <w:t>.</w:t>
            </w:r>
          </w:p>
          <w:p w14:paraId="001210B9" w14:textId="2A67AB83" w:rsidR="00B52188" w:rsidRPr="00D33B76" w:rsidRDefault="00B52188" w:rsidP="00B52188">
            <w:pPr>
              <w:rPr>
                <w:color w:val="000000" w:themeColor="text1"/>
                <w:sz w:val="20"/>
                <w:szCs w:val="20"/>
              </w:rPr>
            </w:pPr>
            <w:r w:rsidRPr="00D33B76">
              <w:rPr>
                <w:color w:val="000000" w:themeColor="text1"/>
                <w:sz w:val="20"/>
                <w:szCs w:val="20"/>
              </w:rPr>
              <w:t>pārskata gads</w:t>
            </w:r>
          </w:p>
        </w:tc>
        <w:tc>
          <w:tcPr>
            <w:tcW w:w="2126" w:type="dxa"/>
            <w:tcBorders>
              <w:bottom w:val="single" w:sz="8" w:space="0" w:color="4472C4" w:themeColor="accent5"/>
            </w:tcBorders>
          </w:tcPr>
          <w:p w14:paraId="5018412E" w14:textId="662B92A2" w:rsidR="00B52188" w:rsidRDefault="00B52188" w:rsidP="00B52188">
            <w:pPr>
              <w:rPr>
                <w:sz w:val="20"/>
                <w:szCs w:val="20"/>
              </w:rPr>
            </w:pPr>
            <w:r>
              <w:rPr>
                <w:sz w:val="20"/>
                <w:szCs w:val="20"/>
              </w:rPr>
              <w:t>Trūkum</w:t>
            </w:r>
            <w:r w:rsidRPr="00CB296E">
              <w:rPr>
                <w:sz w:val="20"/>
                <w:szCs w:val="20"/>
              </w:rPr>
              <w:t>i</w:t>
            </w:r>
            <w:r>
              <w:rPr>
                <w:sz w:val="20"/>
                <w:szCs w:val="20"/>
              </w:rPr>
              <w:t xml:space="preserve"> nav konstatēti.</w:t>
            </w:r>
          </w:p>
        </w:tc>
        <w:tc>
          <w:tcPr>
            <w:tcW w:w="1417" w:type="dxa"/>
          </w:tcPr>
          <w:p w14:paraId="4D894F7D" w14:textId="30A54D15" w:rsidR="00B52188" w:rsidRDefault="00B52188" w:rsidP="00B52188">
            <w:pPr>
              <w:rPr>
                <w:color w:val="000000" w:themeColor="text1"/>
                <w:sz w:val="20"/>
                <w:szCs w:val="20"/>
              </w:rPr>
            </w:pPr>
            <w:r>
              <w:rPr>
                <w:color w:val="000000" w:themeColor="text1"/>
                <w:sz w:val="20"/>
                <w:szCs w:val="20"/>
              </w:rPr>
              <w:t>-</w:t>
            </w:r>
          </w:p>
        </w:tc>
        <w:tc>
          <w:tcPr>
            <w:tcW w:w="1701" w:type="dxa"/>
          </w:tcPr>
          <w:p w14:paraId="27BB445B" w14:textId="508AFE9D" w:rsidR="00B52188" w:rsidRDefault="00B52188" w:rsidP="00B52188">
            <w:pPr>
              <w:rPr>
                <w:color w:val="000000" w:themeColor="text1"/>
                <w:sz w:val="20"/>
                <w:szCs w:val="20"/>
              </w:rPr>
            </w:pPr>
            <w:r>
              <w:rPr>
                <w:color w:val="000000" w:themeColor="text1"/>
                <w:sz w:val="20"/>
                <w:szCs w:val="20"/>
              </w:rPr>
              <w:t>-</w:t>
            </w:r>
          </w:p>
        </w:tc>
        <w:tc>
          <w:tcPr>
            <w:tcW w:w="1276" w:type="dxa"/>
          </w:tcPr>
          <w:p w14:paraId="563A17A5" w14:textId="7F569AA8" w:rsidR="00B52188" w:rsidRPr="009E6296" w:rsidRDefault="00B52188" w:rsidP="00B52188">
            <w:pPr>
              <w:rPr>
                <w:color w:val="000000" w:themeColor="text1"/>
                <w:sz w:val="20"/>
                <w:szCs w:val="20"/>
              </w:rPr>
            </w:pPr>
            <w:r w:rsidRPr="009E6296">
              <w:rPr>
                <w:color w:val="000000" w:themeColor="text1"/>
                <w:sz w:val="20"/>
                <w:szCs w:val="20"/>
              </w:rPr>
              <w:t>1.kategorija</w:t>
            </w:r>
          </w:p>
        </w:tc>
      </w:tr>
      <w:tr w:rsidR="00C867FB" w:rsidRPr="003224AC" w14:paraId="432834B2" w14:textId="77777777" w:rsidTr="007B758A">
        <w:trPr>
          <w:trHeight w:val="1939"/>
        </w:trPr>
        <w:tc>
          <w:tcPr>
            <w:tcW w:w="568" w:type="dxa"/>
          </w:tcPr>
          <w:p w14:paraId="57EB0192" w14:textId="36FD37AD" w:rsidR="00B52188" w:rsidRPr="003224AC" w:rsidRDefault="002408C3" w:rsidP="00B52188">
            <w:pPr>
              <w:rPr>
                <w:sz w:val="20"/>
                <w:szCs w:val="20"/>
              </w:rPr>
            </w:pPr>
            <w:r>
              <w:rPr>
                <w:sz w:val="20"/>
                <w:szCs w:val="20"/>
              </w:rPr>
              <w:t>4</w:t>
            </w:r>
            <w:r w:rsidR="00B52188" w:rsidRPr="003224AC">
              <w:rPr>
                <w:sz w:val="20"/>
                <w:szCs w:val="20"/>
              </w:rPr>
              <w:t>.</w:t>
            </w:r>
          </w:p>
        </w:tc>
        <w:tc>
          <w:tcPr>
            <w:tcW w:w="1843" w:type="dxa"/>
          </w:tcPr>
          <w:p w14:paraId="6DA81ED8" w14:textId="2D4083CC" w:rsidR="00B52188" w:rsidRDefault="00133E4F" w:rsidP="00B52188">
            <w:pPr>
              <w:rPr>
                <w:b/>
                <w:bCs/>
                <w:color w:val="000000" w:themeColor="text1"/>
                <w:sz w:val="20"/>
                <w:szCs w:val="20"/>
              </w:rPr>
            </w:pPr>
            <w:r>
              <w:rPr>
                <w:b/>
                <w:bCs/>
                <w:color w:val="000000" w:themeColor="text1"/>
                <w:sz w:val="20"/>
                <w:szCs w:val="20"/>
              </w:rPr>
              <w:t>Prakse Nr. 4</w:t>
            </w:r>
          </w:p>
        </w:tc>
        <w:tc>
          <w:tcPr>
            <w:tcW w:w="1275" w:type="dxa"/>
          </w:tcPr>
          <w:p w14:paraId="65B43861" w14:textId="5A46667F" w:rsidR="00B52188" w:rsidRPr="001E35DD" w:rsidRDefault="00B52188" w:rsidP="00B52188">
            <w:pPr>
              <w:rPr>
                <w:sz w:val="20"/>
                <w:szCs w:val="20"/>
              </w:rPr>
            </w:pPr>
            <w:r w:rsidRPr="001E35DD">
              <w:rPr>
                <w:sz w:val="20"/>
                <w:szCs w:val="20"/>
              </w:rPr>
              <w:t>Pilna apjoma pārbaude</w:t>
            </w:r>
          </w:p>
        </w:tc>
        <w:tc>
          <w:tcPr>
            <w:tcW w:w="1418" w:type="dxa"/>
          </w:tcPr>
          <w:p w14:paraId="4DE3E171" w14:textId="59D6FC1D" w:rsidR="00B52188" w:rsidRPr="00990774" w:rsidRDefault="00B52188" w:rsidP="00B52188">
            <w:pPr>
              <w:rPr>
                <w:sz w:val="20"/>
                <w:szCs w:val="20"/>
              </w:rPr>
            </w:pPr>
            <w:r w:rsidRPr="00990774">
              <w:rPr>
                <w:sz w:val="20"/>
                <w:szCs w:val="20"/>
              </w:rPr>
              <w:t>Viens uzdevums</w:t>
            </w:r>
          </w:p>
        </w:tc>
        <w:tc>
          <w:tcPr>
            <w:tcW w:w="1701" w:type="dxa"/>
          </w:tcPr>
          <w:p w14:paraId="3A4C7DB9" w14:textId="0AE01813" w:rsidR="00B52188" w:rsidRPr="00990774" w:rsidRDefault="00990774" w:rsidP="00B52188">
            <w:pPr>
              <w:rPr>
                <w:color w:val="000000" w:themeColor="text1"/>
                <w:sz w:val="20"/>
                <w:szCs w:val="20"/>
              </w:rPr>
            </w:pPr>
            <w:r w:rsidRPr="00990774">
              <w:rPr>
                <w:sz w:val="20"/>
                <w:szCs w:val="20"/>
              </w:rPr>
              <w:t>Finanšu institūcija</w:t>
            </w:r>
          </w:p>
        </w:tc>
        <w:tc>
          <w:tcPr>
            <w:tcW w:w="1417" w:type="dxa"/>
          </w:tcPr>
          <w:p w14:paraId="237FFB99" w14:textId="468F58AA" w:rsidR="00B52188" w:rsidRPr="00990774" w:rsidRDefault="00B52188" w:rsidP="00B52188">
            <w:pPr>
              <w:rPr>
                <w:color w:val="000000" w:themeColor="text1"/>
                <w:sz w:val="20"/>
                <w:szCs w:val="20"/>
              </w:rPr>
            </w:pPr>
            <w:r w:rsidRPr="00990774">
              <w:rPr>
                <w:color w:val="000000" w:themeColor="text1"/>
                <w:sz w:val="20"/>
                <w:szCs w:val="20"/>
              </w:rPr>
              <w:t>Gada pārskats</w:t>
            </w:r>
          </w:p>
        </w:tc>
        <w:tc>
          <w:tcPr>
            <w:tcW w:w="993" w:type="dxa"/>
          </w:tcPr>
          <w:p w14:paraId="0449459B" w14:textId="449398C6" w:rsidR="00B52188" w:rsidRPr="00990774" w:rsidRDefault="00B52188" w:rsidP="00B52188">
            <w:pPr>
              <w:rPr>
                <w:color w:val="000000" w:themeColor="text1"/>
                <w:sz w:val="20"/>
                <w:szCs w:val="20"/>
              </w:rPr>
            </w:pPr>
            <w:r w:rsidRPr="00990774">
              <w:rPr>
                <w:color w:val="000000" w:themeColor="text1"/>
                <w:sz w:val="20"/>
                <w:szCs w:val="20"/>
              </w:rPr>
              <w:t>202</w:t>
            </w:r>
            <w:r w:rsidR="00990774" w:rsidRPr="00990774">
              <w:rPr>
                <w:color w:val="000000" w:themeColor="text1"/>
                <w:sz w:val="20"/>
                <w:szCs w:val="20"/>
              </w:rPr>
              <w:t>4</w:t>
            </w:r>
            <w:r w:rsidRPr="00990774">
              <w:rPr>
                <w:color w:val="000000" w:themeColor="text1"/>
                <w:sz w:val="20"/>
                <w:szCs w:val="20"/>
              </w:rPr>
              <w:t>.</w:t>
            </w:r>
          </w:p>
          <w:p w14:paraId="7FE3EACE" w14:textId="0A00089B" w:rsidR="00B52188" w:rsidRPr="00990774" w:rsidRDefault="00B52188" w:rsidP="00B52188">
            <w:pPr>
              <w:rPr>
                <w:color w:val="000000" w:themeColor="text1"/>
                <w:sz w:val="20"/>
                <w:szCs w:val="20"/>
              </w:rPr>
            </w:pPr>
            <w:r w:rsidRPr="00990774">
              <w:rPr>
                <w:color w:val="000000" w:themeColor="text1"/>
                <w:sz w:val="20"/>
                <w:szCs w:val="20"/>
              </w:rPr>
              <w:t>pārskata gads</w:t>
            </w:r>
          </w:p>
        </w:tc>
        <w:tc>
          <w:tcPr>
            <w:tcW w:w="2126" w:type="dxa"/>
          </w:tcPr>
          <w:p w14:paraId="52CBADC3" w14:textId="291420C5" w:rsidR="0016587D" w:rsidRDefault="00F1224F" w:rsidP="0016587D">
            <w:pPr>
              <w:rPr>
                <w:sz w:val="20"/>
                <w:szCs w:val="20"/>
              </w:rPr>
            </w:pPr>
            <w:r w:rsidRPr="0016587D">
              <w:rPr>
                <w:sz w:val="20"/>
                <w:szCs w:val="20"/>
              </w:rPr>
              <w:t>Praks</w:t>
            </w:r>
            <w:r>
              <w:rPr>
                <w:sz w:val="20"/>
                <w:szCs w:val="20"/>
              </w:rPr>
              <w:t>es</w:t>
            </w:r>
            <w:r w:rsidRPr="0016587D">
              <w:rPr>
                <w:sz w:val="20"/>
                <w:szCs w:val="20"/>
              </w:rPr>
              <w:t xml:space="preserve"> </w:t>
            </w:r>
            <w:r w:rsidR="0016587D" w:rsidRPr="0016587D">
              <w:rPr>
                <w:sz w:val="20"/>
                <w:szCs w:val="20"/>
              </w:rPr>
              <w:t>reģistrēt</w:t>
            </w:r>
            <w:r>
              <w:rPr>
                <w:sz w:val="20"/>
                <w:szCs w:val="20"/>
              </w:rPr>
              <w:t>ais</w:t>
            </w:r>
            <w:r w:rsidR="0016587D" w:rsidRPr="0016587D">
              <w:rPr>
                <w:sz w:val="20"/>
                <w:szCs w:val="20"/>
              </w:rPr>
              <w:t xml:space="preserve"> pamatdarbības veids (reģistrētais NACE kods) neatbilst faktiskajam pamatdarbības veidam.</w:t>
            </w:r>
          </w:p>
          <w:p w14:paraId="65B3D2F3" w14:textId="52C5C823" w:rsidR="00B52188" w:rsidRPr="00990774" w:rsidRDefault="00B52188" w:rsidP="0016587D">
            <w:pPr>
              <w:rPr>
                <w:sz w:val="20"/>
                <w:szCs w:val="20"/>
              </w:rPr>
            </w:pPr>
          </w:p>
        </w:tc>
        <w:tc>
          <w:tcPr>
            <w:tcW w:w="1417" w:type="dxa"/>
          </w:tcPr>
          <w:p w14:paraId="5B04A91B" w14:textId="579847AA" w:rsidR="008C301E" w:rsidRPr="008C301E" w:rsidRDefault="008C301E" w:rsidP="008C301E">
            <w:pPr>
              <w:rPr>
                <w:color w:val="000000" w:themeColor="text1"/>
                <w:sz w:val="20"/>
                <w:szCs w:val="20"/>
              </w:rPr>
            </w:pPr>
            <w:r w:rsidRPr="008C301E">
              <w:rPr>
                <w:color w:val="000000" w:themeColor="text1"/>
                <w:sz w:val="20"/>
                <w:szCs w:val="20"/>
              </w:rPr>
              <w:t>1.Starptautiskā kvalitātes vadības standarta 16.t) punkts, 29</w:t>
            </w:r>
            <w:r w:rsidR="00280101">
              <w:rPr>
                <w:color w:val="000000" w:themeColor="text1"/>
                <w:sz w:val="20"/>
                <w:szCs w:val="20"/>
              </w:rPr>
              <w:t>. </w:t>
            </w:r>
            <w:r w:rsidRPr="008C301E">
              <w:rPr>
                <w:color w:val="000000" w:themeColor="text1"/>
                <w:sz w:val="20"/>
                <w:szCs w:val="20"/>
              </w:rPr>
              <w:t>punkts, A62. punkts;</w:t>
            </w:r>
          </w:p>
          <w:p w14:paraId="725E00D5" w14:textId="77777777" w:rsidR="008C301E" w:rsidRPr="008C301E" w:rsidRDefault="008C301E" w:rsidP="008C301E">
            <w:pPr>
              <w:rPr>
                <w:color w:val="000000" w:themeColor="text1"/>
                <w:sz w:val="20"/>
                <w:szCs w:val="20"/>
              </w:rPr>
            </w:pPr>
          </w:p>
          <w:p w14:paraId="1B52EF08" w14:textId="77777777" w:rsidR="008C301E" w:rsidRPr="008C301E" w:rsidRDefault="008C301E" w:rsidP="008C301E">
            <w:pPr>
              <w:rPr>
                <w:color w:val="000000" w:themeColor="text1"/>
                <w:sz w:val="20"/>
                <w:szCs w:val="20"/>
              </w:rPr>
            </w:pPr>
            <w:r w:rsidRPr="008C301E">
              <w:rPr>
                <w:color w:val="000000" w:themeColor="text1"/>
                <w:sz w:val="20"/>
                <w:szCs w:val="20"/>
              </w:rPr>
              <w:t>Likuma “Par nodokļiem un nodevām” 15.panta pirmās daļas 15.punkts</w:t>
            </w:r>
          </w:p>
          <w:p w14:paraId="57A8BEED" w14:textId="77777777" w:rsidR="008C301E" w:rsidRPr="008C301E" w:rsidRDefault="008C301E" w:rsidP="008C301E">
            <w:pPr>
              <w:rPr>
                <w:color w:val="000000" w:themeColor="text1"/>
                <w:sz w:val="20"/>
                <w:szCs w:val="20"/>
              </w:rPr>
            </w:pPr>
          </w:p>
          <w:p w14:paraId="66BECACA" w14:textId="50EBF808" w:rsidR="002A73C7" w:rsidRDefault="008C301E" w:rsidP="008C301E">
            <w:pPr>
              <w:rPr>
                <w:color w:val="000000" w:themeColor="text1"/>
                <w:sz w:val="20"/>
                <w:szCs w:val="20"/>
              </w:rPr>
            </w:pPr>
            <w:r w:rsidRPr="008C301E">
              <w:rPr>
                <w:color w:val="000000" w:themeColor="text1"/>
                <w:sz w:val="20"/>
                <w:szCs w:val="20"/>
              </w:rPr>
              <w:t>Ētikas kodeksa</w:t>
            </w:r>
            <w:r w:rsidR="003F7CE6">
              <w:rPr>
                <w:rStyle w:val="FootnoteReference"/>
                <w:color w:val="000000" w:themeColor="text1"/>
                <w:sz w:val="20"/>
                <w:szCs w:val="20"/>
              </w:rPr>
              <w:footnoteReference w:id="5"/>
            </w:r>
          </w:p>
          <w:p w14:paraId="7E852BC1" w14:textId="40768A37" w:rsidR="00D66B03" w:rsidRDefault="008C301E" w:rsidP="008C301E">
            <w:pPr>
              <w:rPr>
                <w:color w:val="000000" w:themeColor="text1"/>
                <w:sz w:val="20"/>
                <w:szCs w:val="20"/>
              </w:rPr>
            </w:pPr>
            <w:r w:rsidRPr="008C301E">
              <w:rPr>
                <w:color w:val="000000" w:themeColor="text1"/>
                <w:sz w:val="20"/>
                <w:szCs w:val="20"/>
              </w:rPr>
              <w:t>110.1 A1 (a), R111.1,</w:t>
            </w:r>
          </w:p>
          <w:p w14:paraId="3EB0A6B1" w14:textId="55EC7EF4" w:rsidR="00B52188" w:rsidRDefault="008C301E" w:rsidP="008C301E">
            <w:pPr>
              <w:rPr>
                <w:color w:val="000000" w:themeColor="text1"/>
                <w:sz w:val="20"/>
                <w:szCs w:val="20"/>
              </w:rPr>
            </w:pPr>
            <w:r w:rsidRPr="008C301E">
              <w:rPr>
                <w:color w:val="000000" w:themeColor="text1"/>
                <w:sz w:val="20"/>
                <w:szCs w:val="20"/>
              </w:rPr>
              <w:t>115. punkts, 115.1 A1 punkts</w:t>
            </w:r>
          </w:p>
        </w:tc>
        <w:tc>
          <w:tcPr>
            <w:tcW w:w="1701" w:type="dxa"/>
          </w:tcPr>
          <w:p w14:paraId="19F7BC27" w14:textId="2992985A" w:rsidR="00B52188" w:rsidRDefault="00727FD9" w:rsidP="00B52188">
            <w:pPr>
              <w:rPr>
                <w:color w:val="000000" w:themeColor="text1"/>
                <w:sz w:val="20"/>
                <w:szCs w:val="20"/>
              </w:rPr>
            </w:pPr>
            <w:r w:rsidRPr="00727FD9">
              <w:rPr>
                <w:color w:val="000000" w:themeColor="text1"/>
                <w:sz w:val="20"/>
                <w:szCs w:val="20"/>
              </w:rPr>
              <w:t>Izvērtēt savu pamatdarbības veidu un veikt atbilstošas korekcijas VID EDS</w:t>
            </w:r>
            <w:r w:rsidR="00390458">
              <w:rPr>
                <w:rStyle w:val="FootnoteReference"/>
                <w:color w:val="000000" w:themeColor="text1"/>
                <w:sz w:val="20"/>
                <w:szCs w:val="20"/>
              </w:rPr>
              <w:footnoteReference w:id="6"/>
            </w:r>
            <w:r w:rsidRPr="00727FD9">
              <w:rPr>
                <w:color w:val="000000" w:themeColor="text1"/>
                <w:sz w:val="20"/>
                <w:szCs w:val="20"/>
              </w:rPr>
              <w:t>.</w:t>
            </w:r>
          </w:p>
        </w:tc>
        <w:tc>
          <w:tcPr>
            <w:tcW w:w="1276" w:type="dxa"/>
          </w:tcPr>
          <w:p w14:paraId="4FF9F491" w14:textId="7A4609BD" w:rsidR="00B52188" w:rsidRPr="009E6296" w:rsidRDefault="00F03868" w:rsidP="00B52188">
            <w:pPr>
              <w:rPr>
                <w:color w:val="000000" w:themeColor="text1"/>
                <w:sz w:val="20"/>
                <w:szCs w:val="20"/>
              </w:rPr>
            </w:pPr>
            <w:r>
              <w:rPr>
                <w:color w:val="000000" w:themeColor="text1"/>
                <w:sz w:val="20"/>
                <w:szCs w:val="20"/>
              </w:rPr>
              <w:t>3</w:t>
            </w:r>
            <w:r w:rsidR="00B52188" w:rsidRPr="009E6296">
              <w:rPr>
                <w:color w:val="000000" w:themeColor="text1"/>
                <w:sz w:val="20"/>
                <w:szCs w:val="20"/>
              </w:rPr>
              <w:t>.kategorija</w:t>
            </w:r>
          </w:p>
        </w:tc>
      </w:tr>
      <w:tr w:rsidR="00885D8E" w:rsidRPr="003224AC" w14:paraId="09B34E16" w14:textId="77777777" w:rsidTr="007B758A">
        <w:trPr>
          <w:trHeight w:val="1999"/>
        </w:trPr>
        <w:tc>
          <w:tcPr>
            <w:tcW w:w="568" w:type="dxa"/>
          </w:tcPr>
          <w:p w14:paraId="0EFE8CE8" w14:textId="77777777" w:rsidR="00885D8E" w:rsidRDefault="00885D8E" w:rsidP="00B52188">
            <w:pPr>
              <w:rPr>
                <w:sz w:val="20"/>
                <w:szCs w:val="20"/>
              </w:rPr>
            </w:pPr>
          </w:p>
        </w:tc>
        <w:tc>
          <w:tcPr>
            <w:tcW w:w="1843" w:type="dxa"/>
          </w:tcPr>
          <w:p w14:paraId="56706597" w14:textId="77777777" w:rsidR="00885D8E" w:rsidRDefault="00885D8E" w:rsidP="00B52188">
            <w:pPr>
              <w:rPr>
                <w:b/>
                <w:bCs/>
                <w:color w:val="000000" w:themeColor="text1"/>
                <w:sz w:val="20"/>
                <w:szCs w:val="20"/>
              </w:rPr>
            </w:pPr>
          </w:p>
        </w:tc>
        <w:tc>
          <w:tcPr>
            <w:tcW w:w="1275" w:type="dxa"/>
          </w:tcPr>
          <w:p w14:paraId="30F62C5F" w14:textId="77777777" w:rsidR="00885D8E" w:rsidRPr="001E35DD" w:rsidRDefault="00885D8E" w:rsidP="00B52188">
            <w:pPr>
              <w:rPr>
                <w:sz w:val="20"/>
                <w:szCs w:val="20"/>
              </w:rPr>
            </w:pPr>
          </w:p>
        </w:tc>
        <w:tc>
          <w:tcPr>
            <w:tcW w:w="1418" w:type="dxa"/>
          </w:tcPr>
          <w:p w14:paraId="6F10FC2B" w14:textId="77777777" w:rsidR="00885D8E" w:rsidRPr="00990774" w:rsidRDefault="00885D8E" w:rsidP="00B52188">
            <w:pPr>
              <w:rPr>
                <w:sz w:val="20"/>
                <w:szCs w:val="20"/>
              </w:rPr>
            </w:pPr>
          </w:p>
        </w:tc>
        <w:tc>
          <w:tcPr>
            <w:tcW w:w="1701" w:type="dxa"/>
          </w:tcPr>
          <w:p w14:paraId="79A6FEA5" w14:textId="77777777" w:rsidR="00885D8E" w:rsidRPr="00990774" w:rsidRDefault="00885D8E" w:rsidP="00B52188">
            <w:pPr>
              <w:rPr>
                <w:sz w:val="20"/>
                <w:szCs w:val="20"/>
              </w:rPr>
            </w:pPr>
          </w:p>
        </w:tc>
        <w:tc>
          <w:tcPr>
            <w:tcW w:w="1417" w:type="dxa"/>
          </w:tcPr>
          <w:p w14:paraId="1683F80E" w14:textId="77777777" w:rsidR="00885D8E" w:rsidRPr="00990774" w:rsidRDefault="00885D8E" w:rsidP="00B52188">
            <w:pPr>
              <w:rPr>
                <w:color w:val="000000" w:themeColor="text1"/>
                <w:sz w:val="20"/>
                <w:szCs w:val="20"/>
              </w:rPr>
            </w:pPr>
          </w:p>
        </w:tc>
        <w:tc>
          <w:tcPr>
            <w:tcW w:w="993" w:type="dxa"/>
          </w:tcPr>
          <w:p w14:paraId="5FCFEB27" w14:textId="77777777" w:rsidR="00885D8E" w:rsidRPr="00990774" w:rsidRDefault="00885D8E" w:rsidP="00B52188">
            <w:pPr>
              <w:rPr>
                <w:color w:val="000000" w:themeColor="text1"/>
                <w:sz w:val="20"/>
                <w:szCs w:val="20"/>
              </w:rPr>
            </w:pPr>
          </w:p>
        </w:tc>
        <w:tc>
          <w:tcPr>
            <w:tcW w:w="2126" w:type="dxa"/>
          </w:tcPr>
          <w:p w14:paraId="467D2E9B" w14:textId="2EA5985F" w:rsidR="00885D8E" w:rsidRPr="0036322F" w:rsidRDefault="0016587D" w:rsidP="00B52188">
            <w:pPr>
              <w:rPr>
                <w:sz w:val="20"/>
                <w:szCs w:val="20"/>
              </w:rPr>
            </w:pPr>
            <w:r>
              <w:rPr>
                <w:sz w:val="20"/>
                <w:szCs w:val="20"/>
              </w:rPr>
              <w:t>Prakse VID EDS nav</w:t>
            </w:r>
            <w:r w:rsidRPr="00653F04">
              <w:rPr>
                <w:sz w:val="20"/>
                <w:szCs w:val="20"/>
              </w:rPr>
              <w:t xml:space="preserve"> </w:t>
            </w:r>
            <w:r>
              <w:rPr>
                <w:sz w:val="20"/>
                <w:szCs w:val="20"/>
              </w:rPr>
              <w:t>reģistrējusi</w:t>
            </w:r>
            <w:r w:rsidRPr="00653F04">
              <w:rPr>
                <w:sz w:val="20"/>
                <w:szCs w:val="20"/>
              </w:rPr>
              <w:t xml:space="preserve"> </w:t>
            </w:r>
            <w:r w:rsidR="00653F04" w:rsidRPr="00653F04">
              <w:rPr>
                <w:sz w:val="20"/>
                <w:szCs w:val="20"/>
              </w:rPr>
              <w:t>struktūrvienība</w:t>
            </w:r>
            <w:r>
              <w:rPr>
                <w:sz w:val="20"/>
                <w:szCs w:val="20"/>
              </w:rPr>
              <w:t>s</w:t>
            </w:r>
            <w:r w:rsidR="00653F04" w:rsidRPr="00653F04">
              <w:rPr>
                <w:sz w:val="20"/>
                <w:szCs w:val="20"/>
              </w:rPr>
              <w:t xml:space="preserve"> </w:t>
            </w:r>
            <w:r w:rsidR="00705C06" w:rsidRPr="00653F04">
              <w:rPr>
                <w:sz w:val="20"/>
                <w:szCs w:val="20"/>
              </w:rPr>
              <w:t>adres</w:t>
            </w:r>
            <w:r w:rsidR="00705C06">
              <w:rPr>
                <w:sz w:val="20"/>
                <w:szCs w:val="20"/>
              </w:rPr>
              <w:t>i</w:t>
            </w:r>
            <w:r w:rsidR="00653F04" w:rsidRPr="00653F04">
              <w:rPr>
                <w:sz w:val="20"/>
                <w:szCs w:val="20"/>
              </w:rPr>
              <w:t xml:space="preserve">, kurā tika veikta klātienes </w:t>
            </w:r>
            <w:r w:rsidR="00705C06">
              <w:rPr>
                <w:sz w:val="20"/>
                <w:szCs w:val="20"/>
              </w:rPr>
              <w:t xml:space="preserve">kvalitātes kontroles </w:t>
            </w:r>
            <w:r w:rsidR="00653F04" w:rsidRPr="00653F04">
              <w:rPr>
                <w:sz w:val="20"/>
                <w:szCs w:val="20"/>
              </w:rPr>
              <w:t>pārbaude.</w:t>
            </w:r>
            <w:r w:rsidR="00705C06">
              <w:rPr>
                <w:sz w:val="20"/>
                <w:szCs w:val="20"/>
              </w:rPr>
              <w:t xml:space="preserve"> </w:t>
            </w:r>
          </w:p>
        </w:tc>
        <w:tc>
          <w:tcPr>
            <w:tcW w:w="1417" w:type="dxa"/>
          </w:tcPr>
          <w:p w14:paraId="24F6D250" w14:textId="080221D3" w:rsidR="005B67B0" w:rsidRPr="005B67B0" w:rsidRDefault="005B67B0" w:rsidP="005B67B0">
            <w:pPr>
              <w:rPr>
                <w:color w:val="000000" w:themeColor="text1"/>
                <w:sz w:val="20"/>
                <w:szCs w:val="20"/>
              </w:rPr>
            </w:pPr>
            <w:r w:rsidRPr="005B67B0">
              <w:rPr>
                <w:color w:val="000000" w:themeColor="text1"/>
                <w:sz w:val="20"/>
                <w:szCs w:val="20"/>
              </w:rPr>
              <w:t>1.Starptautiskā kvalitātes vadības standarta 16.t) punkts, 29</w:t>
            </w:r>
            <w:r w:rsidR="00280101">
              <w:rPr>
                <w:color w:val="000000" w:themeColor="text1"/>
                <w:sz w:val="20"/>
                <w:szCs w:val="20"/>
              </w:rPr>
              <w:t>. </w:t>
            </w:r>
            <w:r w:rsidRPr="005B67B0">
              <w:rPr>
                <w:color w:val="000000" w:themeColor="text1"/>
                <w:sz w:val="20"/>
                <w:szCs w:val="20"/>
              </w:rPr>
              <w:t>punkts, A62. punkts;</w:t>
            </w:r>
          </w:p>
          <w:p w14:paraId="2BEF0076" w14:textId="77777777" w:rsidR="005B67B0" w:rsidRPr="005B67B0" w:rsidRDefault="005B67B0" w:rsidP="005B67B0">
            <w:pPr>
              <w:rPr>
                <w:color w:val="000000" w:themeColor="text1"/>
                <w:sz w:val="20"/>
                <w:szCs w:val="20"/>
              </w:rPr>
            </w:pPr>
          </w:p>
          <w:p w14:paraId="0AF16797" w14:textId="77777777" w:rsidR="005B67B0" w:rsidRPr="005B67B0" w:rsidRDefault="005B67B0" w:rsidP="005B67B0">
            <w:pPr>
              <w:rPr>
                <w:color w:val="000000" w:themeColor="text1"/>
                <w:sz w:val="20"/>
                <w:szCs w:val="20"/>
              </w:rPr>
            </w:pPr>
            <w:r w:rsidRPr="005B67B0">
              <w:rPr>
                <w:color w:val="000000" w:themeColor="text1"/>
                <w:sz w:val="20"/>
                <w:szCs w:val="20"/>
              </w:rPr>
              <w:t xml:space="preserve">Likums “Par nodokļiem un nodevām” </w:t>
            </w:r>
          </w:p>
          <w:p w14:paraId="6A1FD296" w14:textId="77777777" w:rsidR="005B67B0" w:rsidRPr="005B67B0" w:rsidRDefault="005B67B0" w:rsidP="005B67B0">
            <w:pPr>
              <w:rPr>
                <w:color w:val="000000" w:themeColor="text1"/>
                <w:sz w:val="20"/>
                <w:szCs w:val="20"/>
              </w:rPr>
            </w:pPr>
          </w:p>
          <w:p w14:paraId="4B71B850" w14:textId="61DEB050" w:rsidR="00885D8E" w:rsidRPr="008C301E" w:rsidRDefault="005B67B0" w:rsidP="005B67B0">
            <w:pPr>
              <w:rPr>
                <w:color w:val="000000" w:themeColor="text1"/>
                <w:sz w:val="20"/>
                <w:szCs w:val="20"/>
              </w:rPr>
            </w:pPr>
            <w:r w:rsidRPr="005B67B0">
              <w:rPr>
                <w:color w:val="000000" w:themeColor="text1"/>
                <w:sz w:val="20"/>
                <w:szCs w:val="20"/>
              </w:rPr>
              <w:t>Ētikas kodeksa 110.1 A1 (a), R111.1, 115. punkts, 115.1 A1 punkts</w:t>
            </w:r>
          </w:p>
        </w:tc>
        <w:tc>
          <w:tcPr>
            <w:tcW w:w="1701" w:type="dxa"/>
          </w:tcPr>
          <w:p w14:paraId="3DC968B1" w14:textId="2E1AB6AF" w:rsidR="00904B98" w:rsidRPr="00904B98" w:rsidRDefault="00904B98" w:rsidP="00904B98">
            <w:pPr>
              <w:rPr>
                <w:color w:val="000000" w:themeColor="text1"/>
                <w:sz w:val="20"/>
                <w:szCs w:val="20"/>
              </w:rPr>
            </w:pPr>
            <w:r w:rsidRPr="00904B98">
              <w:rPr>
                <w:color w:val="000000" w:themeColor="text1"/>
                <w:sz w:val="20"/>
                <w:szCs w:val="20"/>
              </w:rPr>
              <w:t xml:space="preserve">Lai nodrošinātu atbilstību likuma “Par nodokļiem un nodevām” prasībām un VID uzstādījumam, pārskatīt visas </w:t>
            </w:r>
            <w:r>
              <w:rPr>
                <w:color w:val="000000" w:themeColor="text1"/>
                <w:sz w:val="20"/>
                <w:szCs w:val="20"/>
              </w:rPr>
              <w:t>prakses</w:t>
            </w:r>
            <w:r w:rsidRPr="00904B98">
              <w:rPr>
                <w:color w:val="000000" w:themeColor="text1"/>
                <w:sz w:val="20"/>
                <w:szCs w:val="20"/>
              </w:rPr>
              <w:t xml:space="preserve"> aktīv</w:t>
            </w:r>
            <w:r>
              <w:rPr>
                <w:color w:val="000000" w:themeColor="text1"/>
                <w:sz w:val="20"/>
                <w:szCs w:val="20"/>
              </w:rPr>
              <w:t>ā</w:t>
            </w:r>
            <w:r w:rsidRPr="00904B98">
              <w:rPr>
                <w:color w:val="000000" w:themeColor="text1"/>
                <w:sz w:val="20"/>
                <w:szCs w:val="20"/>
              </w:rPr>
              <w:t>s struktūrvienības un veikt atbilstošus precizējumus</w:t>
            </w:r>
            <w:r w:rsidR="00107A6D">
              <w:rPr>
                <w:color w:val="000000" w:themeColor="text1"/>
                <w:sz w:val="20"/>
                <w:szCs w:val="20"/>
              </w:rPr>
              <w:t xml:space="preserve"> </w:t>
            </w:r>
          </w:p>
          <w:p w14:paraId="64B8C441" w14:textId="1AC22C95" w:rsidR="00885D8E" w:rsidRPr="00727FD9" w:rsidRDefault="00107A6D" w:rsidP="00904B98">
            <w:pPr>
              <w:rPr>
                <w:color w:val="000000" w:themeColor="text1"/>
                <w:sz w:val="20"/>
                <w:szCs w:val="20"/>
              </w:rPr>
            </w:pPr>
            <w:r>
              <w:rPr>
                <w:color w:val="000000" w:themeColor="text1"/>
                <w:sz w:val="20"/>
                <w:szCs w:val="20"/>
              </w:rPr>
              <w:t>v</w:t>
            </w:r>
            <w:r w:rsidR="00904B98" w:rsidRPr="00904B98">
              <w:rPr>
                <w:color w:val="000000" w:themeColor="text1"/>
                <w:sz w:val="20"/>
                <w:szCs w:val="20"/>
              </w:rPr>
              <w:t>ai arī apsvērt juridiskās adreses maiņu.</w:t>
            </w:r>
          </w:p>
        </w:tc>
        <w:tc>
          <w:tcPr>
            <w:tcW w:w="1276" w:type="dxa"/>
          </w:tcPr>
          <w:p w14:paraId="1F4DE0BC" w14:textId="77777777" w:rsidR="00885D8E" w:rsidRDefault="00885D8E" w:rsidP="00B52188">
            <w:pPr>
              <w:rPr>
                <w:color w:val="000000" w:themeColor="text1"/>
                <w:sz w:val="20"/>
                <w:szCs w:val="20"/>
              </w:rPr>
            </w:pPr>
          </w:p>
        </w:tc>
      </w:tr>
      <w:tr w:rsidR="00350BAB" w:rsidRPr="003224AC" w14:paraId="56700415" w14:textId="77777777" w:rsidTr="007B758A">
        <w:trPr>
          <w:trHeight w:val="1999"/>
        </w:trPr>
        <w:tc>
          <w:tcPr>
            <w:tcW w:w="568" w:type="dxa"/>
          </w:tcPr>
          <w:p w14:paraId="30B17C1B" w14:textId="77777777" w:rsidR="00350BAB" w:rsidRDefault="00350BAB" w:rsidP="00B52188">
            <w:pPr>
              <w:rPr>
                <w:sz w:val="20"/>
                <w:szCs w:val="20"/>
              </w:rPr>
            </w:pPr>
          </w:p>
        </w:tc>
        <w:tc>
          <w:tcPr>
            <w:tcW w:w="1843" w:type="dxa"/>
          </w:tcPr>
          <w:p w14:paraId="23F2F399" w14:textId="77777777" w:rsidR="00350BAB" w:rsidRDefault="00350BAB" w:rsidP="00B52188">
            <w:pPr>
              <w:rPr>
                <w:b/>
                <w:bCs/>
                <w:color w:val="000000" w:themeColor="text1"/>
                <w:sz w:val="20"/>
                <w:szCs w:val="20"/>
              </w:rPr>
            </w:pPr>
          </w:p>
        </w:tc>
        <w:tc>
          <w:tcPr>
            <w:tcW w:w="1275" w:type="dxa"/>
          </w:tcPr>
          <w:p w14:paraId="3A77FB9D" w14:textId="77777777" w:rsidR="00350BAB" w:rsidRPr="001E35DD" w:rsidRDefault="00350BAB" w:rsidP="00B52188">
            <w:pPr>
              <w:rPr>
                <w:sz w:val="20"/>
                <w:szCs w:val="20"/>
              </w:rPr>
            </w:pPr>
          </w:p>
        </w:tc>
        <w:tc>
          <w:tcPr>
            <w:tcW w:w="1418" w:type="dxa"/>
          </w:tcPr>
          <w:p w14:paraId="27FC975E" w14:textId="77777777" w:rsidR="00350BAB" w:rsidRPr="00990774" w:rsidRDefault="00350BAB" w:rsidP="00B52188">
            <w:pPr>
              <w:rPr>
                <w:sz w:val="20"/>
                <w:szCs w:val="20"/>
              </w:rPr>
            </w:pPr>
          </w:p>
        </w:tc>
        <w:tc>
          <w:tcPr>
            <w:tcW w:w="1701" w:type="dxa"/>
          </w:tcPr>
          <w:p w14:paraId="2047C91E" w14:textId="77777777" w:rsidR="00350BAB" w:rsidRPr="00990774" w:rsidRDefault="00350BAB" w:rsidP="00B52188">
            <w:pPr>
              <w:rPr>
                <w:sz w:val="20"/>
                <w:szCs w:val="20"/>
              </w:rPr>
            </w:pPr>
          </w:p>
        </w:tc>
        <w:tc>
          <w:tcPr>
            <w:tcW w:w="1417" w:type="dxa"/>
          </w:tcPr>
          <w:p w14:paraId="7CFB40D0" w14:textId="77777777" w:rsidR="00350BAB" w:rsidRPr="00990774" w:rsidRDefault="00350BAB" w:rsidP="00B52188">
            <w:pPr>
              <w:rPr>
                <w:color w:val="000000" w:themeColor="text1"/>
                <w:sz w:val="20"/>
                <w:szCs w:val="20"/>
              </w:rPr>
            </w:pPr>
          </w:p>
        </w:tc>
        <w:tc>
          <w:tcPr>
            <w:tcW w:w="993" w:type="dxa"/>
          </w:tcPr>
          <w:p w14:paraId="4DF25F40" w14:textId="77777777" w:rsidR="00350BAB" w:rsidRPr="00990774" w:rsidRDefault="00350BAB" w:rsidP="00B52188">
            <w:pPr>
              <w:rPr>
                <w:color w:val="000000" w:themeColor="text1"/>
                <w:sz w:val="20"/>
                <w:szCs w:val="20"/>
              </w:rPr>
            </w:pPr>
          </w:p>
        </w:tc>
        <w:tc>
          <w:tcPr>
            <w:tcW w:w="2126" w:type="dxa"/>
          </w:tcPr>
          <w:p w14:paraId="2DA18239" w14:textId="3B15951A" w:rsidR="001317A4" w:rsidRDefault="001317A4" w:rsidP="00B52188">
            <w:pPr>
              <w:rPr>
                <w:sz w:val="20"/>
                <w:szCs w:val="20"/>
              </w:rPr>
            </w:pPr>
            <w:r w:rsidRPr="001317A4">
              <w:rPr>
                <w:sz w:val="20"/>
                <w:szCs w:val="20"/>
              </w:rPr>
              <w:t xml:space="preserve">Prakses </w:t>
            </w:r>
            <w:r>
              <w:rPr>
                <w:sz w:val="20"/>
                <w:szCs w:val="20"/>
              </w:rPr>
              <w:t>VID</w:t>
            </w:r>
            <w:r w:rsidRPr="001317A4">
              <w:rPr>
                <w:sz w:val="20"/>
                <w:szCs w:val="20"/>
              </w:rPr>
              <w:t xml:space="preserve"> Nodokļu maksātāju reiting</w:t>
            </w:r>
            <w:r>
              <w:rPr>
                <w:sz w:val="20"/>
                <w:szCs w:val="20"/>
              </w:rPr>
              <w:t xml:space="preserve">a novērtējums </w:t>
            </w:r>
            <w:r w:rsidRPr="001317A4">
              <w:rPr>
                <w:sz w:val="20"/>
                <w:szCs w:val="20"/>
              </w:rPr>
              <w:t>liecina, ka praksei ir identificēti uzlabojami aspekti saistību izpildē.</w:t>
            </w:r>
          </w:p>
          <w:p w14:paraId="663D0578" w14:textId="7882A826" w:rsidR="00350BAB" w:rsidRPr="0036322F" w:rsidRDefault="00350BAB" w:rsidP="00B52188">
            <w:pPr>
              <w:rPr>
                <w:sz w:val="20"/>
                <w:szCs w:val="20"/>
              </w:rPr>
            </w:pPr>
          </w:p>
        </w:tc>
        <w:tc>
          <w:tcPr>
            <w:tcW w:w="1417" w:type="dxa"/>
          </w:tcPr>
          <w:p w14:paraId="5CDFD861" w14:textId="54D83FB1" w:rsidR="006D4E3F" w:rsidRPr="006D4E3F" w:rsidRDefault="006D4E3F" w:rsidP="006D4E3F">
            <w:pPr>
              <w:rPr>
                <w:color w:val="000000" w:themeColor="text1"/>
                <w:sz w:val="20"/>
                <w:szCs w:val="20"/>
              </w:rPr>
            </w:pPr>
            <w:r w:rsidRPr="006D4E3F">
              <w:rPr>
                <w:color w:val="000000" w:themeColor="text1"/>
                <w:sz w:val="20"/>
                <w:szCs w:val="20"/>
              </w:rPr>
              <w:t>1.Starptautiskā kvalitātes vadības standarta 16.t) punkts, 29</w:t>
            </w:r>
            <w:r w:rsidR="00280101">
              <w:rPr>
                <w:color w:val="000000" w:themeColor="text1"/>
                <w:sz w:val="20"/>
                <w:szCs w:val="20"/>
              </w:rPr>
              <w:t>. </w:t>
            </w:r>
            <w:r w:rsidRPr="006D4E3F">
              <w:rPr>
                <w:color w:val="000000" w:themeColor="text1"/>
                <w:sz w:val="20"/>
                <w:szCs w:val="20"/>
              </w:rPr>
              <w:t>punkts, A62. punkts;</w:t>
            </w:r>
          </w:p>
          <w:p w14:paraId="127CF874" w14:textId="77777777" w:rsidR="006D4E3F" w:rsidRPr="006D4E3F" w:rsidRDefault="006D4E3F" w:rsidP="006D4E3F">
            <w:pPr>
              <w:rPr>
                <w:color w:val="000000" w:themeColor="text1"/>
                <w:sz w:val="20"/>
                <w:szCs w:val="20"/>
              </w:rPr>
            </w:pPr>
          </w:p>
          <w:p w14:paraId="4E07CA06" w14:textId="5F542D3D" w:rsidR="00350BAB" w:rsidRPr="008C301E" w:rsidRDefault="006D4E3F" w:rsidP="006D4E3F">
            <w:pPr>
              <w:rPr>
                <w:color w:val="000000" w:themeColor="text1"/>
                <w:sz w:val="20"/>
                <w:szCs w:val="20"/>
              </w:rPr>
            </w:pPr>
            <w:r w:rsidRPr="006D4E3F">
              <w:rPr>
                <w:color w:val="000000" w:themeColor="text1"/>
                <w:sz w:val="20"/>
                <w:szCs w:val="20"/>
              </w:rPr>
              <w:t>Ētikas kodeksa 110.1 A1 (a), R111.1, 115. punkts, 115.1 A1 punkts</w:t>
            </w:r>
          </w:p>
        </w:tc>
        <w:tc>
          <w:tcPr>
            <w:tcW w:w="1701" w:type="dxa"/>
          </w:tcPr>
          <w:p w14:paraId="1BDE2492" w14:textId="26351D62" w:rsidR="00D51319" w:rsidRPr="00D51319" w:rsidRDefault="002507EF" w:rsidP="00D51319">
            <w:pPr>
              <w:rPr>
                <w:sz w:val="20"/>
                <w:szCs w:val="20"/>
              </w:rPr>
            </w:pPr>
            <w:r>
              <w:rPr>
                <w:sz w:val="20"/>
                <w:szCs w:val="20"/>
              </w:rPr>
              <w:t>V</w:t>
            </w:r>
            <w:r w:rsidR="00D51319" w:rsidRPr="00D51319">
              <w:rPr>
                <w:sz w:val="20"/>
                <w:szCs w:val="20"/>
              </w:rPr>
              <w:t>eikt atbilstošas darbības, lai uzlabotu VID noteikto nodokļu maksātāju reitingu.</w:t>
            </w:r>
          </w:p>
        </w:tc>
        <w:tc>
          <w:tcPr>
            <w:tcW w:w="1276" w:type="dxa"/>
          </w:tcPr>
          <w:p w14:paraId="342DA718" w14:textId="77777777" w:rsidR="00350BAB" w:rsidRDefault="00350BAB" w:rsidP="00B52188">
            <w:pPr>
              <w:rPr>
                <w:color w:val="000000" w:themeColor="text1"/>
                <w:sz w:val="20"/>
                <w:szCs w:val="20"/>
              </w:rPr>
            </w:pPr>
          </w:p>
        </w:tc>
      </w:tr>
      <w:tr w:rsidR="005A1512" w:rsidRPr="003224AC" w14:paraId="0C214D0C" w14:textId="77777777" w:rsidTr="007B758A">
        <w:trPr>
          <w:trHeight w:val="805"/>
        </w:trPr>
        <w:tc>
          <w:tcPr>
            <w:tcW w:w="568" w:type="dxa"/>
          </w:tcPr>
          <w:p w14:paraId="5AA11274" w14:textId="77777777" w:rsidR="005A1512" w:rsidRDefault="005A1512" w:rsidP="00B52188">
            <w:pPr>
              <w:rPr>
                <w:sz w:val="20"/>
                <w:szCs w:val="20"/>
              </w:rPr>
            </w:pPr>
          </w:p>
        </w:tc>
        <w:tc>
          <w:tcPr>
            <w:tcW w:w="1843" w:type="dxa"/>
          </w:tcPr>
          <w:p w14:paraId="704DD6D6" w14:textId="77777777" w:rsidR="005A1512" w:rsidRDefault="005A1512" w:rsidP="00B52188">
            <w:pPr>
              <w:rPr>
                <w:b/>
                <w:bCs/>
                <w:color w:val="000000" w:themeColor="text1"/>
                <w:sz w:val="20"/>
                <w:szCs w:val="20"/>
              </w:rPr>
            </w:pPr>
          </w:p>
        </w:tc>
        <w:tc>
          <w:tcPr>
            <w:tcW w:w="1275" w:type="dxa"/>
          </w:tcPr>
          <w:p w14:paraId="7537C2C1" w14:textId="77777777" w:rsidR="005A1512" w:rsidRPr="001E35DD" w:rsidRDefault="005A1512" w:rsidP="00B52188">
            <w:pPr>
              <w:rPr>
                <w:sz w:val="20"/>
                <w:szCs w:val="20"/>
              </w:rPr>
            </w:pPr>
          </w:p>
        </w:tc>
        <w:tc>
          <w:tcPr>
            <w:tcW w:w="1418" w:type="dxa"/>
          </w:tcPr>
          <w:p w14:paraId="77375F6B" w14:textId="77777777" w:rsidR="005A1512" w:rsidRPr="00990774" w:rsidRDefault="005A1512" w:rsidP="00B52188">
            <w:pPr>
              <w:rPr>
                <w:sz w:val="20"/>
                <w:szCs w:val="20"/>
              </w:rPr>
            </w:pPr>
          </w:p>
        </w:tc>
        <w:tc>
          <w:tcPr>
            <w:tcW w:w="1701" w:type="dxa"/>
          </w:tcPr>
          <w:p w14:paraId="22548F13" w14:textId="77777777" w:rsidR="005A1512" w:rsidRPr="00990774" w:rsidRDefault="005A1512" w:rsidP="00B52188">
            <w:pPr>
              <w:rPr>
                <w:sz w:val="20"/>
                <w:szCs w:val="20"/>
              </w:rPr>
            </w:pPr>
          </w:p>
        </w:tc>
        <w:tc>
          <w:tcPr>
            <w:tcW w:w="1417" w:type="dxa"/>
          </w:tcPr>
          <w:p w14:paraId="2101817A" w14:textId="77777777" w:rsidR="005A1512" w:rsidRPr="00990774" w:rsidRDefault="005A1512" w:rsidP="00B52188">
            <w:pPr>
              <w:rPr>
                <w:color w:val="000000" w:themeColor="text1"/>
                <w:sz w:val="20"/>
                <w:szCs w:val="20"/>
              </w:rPr>
            </w:pPr>
          </w:p>
        </w:tc>
        <w:tc>
          <w:tcPr>
            <w:tcW w:w="993" w:type="dxa"/>
          </w:tcPr>
          <w:p w14:paraId="51D0FA4A" w14:textId="77777777" w:rsidR="005A1512" w:rsidRPr="00990774" w:rsidRDefault="005A1512" w:rsidP="00B52188">
            <w:pPr>
              <w:rPr>
                <w:color w:val="000000" w:themeColor="text1"/>
                <w:sz w:val="20"/>
                <w:szCs w:val="20"/>
              </w:rPr>
            </w:pPr>
          </w:p>
        </w:tc>
        <w:tc>
          <w:tcPr>
            <w:tcW w:w="2126" w:type="dxa"/>
          </w:tcPr>
          <w:p w14:paraId="789A2E87" w14:textId="674F86A9" w:rsidR="00131351" w:rsidRDefault="004067C7" w:rsidP="004067C7">
            <w:pPr>
              <w:rPr>
                <w:sz w:val="20"/>
                <w:szCs w:val="20"/>
              </w:rPr>
            </w:pPr>
            <w:r>
              <w:rPr>
                <w:sz w:val="20"/>
                <w:szCs w:val="20"/>
              </w:rPr>
              <w:t>Prakses</w:t>
            </w:r>
            <w:r w:rsidRPr="004067C7">
              <w:rPr>
                <w:sz w:val="20"/>
                <w:szCs w:val="20"/>
              </w:rPr>
              <w:t xml:space="preserve"> izstrādātajās politikās </w:t>
            </w:r>
            <w:r w:rsidR="00045447">
              <w:rPr>
                <w:sz w:val="20"/>
                <w:szCs w:val="20"/>
              </w:rPr>
              <w:t>norādīt</w:t>
            </w:r>
            <w:r w:rsidR="00031D9F">
              <w:rPr>
                <w:sz w:val="20"/>
                <w:szCs w:val="20"/>
              </w:rPr>
              <w:t>ais funkciju deleģējums neatbilst 1.SKVS 20.punktā un Ministru kabineta noteikumu Nr.668 12.punktā minētajām prasībām.</w:t>
            </w:r>
            <w:r w:rsidR="00045447">
              <w:rPr>
                <w:sz w:val="20"/>
                <w:szCs w:val="20"/>
              </w:rPr>
              <w:t xml:space="preserve"> </w:t>
            </w:r>
          </w:p>
          <w:p w14:paraId="591EC1F9" w14:textId="49D20C23" w:rsidR="005A1512" w:rsidRPr="00C53C09" w:rsidRDefault="005A1512" w:rsidP="00B52188">
            <w:pPr>
              <w:rPr>
                <w:sz w:val="20"/>
                <w:szCs w:val="20"/>
              </w:rPr>
            </w:pPr>
          </w:p>
        </w:tc>
        <w:tc>
          <w:tcPr>
            <w:tcW w:w="1417" w:type="dxa"/>
          </w:tcPr>
          <w:p w14:paraId="37535340" w14:textId="22531339" w:rsidR="000247F9" w:rsidRPr="000247F9" w:rsidRDefault="000247F9" w:rsidP="000247F9">
            <w:pPr>
              <w:rPr>
                <w:color w:val="000000" w:themeColor="text1"/>
                <w:sz w:val="20"/>
                <w:szCs w:val="20"/>
              </w:rPr>
            </w:pPr>
            <w:r w:rsidRPr="000247F9">
              <w:rPr>
                <w:color w:val="000000" w:themeColor="text1"/>
                <w:sz w:val="20"/>
                <w:szCs w:val="20"/>
              </w:rPr>
              <w:t>1.Starptautiskā kvalitātes vadības standarta 20.punkts</w:t>
            </w:r>
          </w:p>
          <w:p w14:paraId="12AD8BA7" w14:textId="77777777" w:rsidR="000247F9" w:rsidRPr="000247F9" w:rsidRDefault="000247F9" w:rsidP="000247F9">
            <w:pPr>
              <w:rPr>
                <w:color w:val="000000" w:themeColor="text1"/>
                <w:sz w:val="20"/>
                <w:szCs w:val="20"/>
              </w:rPr>
            </w:pPr>
          </w:p>
          <w:p w14:paraId="0C04462D" w14:textId="68502268" w:rsidR="005A1512" w:rsidRPr="006D4E3F" w:rsidRDefault="003A3407" w:rsidP="000247F9">
            <w:pPr>
              <w:rPr>
                <w:color w:val="000000" w:themeColor="text1"/>
                <w:sz w:val="20"/>
                <w:szCs w:val="20"/>
              </w:rPr>
            </w:pPr>
            <w:r w:rsidRPr="003A3407">
              <w:rPr>
                <w:color w:val="000000" w:themeColor="text1"/>
                <w:sz w:val="20"/>
                <w:szCs w:val="20"/>
              </w:rPr>
              <w:t xml:space="preserve">Ministru kabineta </w:t>
            </w:r>
            <w:r w:rsidR="00CD368E">
              <w:rPr>
                <w:color w:val="000000" w:themeColor="text1"/>
                <w:sz w:val="20"/>
                <w:szCs w:val="20"/>
              </w:rPr>
              <w:t>n</w:t>
            </w:r>
            <w:r w:rsidRPr="003A3407">
              <w:rPr>
                <w:color w:val="000000" w:themeColor="text1"/>
                <w:sz w:val="20"/>
                <w:szCs w:val="20"/>
              </w:rPr>
              <w:t>oteikum</w:t>
            </w:r>
            <w:r w:rsidR="00C365F9">
              <w:rPr>
                <w:color w:val="000000" w:themeColor="text1"/>
                <w:sz w:val="20"/>
                <w:szCs w:val="20"/>
              </w:rPr>
              <w:t>u</w:t>
            </w:r>
            <w:r w:rsidRPr="003A3407">
              <w:rPr>
                <w:color w:val="000000" w:themeColor="text1"/>
                <w:sz w:val="20"/>
                <w:szCs w:val="20"/>
              </w:rPr>
              <w:t xml:space="preserve"> </w:t>
            </w:r>
            <w:r w:rsidRPr="003A3407">
              <w:rPr>
                <w:color w:val="000000" w:themeColor="text1"/>
                <w:sz w:val="20"/>
                <w:szCs w:val="20"/>
              </w:rPr>
              <w:lastRenderedPageBreak/>
              <w:t>Nr.668</w:t>
            </w:r>
            <w:r w:rsidR="00D46D5F">
              <w:rPr>
                <w:rStyle w:val="FootnoteReference"/>
                <w:color w:val="000000" w:themeColor="text1"/>
                <w:sz w:val="20"/>
                <w:szCs w:val="20"/>
              </w:rPr>
              <w:footnoteReference w:id="7"/>
            </w:r>
            <w:r w:rsidR="000247F9" w:rsidRPr="000247F9">
              <w:rPr>
                <w:color w:val="000000" w:themeColor="text1"/>
                <w:sz w:val="20"/>
                <w:szCs w:val="20"/>
              </w:rPr>
              <w:t xml:space="preserve"> 12.punkts</w:t>
            </w:r>
          </w:p>
        </w:tc>
        <w:tc>
          <w:tcPr>
            <w:tcW w:w="1701" w:type="dxa"/>
          </w:tcPr>
          <w:p w14:paraId="1B04E239" w14:textId="5E68E2E6" w:rsidR="005A1512" w:rsidRPr="00D51319" w:rsidRDefault="00E94CDA" w:rsidP="004E471A">
            <w:pPr>
              <w:rPr>
                <w:sz w:val="20"/>
                <w:szCs w:val="20"/>
              </w:rPr>
            </w:pPr>
            <w:r w:rsidRPr="00E94CDA">
              <w:rPr>
                <w:sz w:val="20"/>
                <w:szCs w:val="20"/>
              </w:rPr>
              <w:lastRenderedPageBreak/>
              <w:t xml:space="preserve">Pārstrādāt </w:t>
            </w:r>
            <w:r>
              <w:rPr>
                <w:sz w:val="20"/>
                <w:szCs w:val="20"/>
              </w:rPr>
              <w:t>prakses</w:t>
            </w:r>
            <w:r w:rsidRPr="00E94CDA">
              <w:rPr>
                <w:sz w:val="20"/>
                <w:szCs w:val="20"/>
              </w:rPr>
              <w:t xml:space="preserve"> politikas attiecībā uz 1.SKVS 20.punktā minētām kvalitātes vadības sistēmas funkcijām</w:t>
            </w:r>
            <w:r w:rsidR="004E471A">
              <w:rPr>
                <w:sz w:val="20"/>
                <w:szCs w:val="20"/>
              </w:rPr>
              <w:t>.</w:t>
            </w:r>
          </w:p>
        </w:tc>
        <w:tc>
          <w:tcPr>
            <w:tcW w:w="1276" w:type="dxa"/>
          </w:tcPr>
          <w:p w14:paraId="25676F30" w14:textId="77777777" w:rsidR="005A1512" w:rsidRDefault="005A1512" w:rsidP="00B52188">
            <w:pPr>
              <w:rPr>
                <w:color w:val="000000" w:themeColor="text1"/>
                <w:sz w:val="20"/>
                <w:szCs w:val="20"/>
              </w:rPr>
            </w:pPr>
          </w:p>
        </w:tc>
      </w:tr>
      <w:tr w:rsidR="005A1512" w:rsidRPr="003224AC" w14:paraId="06B099CF" w14:textId="77777777" w:rsidTr="007B758A">
        <w:trPr>
          <w:trHeight w:val="663"/>
        </w:trPr>
        <w:tc>
          <w:tcPr>
            <w:tcW w:w="568" w:type="dxa"/>
          </w:tcPr>
          <w:p w14:paraId="2FC38D71" w14:textId="77777777" w:rsidR="005A1512" w:rsidRDefault="005A1512" w:rsidP="00B52188">
            <w:pPr>
              <w:rPr>
                <w:sz w:val="20"/>
                <w:szCs w:val="20"/>
              </w:rPr>
            </w:pPr>
          </w:p>
        </w:tc>
        <w:tc>
          <w:tcPr>
            <w:tcW w:w="1843" w:type="dxa"/>
          </w:tcPr>
          <w:p w14:paraId="7C15EC88" w14:textId="77777777" w:rsidR="005A1512" w:rsidRDefault="005A1512" w:rsidP="00B52188">
            <w:pPr>
              <w:rPr>
                <w:b/>
                <w:bCs/>
                <w:color w:val="000000" w:themeColor="text1"/>
                <w:sz w:val="20"/>
                <w:szCs w:val="20"/>
              </w:rPr>
            </w:pPr>
          </w:p>
        </w:tc>
        <w:tc>
          <w:tcPr>
            <w:tcW w:w="1275" w:type="dxa"/>
          </w:tcPr>
          <w:p w14:paraId="70201E5B" w14:textId="77777777" w:rsidR="005A1512" w:rsidRPr="001E35DD" w:rsidRDefault="005A1512" w:rsidP="00B52188">
            <w:pPr>
              <w:rPr>
                <w:sz w:val="20"/>
                <w:szCs w:val="20"/>
              </w:rPr>
            </w:pPr>
          </w:p>
        </w:tc>
        <w:tc>
          <w:tcPr>
            <w:tcW w:w="1418" w:type="dxa"/>
          </w:tcPr>
          <w:p w14:paraId="1B397A21" w14:textId="77777777" w:rsidR="005A1512" w:rsidRPr="00990774" w:rsidRDefault="005A1512" w:rsidP="00B52188">
            <w:pPr>
              <w:rPr>
                <w:sz w:val="20"/>
                <w:szCs w:val="20"/>
              </w:rPr>
            </w:pPr>
          </w:p>
        </w:tc>
        <w:tc>
          <w:tcPr>
            <w:tcW w:w="1701" w:type="dxa"/>
          </w:tcPr>
          <w:p w14:paraId="070EFB37" w14:textId="77777777" w:rsidR="005A1512" w:rsidRPr="00990774" w:rsidRDefault="005A1512" w:rsidP="00B52188">
            <w:pPr>
              <w:rPr>
                <w:sz w:val="20"/>
                <w:szCs w:val="20"/>
              </w:rPr>
            </w:pPr>
          </w:p>
        </w:tc>
        <w:tc>
          <w:tcPr>
            <w:tcW w:w="1417" w:type="dxa"/>
          </w:tcPr>
          <w:p w14:paraId="64C81B6F" w14:textId="77777777" w:rsidR="005A1512" w:rsidRPr="00990774" w:rsidRDefault="005A1512" w:rsidP="00B52188">
            <w:pPr>
              <w:rPr>
                <w:color w:val="000000" w:themeColor="text1"/>
                <w:sz w:val="20"/>
                <w:szCs w:val="20"/>
              </w:rPr>
            </w:pPr>
          </w:p>
        </w:tc>
        <w:tc>
          <w:tcPr>
            <w:tcW w:w="993" w:type="dxa"/>
          </w:tcPr>
          <w:p w14:paraId="6BD162D7" w14:textId="77777777" w:rsidR="005A1512" w:rsidRPr="00990774" w:rsidRDefault="005A1512" w:rsidP="00B52188">
            <w:pPr>
              <w:rPr>
                <w:color w:val="000000" w:themeColor="text1"/>
                <w:sz w:val="20"/>
                <w:szCs w:val="20"/>
              </w:rPr>
            </w:pPr>
          </w:p>
        </w:tc>
        <w:tc>
          <w:tcPr>
            <w:tcW w:w="2126" w:type="dxa"/>
          </w:tcPr>
          <w:p w14:paraId="5AC9B310" w14:textId="719E4BD8" w:rsidR="005A1512" w:rsidRDefault="00F34DA3" w:rsidP="00B52188">
            <w:pPr>
              <w:rPr>
                <w:b/>
                <w:bCs/>
                <w:sz w:val="20"/>
                <w:szCs w:val="20"/>
              </w:rPr>
            </w:pPr>
            <w:r w:rsidRPr="00F34DA3">
              <w:rPr>
                <w:sz w:val="20"/>
                <w:szCs w:val="20"/>
              </w:rPr>
              <w:t xml:space="preserve">2025.gadā </w:t>
            </w:r>
            <w:r>
              <w:rPr>
                <w:sz w:val="20"/>
                <w:szCs w:val="20"/>
              </w:rPr>
              <w:t>praksē</w:t>
            </w:r>
            <w:r w:rsidRPr="00F34DA3">
              <w:rPr>
                <w:sz w:val="20"/>
                <w:szCs w:val="20"/>
              </w:rPr>
              <w:t xml:space="preserve"> nav veik</w:t>
            </w:r>
            <w:r>
              <w:rPr>
                <w:sz w:val="20"/>
                <w:szCs w:val="20"/>
              </w:rPr>
              <w:t>ta</w:t>
            </w:r>
            <w:r w:rsidRPr="00F34DA3">
              <w:rPr>
                <w:sz w:val="20"/>
                <w:szCs w:val="20"/>
              </w:rPr>
              <w:t xml:space="preserve"> iekšējās kvalitātes vadības sistēmas darbības novērtēšan</w:t>
            </w:r>
            <w:r>
              <w:rPr>
                <w:sz w:val="20"/>
                <w:szCs w:val="20"/>
              </w:rPr>
              <w:t>a.</w:t>
            </w:r>
          </w:p>
        </w:tc>
        <w:tc>
          <w:tcPr>
            <w:tcW w:w="1417" w:type="dxa"/>
          </w:tcPr>
          <w:p w14:paraId="0607FA15" w14:textId="4AB73EAF" w:rsidR="00F422B5" w:rsidRPr="00F422B5" w:rsidRDefault="00F422B5" w:rsidP="00F422B5">
            <w:pPr>
              <w:rPr>
                <w:color w:val="000000" w:themeColor="text1"/>
                <w:sz w:val="20"/>
                <w:szCs w:val="20"/>
              </w:rPr>
            </w:pPr>
            <w:r w:rsidRPr="00F422B5">
              <w:rPr>
                <w:color w:val="000000" w:themeColor="text1"/>
                <w:sz w:val="20"/>
                <w:szCs w:val="20"/>
              </w:rPr>
              <w:t>1.Starptautiskā kvalitātes vadības standarta 23.punkts, 25.punkts</w:t>
            </w:r>
          </w:p>
          <w:p w14:paraId="7B11A748" w14:textId="77777777" w:rsidR="00F422B5" w:rsidRPr="00F422B5" w:rsidRDefault="00F422B5" w:rsidP="00F422B5">
            <w:pPr>
              <w:rPr>
                <w:color w:val="000000" w:themeColor="text1"/>
                <w:sz w:val="20"/>
                <w:szCs w:val="20"/>
              </w:rPr>
            </w:pPr>
          </w:p>
          <w:p w14:paraId="06E74874" w14:textId="6544CF50" w:rsidR="005A1512" w:rsidRPr="006D4E3F" w:rsidRDefault="00E635A2" w:rsidP="00F422B5">
            <w:pPr>
              <w:rPr>
                <w:color w:val="000000" w:themeColor="text1"/>
                <w:sz w:val="20"/>
                <w:szCs w:val="20"/>
              </w:rPr>
            </w:pPr>
            <w:r>
              <w:rPr>
                <w:color w:val="000000" w:themeColor="text1"/>
                <w:sz w:val="20"/>
                <w:szCs w:val="20"/>
              </w:rPr>
              <w:t>Ministru kabineta</w:t>
            </w:r>
            <w:r w:rsidRPr="00F422B5">
              <w:rPr>
                <w:color w:val="000000" w:themeColor="text1"/>
                <w:sz w:val="20"/>
                <w:szCs w:val="20"/>
              </w:rPr>
              <w:t xml:space="preserve"> </w:t>
            </w:r>
            <w:r w:rsidR="00822CFD" w:rsidRPr="00F422B5">
              <w:rPr>
                <w:color w:val="000000" w:themeColor="text1"/>
                <w:sz w:val="20"/>
                <w:szCs w:val="20"/>
              </w:rPr>
              <w:t>noteikum</w:t>
            </w:r>
            <w:r w:rsidR="00C365F9">
              <w:rPr>
                <w:color w:val="000000" w:themeColor="text1"/>
                <w:sz w:val="20"/>
                <w:szCs w:val="20"/>
              </w:rPr>
              <w:t>u</w:t>
            </w:r>
            <w:r w:rsidR="00822CFD">
              <w:rPr>
                <w:color w:val="000000" w:themeColor="text1"/>
                <w:sz w:val="20"/>
                <w:szCs w:val="20"/>
              </w:rPr>
              <w:t xml:space="preserve"> </w:t>
            </w:r>
            <w:r w:rsidR="00F422B5" w:rsidRPr="00F422B5">
              <w:rPr>
                <w:color w:val="000000" w:themeColor="text1"/>
                <w:sz w:val="20"/>
                <w:szCs w:val="20"/>
              </w:rPr>
              <w:t>Nr.668 18.punkts</w:t>
            </w:r>
          </w:p>
        </w:tc>
        <w:tc>
          <w:tcPr>
            <w:tcW w:w="1701" w:type="dxa"/>
          </w:tcPr>
          <w:p w14:paraId="71D3433C" w14:textId="2D286609" w:rsidR="005B3573" w:rsidRPr="005B3573" w:rsidRDefault="005B3573" w:rsidP="005B3573">
            <w:pPr>
              <w:rPr>
                <w:sz w:val="20"/>
                <w:szCs w:val="20"/>
              </w:rPr>
            </w:pPr>
            <w:r w:rsidRPr="005B3573">
              <w:rPr>
                <w:sz w:val="20"/>
                <w:szCs w:val="20"/>
              </w:rPr>
              <w:t xml:space="preserve">Steidzami veikt </w:t>
            </w:r>
            <w:r>
              <w:rPr>
                <w:sz w:val="20"/>
                <w:szCs w:val="20"/>
              </w:rPr>
              <w:t>prakses</w:t>
            </w:r>
            <w:r w:rsidRPr="005B3573">
              <w:rPr>
                <w:sz w:val="20"/>
                <w:szCs w:val="20"/>
              </w:rPr>
              <w:t xml:space="preserve"> iekšējo kvalitātes vadības sistēmas pārbaudi neatkarīgi no </w:t>
            </w:r>
            <w:r>
              <w:rPr>
                <w:sz w:val="20"/>
                <w:szCs w:val="20"/>
              </w:rPr>
              <w:t>tīkla</w:t>
            </w:r>
            <w:r w:rsidRPr="005B3573">
              <w:rPr>
                <w:sz w:val="20"/>
                <w:szCs w:val="20"/>
              </w:rPr>
              <w:t xml:space="preserve"> un Finanšu ministrijas veiktajām pārbaudēm un to rezultātiem.</w:t>
            </w:r>
          </w:p>
        </w:tc>
        <w:tc>
          <w:tcPr>
            <w:tcW w:w="1276" w:type="dxa"/>
          </w:tcPr>
          <w:p w14:paraId="50C73E5F" w14:textId="77777777" w:rsidR="005A1512" w:rsidRDefault="005A1512" w:rsidP="00B52188">
            <w:pPr>
              <w:rPr>
                <w:color w:val="000000" w:themeColor="text1"/>
                <w:sz w:val="20"/>
                <w:szCs w:val="20"/>
              </w:rPr>
            </w:pPr>
          </w:p>
        </w:tc>
      </w:tr>
      <w:tr w:rsidR="005A1512" w:rsidRPr="003224AC" w14:paraId="540B3350" w14:textId="77777777" w:rsidTr="007B758A">
        <w:trPr>
          <w:trHeight w:val="1999"/>
        </w:trPr>
        <w:tc>
          <w:tcPr>
            <w:tcW w:w="568" w:type="dxa"/>
          </w:tcPr>
          <w:p w14:paraId="4328DAC1" w14:textId="77777777" w:rsidR="005A1512" w:rsidRDefault="005A1512" w:rsidP="00B52188">
            <w:pPr>
              <w:rPr>
                <w:sz w:val="20"/>
                <w:szCs w:val="20"/>
              </w:rPr>
            </w:pPr>
          </w:p>
        </w:tc>
        <w:tc>
          <w:tcPr>
            <w:tcW w:w="1843" w:type="dxa"/>
          </w:tcPr>
          <w:p w14:paraId="115CFCD3" w14:textId="77777777" w:rsidR="005A1512" w:rsidRDefault="005A1512" w:rsidP="00B52188">
            <w:pPr>
              <w:rPr>
                <w:b/>
                <w:bCs/>
                <w:color w:val="000000" w:themeColor="text1"/>
                <w:sz w:val="20"/>
                <w:szCs w:val="20"/>
              </w:rPr>
            </w:pPr>
          </w:p>
        </w:tc>
        <w:tc>
          <w:tcPr>
            <w:tcW w:w="1275" w:type="dxa"/>
          </w:tcPr>
          <w:p w14:paraId="375BF4E8" w14:textId="77777777" w:rsidR="005A1512" w:rsidRPr="001E35DD" w:rsidRDefault="005A1512" w:rsidP="00B52188">
            <w:pPr>
              <w:rPr>
                <w:sz w:val="20"/>
                <w:szCs w:val="20"/>
              </w:rPr>
            </w:pPr>
          </w:p>
        </w:tc>
        <w:tc>
          <w:tcPr>
            <w:tcW w:w="1418" w:type="dxa"/>
          </w:tcPr>
          <w:p w14:paraId="5DCF4258" w14:textId="77777777" w:rsidR="005A1512" w:rsidRPr="00990774" w:rsidRDefault="005A1512" w:rsidP="00B52188">
            <w:pPr>
              <w:rPr>
                <w:sz w:val="20"/>
                <w:szCs w:val="20"/>
              </w:rPr>
            </w:pPr>
          </w:p>
        </w:tc>
        <w:tc>
          <w:tcPr>
            <w:tcW w:w="1701" w:type="dxa"/>
          </w:tcPr>
          <w:p w14:paraId="7331108B" w14:textId="77777777" w:rsidR="005A1512" w:rsidRPr="00990774" w:rsidRDefault="005A1512" w:rsidP="00B52188">
            <w:pPr>
              <w:rPr>
                <w:sz w:val="20"/>
                <w:szCs w:val="20"/>
              </w:rPr>
            </w:pPr>
          </w:p>
        </w:tc>
        <w:tc>
          <w:tcPr>
            <w:tcW w:w="1417" w:type="dxa"/>
          </w:tcPr>
          <w:p w14:paraId="3C5497E3" w14:textId="77777777" w:rsidR="005A1512" w:rsidRPr="00990774" w:rsidRDefault="005A1512" w:rsidP="00B52188">
            <w:pPr>
              <w:rPr>
                <w:color w:val="000000" w:themeColor="text1"/>
                <w:sz w:val="20"/>
                <w:szCs w:val="20"/>
              </w:rPr>
            </w:pPr>
          </w:p>
        </w:tc>
        <w:tc>
          <w:tcPr>
            <w:tcW w:w="993" w:type="dxa"/>
          </w:tcPr>
          <w:p w14:paraId="1453AED1" w14:textId="77777777" w:rsidR="005A1512" w:rsidRPr="00990774" w:rsidRDefault="005A1512" w:rsidP="00B52188">
            <w:pPr>
              <w:rPr>
                <w:color w:val="000000" w:themeColor="text1"/>
                <w:sz w:val="20"/>
                <w:szCs w:val="20"/>
              </w:rPr>
            </w:pPr>
          </w:p>
        </w:tc>
        <w:tc>
          <w:tcPr>
            <w:tcW w:w="2126" w:type="dxa"/>
          </w:tcPr>
          <w:p w14:paraId="6966491C" w14:textId="3B8040CA" w:rsidR="005A1512" w:rsidRDefault="00B304E7" w:rsidP="00B52188">
            <w:pPr>
              <w:rPr>
                <w:b/>
                <w:bCs/>
                <w:sz w:val="20"/>
                <w:szCs w:val="20"/>
              </w:rPr>
            </w:pPr>
            <w:r>
              <w:rPr>
                <w:sz w:val="20"/>
                <w:szCs w:val="20"/>
              </w:rPr>
              <w:t>Prakses</w:t>
            </w:r>
            <w:r w:rsidR="00EC6A13" w:rsidRPr="00EC6A13">
              <w:rPr>
                <w:sz w:val="20"/>
                <w:szCs w:val="20"/>
              </w:rPr>
              <w:t xml:space="preserve"> Pārbaudes laikā iesniegtajā Risku matricā iztrūkst komponentes “Risku novērtēšanas process” kvalitātes mērķu, risku un atbildes</w:t>
            </w:r>
            <w:r w:rsidR="008D30E6">
              <w:rPr>
                <w:sz w:val="20"/>
                <w:szCs w:val="20"/>
              </w:rPr>
              <w:t xml:space="preserve"> </w:t>
            </w:r>
            <w:r w:rsidR="008D30E6" w:rsidRPr="008D30E6">
              <w:rPr>
                <w:sz w:val="20"/>
                <w:szCs w:val="20"/>
              </w:rPr>
              <w:t xml:space="preserve">pasākumu </w:t>
            </w:r>
            <w:proofErr w:type="spellStart"/>
            <w:r w:rsidR="008D30E6" w:rsidRPr="008D30E6">
              <w:rPr>
                <w:sz w:val="20"/>
                <w:szCs w:val="20"/>
              </w:rPr>
              <w:t>izvērtējums</w:t>
            </w:r>
            <w:proofErr w:type="spellEnd"/>
            <w:r w:rsidR="008D30E6" w:rsidRPr="008D30E6">
              <w:rPr>
                <w:sz w:val="20"/>
                <w:szCs w:val="20"/>
              </w:rPr>
              <w:t xml:space="preserve"> (apstākļ</w:t>
            </w:r>
            <w:r w:rsidR="00533E9C">
              <w:rPr>
                <w:sz w:val="20"/>
                <w:szCs w:val="20"/>
              </w:rPr>
              <w:t>os</w:t>
            </w:r>
            <w:r w:rsidR="008D30E6" w:rsidRPr="008D30E6">
              <w:rPr>
                <w:sz w:val="20"/>
                <w:szCs w:val="20"/>
              </w:rPr>
              <w:t xml:space="preserve">, ka 2025.gadā </w:t>
            </w:r>
            <w:r>
              <w:rPr>
                <w:sz w:val="20"/>
                <w:szCs w:val="20"/>
              </w:rPr>
              <w:t>prakse</w:t>
            </w:r>
            <w:r w:rsidR="008D30E6" w:rsidRPr="008D30E6">
              <w:rPr>
                <w:sz w:val="20"/>
                <w:szCs w:val="20"/>
              </w:rPr>
              <w:t xml:space="preserve"> nav veikusi iekšējās kvalitātes vadības sistēmas darbības novērtēšanu un </w:t>
            </w:r>
            <w:r w:rsidR="00591935">
              <w:rPr>
                <w:sz w:val="20"/>
                <w:szCs w:val="20"/>
              </w:rPr>
              <w:t xml:space="preserve">prakses </w:t>
            </w:r>
            <w:r w:rsidR="0036513A">
              <w:rPr>
                <w:sz w:val="20"/>
                <w:szCs w:val="20"/>
              </w:rPr>
              <w:t>tīklam</w:t>
            </w:r>
            <w:r w:rsidR="008D30E6" w:rsidRPr="008D30E6">
              <w:rPr>
                <w:sz w:val="20"/>
                <w:szCs w:val="20"/>
              </w:rPr>
              <w:t xml:space="preserve"> ir virkne piedāvāto kvalitātes risku un atbildes pasākumu)</w:t>
            </w:r>
            <w:r w:rsidR="00831B05">
              <w:rPr>
                <w:sz w:val="20"/>
                <w:szCs w:val="20"/>
              </w:rPr>
              <w:t>.</w:t>
            </w:r>
          </w:p>
        </w:tc>
        <w:tc>
          <w:tcPr>
            <w:tcW w:w="1417" w:type="dxa"/>
          </w:tcPr>
          <w:p w14:paraId="140FB86D" w14:textId="6F933F97" w:rsidR="005A1512" w:rsidRPr="006D4E3F" w:rsidRDefault="002A417F" w:rsidP="006D4E3F">
            <w:pPr>
              <w:rPr>
                <w:color w:val="000000" w:themeColor="text1"/>
                <w:sz w:val="20"/>
                <w:szCs w:val="20"/>
              </w:rPr>
            </w:pPr>
            <w:r w:rsidRPr="002A417F">
              <w:rPr>
                <w:color w:val="000000" w:themeColor="text1"/>
                <w:sz w:val="20"/>
                <w:szCs w:val="20"/>
              </w:rPr>
              <w:t>1.Starptautiskā kvalitātes vadības standarta 6.punkts, 23., 25.punkts (Risku novērtēšanas process).</w:t>
            </w:r>
          </w:p>
        </w:tc>
        <w:tc>
          <w:tcPr>
            <w:tcW w:w="1701" w:type="dxa"/>
          </w:tcPr>
          <w:p w14:paraId="3A22EDBD" w14:textId="25C59803" w:rsidR="00B304E7" w:rsidRPr="00B304E7" w:rsidRDefault="00B304E7" w:rsidP="00B304E7">
            <w:pPr>
              <w:rPr>
                <w:sz w:val="20"/>
                <w:szCs w:val="20"/>
              </w:rPr>
            </w:pPr>
            <w:r w:rsidRPr="00B304E7">
              <w:rPr>
                <w:sz w:val="20"/>
                <w:szCs w:val="20"/>
              </w:rPr>
              <w:t>Risku matricā integrēt mērķus, riskus un atbildes pasākumus 1.SKVS 6.punktā minētajai pirmajai komponentei: “Risku novērtēšanas process”.</w:t>
            </w:r>
          </w:p>
        </w:tc>
        <w:tc>
          <w:tcPr>
            <w:tcW w:w="1276" w:type="dxa"/>
          </w:tcPr>
          <w:p w14:paraId="690731B7" w14:textId="77777777" w:rsidR="005A1512" w:rsidRDefault="005A1512" w:rsidP="00B52188">
            <w:pPr>
              <w:rPr>
                <w:color w:val="000000" w:themeColor="text1"/>
                <w:sz w:val="20"/>
                <w:szCs w:val="20"/>
              </w:rPr>
            </w:pPr>
          </w:p>
        </w:tc>
      </w:tr>
      <w:tr w:rsidR="005A1512" w:rsidRPr="003224AC" w14:paraId="4BE0F2E3" w14:textId="77777777" w:rsidTr="007B758A">
        <w:trPr>
          <w:trHeight w:val="663"/>
        </w:trPr>
        <w:tc>
          <w:tcPr>
            <w:tcW w:w="568" w:type="dxa"/>
          </w:tcPr>
          <w:p w14:paraId="6D98883E" w14:textId="77777777" w:rsidR="005A1512" w:rsidRDefault="005A1512" w:rsidP="00B52188">
            <w:pPr>
              <w:rPr>
                <w:sz w:val="20"/>
                <w:szCs w:val="20"/>
              </w:rPr>
            </w:pPr>
          </w:p>
        </w:tc>
        <w:tc>
          <w:tcPr>
            <w:tcW w:w="1843" w:type="dxa"/>
          </w:tcPr>
          <w:p w14:paraId="0FAF92F6" w14:textId="77777777" w:rsidR="005A1512" w:rsidRDefault="005A1512" w:rsidP="00B52188">
            <w:pPr>
              <w:rPr>
                <w:b/>
                <w:bCs/>
                <w:color w:val="000000" w:themeColor="text1"/>
                <w:sz w:val="20"/>
                <w:szCs w:val="20"/>
              </w:rPr>
            </w:pPr>
          </w:p>
        </w:tc>
        <w:tc>
          <w:tcPr>
            <w:tcW w:w="1275" w:type="dxa"/>
          </w:tcPr>
          <w:p w14:paraId="5DA59226" w14:textId="77777777" w:rsidR="005A1512" w:rsidRPr="001E35DD" w:rsidRDefault="005A1512" w:rsidP="00B52188">
            <w:pPr>
              <w:rPr>
                <w:sz w:val="20"/>
                <w:szCs w:val="20"/>
              </w:rPr>
            </w:pPr>
          </w:p>
        </w:tc>
        <w:tc>
          <w:tcPr>
            <w:tcW w:w="1418" w:type="dxa"/>
          </w:tcPr>
          <w:p w14:paraId="33E4B125" w14:textId="77777777" w:rsidR="005A1512" w:rsidRPr="00990774" w:rsidRDefault="005A1512" w:rsidP="00B52188">
            <w:pPr>
              <w:rPr>
                <w:sz w:val="20"/>
                <w:szCs w:val="20"/>
              </w:rPr>
            </w:pPr>
          </w:p>
        </w:tc>
        <w:tc>
          <w:tcPr>
            <w:tcW w:w="1701" w:type="dxa"/>
          </w:tcPr>
          <w:p w14:paraId="676C9D26" w14:textId="77777777" w:rsidR="005A1512" w:rsidRPr="00990774" w:rsidRDefault="005A1512" w:rsidP="00B52188">
            <w:pPr>
              <w:rPr>
                <w:sz w:val="20"/>
                <w:szCs w:val="20"/>
              </w:rPr>
            </w:pPr>
          </w:p>
        </w:tc>
        <w:tc>
          <w:tcPr>
            <w:tcW w:w="1417" w:type="dxa"/>
          </w:tcPr>
          <w:p w14:paraId="4CD5AA4C" w14:textId="77777777" w:rsidR="005A1512" w:rsidRPr="00990774" w:rsidRDefault="005A1512" w:rsidP="00B52188">
            <w:pPr>
              <w:rPr>
                <w:color w:val="000000" w:themeColor="text1"/>
                <w:sz w:val="20"/>
                <w:szCs w:val="20"/>
              </w:rPr>
            </w:pPr>
          </w:p>
        </w:tc>
        <w:tc>
          <w:tcPr>
            <w:tcW w:w="993" w:type="dxa"/>
          </w:tcPr>
          <w:p w14:paraId="3BF30A3D" w14:textId="77777777" w:rsidR="005A1512" w:rsidRPr="00990774" w:rsidRDefault="005A1512" w:rsidP="00B52188">
            <w:pPr>
              <w:rPr>
                <w:color w:val="000000" w:themeColor="text1"/>
                <w:sz w:val="20"/>
                <w:szCs w:val="20"/>
              </w:rPr>
            </w:pPr>
          </w:p>
        </w:tc>
        <w:tc>
          <w:tcPr>
            <w:tcW w:w="2126" w:type="dxa"/>
          </w:tcPr>
          <w:p w14:paraId="75DC9DD3" w14:textId="03BCA861" w:rsidR="005A1512" w:rsidRDefault="00591935" w:rsidP="00B52188">
            <w:pPr>
              <w:rPr>
                <w:b/>
                <w:bCs/>
                <w:sz w:val="20"/>
                <w:szCs w:val="20"/>
              </w:rPr>
            </w:pPr>
            <w:r>
              <w:rPr>
                <w:sz w:val="20"/>
                <w:szCs w:val="20"/>
              </w:rPr>
              <w:t>Prakses</w:t>
            </w:r>
            <w:r w:rsidR="0080483A" w:rsidRPr="0089151C">
              <w:rPr>
                <w:sz w:val="20"/>
                <w:szCs w:val="20"/>
              </w:rPr>
              <w:t xml:space="preserve"> Risku </w:t>
            </w:r>
            <w:r w:rsidRPr="0089151C">
              <w:rPr>
                <w:sz w:val="20"/>
                <w:szCs w:val="20"/>
              </w:rPr>
              <w:t>matric</w:t>
            </w:r>
            <w:r w:rsidR="008D1AEC">
              <w:rPr>
                <w:sz w:val="20"/>
                <w:szCs w:val="20"/>
              </w:rPr>
              <w:t>ā konstatēt</w:t>
            </w:r>
            <w:r w:rsidR="00186C51">
              <w:rPr>
                <w:sz w:val="20"/>
                <w:szCs w:val="20"/>
              </w:rPr>
              <w:t>s</w:t>
            </w:r>
            <w:r w:rsidR="0080483A" w:rsidRPr="0089151C">
              <w:rPr>
                <w:sz w:val="20"/>
                <w:szCs w:val="20"/>
              </w:rPr>
              <w:t xml:space="preserve"> kvalitātes </w:t>
            </w:r>
            <w:r w:rsidR="00186C51" w:rsidRPr="0089151C">
              <w:rPr>
                <w:sz w:val="20"/>
                <w:szCs w:val="20"/>
              </w:rPr>
              <w:t>mērķi</w:t>
            </w:r>
            <w:r w:rsidR="00186C51">
              <w:rPr>
                <w:sz w:val="20"/>
                <w:szCs w:val="20"/>
              </w:rPr>
              <w:t>s</w:t>
            </w:r>
            <w:r w:rsidR="00186C51" w:rsidRPr="0089151C">
              <w:rPr>
                <w:sz w:val="20"/>
                <w:szCs w:val="20"/>
              </w:rPr>
              <w:t xml:space="preserve"> </w:t>
            </w:r>
            <w:r w:rsidR="00186C51">
              <w:rPr>
                <w:sz w:val="20"/>
                <w:szCs w:val="20"/>
              </w:rPr>
              <w:t>un kvalitātes</w:t>
            </w:r>
            <w:r w:rsidR="00186C51" w:rsidRPr="0089151C">
              <w:rPr>
                <w:sz w:val="20"/>
                <w:szCs w:val="20"/>
              </w:rPr>
              <w:t xml:space="preserve"> </w:t>
            </w:r>
            <w:r w:rsidR="0080483A" w:rsidRPr="0089151C">
              <w:rPr>
                <w:sz w:val="20"/>
                <w:szCs w:val="20"/>
              </w:rPr>
              <w:t>risks</w:t>
            </w:r>
            <w:r w:rsidR="00186C51">
              <w:rPr>
                <w:sz w:val="20"/>
                <w:szCs w:val="20"/>
              </w:rPr>
              <w:t xml:space="preserve">, kuram nav </w:t>
            </w:r>
            <w:r w:rsidR="00151778">
              <w:rPr>
                <w:sz w:val="20"/>
                <w:szCs w:val="20"/>
              </w:rPr>
              <w:t>atbilstoša</w:t>
            </w:r>
            <w:r w:rsidR="0080483A" w:rsidRPr="0089151C">
              <w:rPr>
                <w:sz w:val="20"/>
                <w:szCs w:val="20"/>
              </w:rPr>
              <w:t xml:space="preserve"> atbildes pasākuma</w:t>
            </w:r>
            <w:r w:rsidR="00151778">
              <w:rPr>
                <w:sz w:val="20"/>
                <w:szCs w:val="20"/>
              </w:rPr>
              <w:t xml:space="preserve"> –</w:t>
            </w:r>
            <w:r w:rsidR="0080483A" w:rsidRPr="0089151C">
              <w:rPr>
                <w:sz w:val="20"/>
                <w:szCs w:val="20"/>
              </w:rPr>
              <w:t xml:space="preserve"> </w:t>
            </w:r>
            <w:r w:rsidR="00151778" w:rsidRPr="00D74006">
              <w:rPr>
                <w:sz w:val="20"/>
                <w:szCs w:val="20"/>
              </w:rPr>
              <w:t>atbildes</w:t>
            </w:r>
            <w:r w:rsidR="00151778">
              <w:rPr>
                <w:sz w:val="20"/>
                <w:szCs w:val="20"/>
              </w:rPr>
              <w:t xml:space="preserve"> </w:t>
            </w:r>
            <w:r w:rsidR="00151778">
              <w:rPr>
                <w:sz w:val="20"/>
                <w:szCs w:val="20"/>
              </w:rPr>
              <w:lastRenderedPageBreak/>
              <w:t xml:space="preserve">pasākuma </w:t>
            </w:r>
            <w:r w:rsidR="0080483A" w:rsidRPr="0089151C">
              <w:rPr>
                <w:sz w:val="20"/>
                <w:szCs w:val="20"/>
              </w:rPr>
              <w:t>kolonnā ir norādīts</w:t>
            </w:r>
            <w:r w:rsidR="00151778">
              <w:rPr>
                <w:sz w:val="20"/>
                <w:szCs w:val="20"/>
              </w:rPr>
              <w:t>, ka līdz šīm šāds risks nav konstatēts</w:t>
            </w:r>
            <w:r w:rsidR="0080483A" w:rsidRPr="0089151C">
              <w:rPr>
                <w:sz w:val="20"/>
                <w:szCs w:val="20"/>
              </w:rPr>
              <w:t>, kas nav atzīstams par atbildes pasākumu, kas būtu</w:t>
            </w:r>
            <w:r w:rsidR="0089151C" w:rsidRPr="0089151C">
              <w:rPr>
                <w:sz w:val="20"/>
                <w:szCs w:val="20"/>
              </w:rPr>
              <w:t xml:space="preserve"> efektīvs konstatēta riska novēršanai.</w:t>
            </w:r>
          </w:p>
        </w:tc>
        <w:tc>
          <w:tcPr>
            <w:tcW w:w="1417" w:type="dxa"/>
          </w:tcPr>
          <w:p w14:paraId="2B9F956D" w14:textId="5ECAFF5F" w:rsidR="005A1512" w:rsidRPr="006D4E3F" w:rsidRDefault="00B43A08" w:rsidP="006D4E3F">
            <w:pPr>
              <w:rPr>
                <w:color w:val="000000" w:themeColor="text1"/>
                <w:sz w:val="20"/>
                <w:szCs w:val="20"/>
              </w:rPr>
            </w:pPr>
            <w:r w:rsidRPr="00B43A08">
              <w:rPr>
                <w:color w:val="000000" w:themeColor="text1"/>
                <w:sz w:val="20"/>
                <w:szCs w:val="20"/>
              </w:rPr>
              <w:lastRenderedPageBreak/>
              <w:t xml:space="preserve">1.Starptautiskā kvalitātes vadības standarta 28.punkts </w:t>
            </w:r>
            <w:r w:rsidRPr="00B43A08">
              <w:rPr>
                <w:color w:val="000000" w:themeColor="text1"/>
                <w:sz w:val="20"/>
                <w:szCs w:val="20"/>
              </w:rPr>
              <w:lastRenderedPageBreak/>
              <w:t>(Pārvaldība un vadība).</w:t>
            </w:r>
          </w:p>
        </w:tc>
        <w:tc>
          <w:tcPr>
            <w:tcW w:w="1701" w:type="dxa"/>
          </w:tcPr>
          <w:p w14:paraId="24342E1F" w14:textId="34F52E60" w:rsidR="005A1512" w:rsidRPr="00D51319" w:rsidRDefault="00D1390C" w:rsidP="00D51319">
            <w:pPr>
              <w:rPr>
                <w:sz w:val="20"/>
                <w:szCs w:val="20"/>
              </w:rPr>
            </w:pPr>
            <w:r w:rsidRPr="00D74006">
              <w:rPr>
                <w:sz w:val="20"/>
                <w:szCs w:val="20"/>
              </w:rPr>
              <w:lastRenderedPageBreak/>
              <w:t>Pārstrādāt atbildes pasākumu Risku matricā iekļautā kvalitātes mērķa riskam, lai atbildes pasākums</w:t>
            </w:r>
            <w:r w:rsidRPr="00D1390C">
              <w:rPr>
                <w:sz w:val="20"/>
                <w:szCs w:val="20"/>
              </w:rPr>
              <w:t xml:space="preserve"> </w:t>
            </w:r>
            <w:r w:rsidRPr="00D1390C">
              <w:rPr>
                <w:sz w:val="20"/>
                <w:szCs w:val="20"/>
              </w:rPr>
              <w:lastRenderedPageBreak/>
              <w:t>varētu novērst noteikto iespējamo risku.</w:t>
            </w:r>
          </w:p>
        </w:tc>
        <w:tc>
          <w:tcPr>
            <w:tcW w:w="1276" w:type="dxa"/>
          </w:tcPr>
          <w:p w14:paraId="00DA2598" w14:textId="77777777" w:rsidR="005A1512" w:rsidRDefault="005A1512" w:rsidP="00B52188">
            <w:pPr>
              <w:rPr>
                <w:color w:val="000000" w:themeColor="text1"/>
                <w:sz w:val="20"/>
                <w:szCs w:val="20"/>
              </w:rPr>
            </w:pPr>
          </w:p>
        </w:tc>
      </w:tr>
      <w:tr w:rsidR="005A1512" w:rsidRPr="003224AC" w14:paraId="22AC7567" w14:textId="77777777" w:rsidTr="007B758A">
        <w:trPr>
          <w:trHeight w:val="1999"/>
        </w:trPr>
        <w:tc>
          <w:tcPr>
            <w:tcW w:w="568" w:type="dxa"/>
          </w:tcPr>
          <w:p w14:paraId="6327A893" w14:textId="77777777" w:rsidR="005A1512" w:rsidRDefault="005A1512" w:rsidP="00B52188">
            <w:pPr>
              <w:rPr>
                <w:sz w:val="20"/>
                <w:szCs w:val="20"/>
              </w:rPr>
            </w:pPr>
          </w:p>
        </w:tc>
        <w:tc>
          <w:tcPr>
            <w:tcW w:w="1843" w:type="dxa"/>
          </w:tcPr>
          <w:p w14:paraId="037AEAE5" w14:textId="77777777" w:rsidR="005A1512" w:rsidRDefault="005A1512" w:rsidP="00B52188">
            <w:pPr>
              <w:rPr>
                <w:b/>
                <w:bCs/>
                <w:color w:val="000000" w:themeColor="text1"/>
                <w:sz w:val="20"/>
                <w:szCs w:val="20"/>
              </w:rPr>
            </w:pPr>
          </w:p>
        </w:tc>
        <w:tc>
          <w:tcPr>
            <w:tcW w:w="1275" w:type="dxa"/>
          </w:tcPr>
          <w:p w14:paraId="1D91FE5A" w14:textId="77777777" w:rsidR="005A1512" w:rsidRPr="001E35DD" w:rsidRDefault="005A1512" w:rsidP="00B52188">
            <w:pPr>
              <w:rPr>
                <w:sz w:val="20"/>
                <w:szCs w:val="20"/>
              </w:rPr>
            </w:pPr>
          </w:p>
        </w:tc>
        <w:tc>
          <w:tcPr>
            <w:tcW w:w="1418" w:type="dxa"/>
          </w:tcPr>
          <w:p w14:paraId="04D78E27" w14:textId="77777777" w:rsidR="005A1512" w:rsidRPr="00990774" w:rsidRDefault="005A1512" w:rsidP="00B52188">
            <w:pPr>
              <w:rPr>
                <w:sz w:val="20"/>
                <w:szCs w:val="20"/>
              </w:rPr>
            </w:pPr>
          </w:p>
        </w:tc>
        <w:tc>
          <w:tcPr>
            <w:tcW w:w="1701" w:type="dxa"/>
          </w:tcPr>
          <w:p w14:paraId="5C751E45" w14:textId="77777777" w:rsidR="005A1512" w:rsidRPr="00990774" w:rsidRDefault="005A1512" w:rsidP="00B52188">
            <w:pPr>
              <w:rPr>
                <w:sz w:val="20"/>
                <w:szCs w:val="20"/>
              </w:rPr>
            </w:pPr>
          </w:p>
        </w:tc>
        <w:tc>
          <w:tcPr>
            <w:tcW w:w="1417" w:type="dxa"/>
          </w:tcPr>
          <w:p w14:paraId="14172E70" w14:textId="77777777" w:rsidR="005A1512" w:rsidRPr="00990774" w:rsidRDefault="005A1512" w:rsidP="00B52188">
            <w:pPr>
              <w:rPr>
                <w:color w:val="000000" w:themeColor="text1"/>
                <w:sz w:val="20"/>
                <w:szCs w:val="20"/>
              </w:rPr>
            </w:pPr>
          </w:p>
        </w:tc>
        <w:tc>
          <w:tcPr>
            <w:tcW w:w="993" w:type="dxa"/>
          </w:tcPr>
          <w:p w14:paraId="585D2B58" w14:textId="77777777" w:rsidR="005A1512" w:rsidRPr="00990774" w:rsidRDefault="005A1512" w:rsidP="00B52188">
            <w:pPr>
              <w:rPr>
                <w:color w:val="000000" w:themeColor="text1"/>
                <w:sz w:val="20"/>
                <w:szCs w:val="20"/>
              </w:rPr>
            </w:pPr>
          </w:p>
        </w:tc>
        <w:tc>
          <w:tcPr>
            <w:tcW w:w="2126" w:type="dxa"/>
          </w:tcPr>
          <w:p w14:paraId="0954B2B4" w14:textId="0E594F71" w:rsidR="005A1512" w:rsidRDefault="00284EA9" w:rsidP="00B52188">
            <w:pPr>
              <w:rPr>
                <w:b/>
                <w:bCs/>
                <w:sz w:val="20"/>
                <w:szCs w:val="20"/>
              </w:rPr>
            </w:pPr>
            <w:r>
              <w:rPr>
                <w:sz w:val="20"/>
                <w:szCs w:val="20"/>
              </w:rPr>
              <w:t>Prakses</w:t>
            </w:r>
            <w:r w:rsidRPr="00284EA9">
              <w:rPr>
                <w:sz w:val="20"/>
                <w:szCs w:val="20"/>
              </w:rPr>
              <w:t xml:space="preserve"> darbinieki  apmācības par ētikas un neatkarības prasībām apgūst nesistemātiski</w:t>
            </w:r>
            <w:r>
              <w:rPr>
                <w:sz w:val="20"/>
                <w:szCs w:val="20"/>
              </w:rPr>
              <w:t>.</w:t>
            </w:r>
          </w:p>
        </w:tc>
        <w:tc>
          <w:tcPr>
            <w:tcW w:w="1417" w:type="dxa"/>
          </w:tcPr>
          <w:p w14:paraId="33CA6A94" w14:textId="180BD54F" w:rsidR="000B331A" w:rsidRPr="000B331A" w:rsidRDefault="000B331A" w:rsidP="000B331A">
            <w:pPr>
              <w:rPr>
                <w:color w:val="000000" w:themeColor="text1"/>
                <w:sz w:val="20"/>
                <w:szCs w:val="20"/>
              </w:rPr>
            </w:pPr>
            <w:r w:rsidRPr="000B331A">
              <w:rPr>
                <w:color w:val="000000" w:themeColor="text1"/>
                <w:sz w:val="20"/>
                <w:szCs w:val="20"/>
              </w:rPr>
              <w:t>1.Starptautiskā kvalitātes vadības standarta 34.</w:t>
            </w:r>
            <w:r w:rsidR="007C56F3">
              <w:rPr>
                <w:color w:val="000000" w:themeColor="text1"/>
                <w:sz w:val="20"/>
                <w:szCs w:val="20"/>
              </w:rPr>
              <w:t> </w:t>
            </w:r>
            <w:r w:rsidRPr="000B331A">
              <w:rPr>
                <w:color w:val="000000" w:themeColor="text1"/>
                <w:sz w:val="20"/>
                <w:szCs w:val="20"/>
              </w:rPr>
              <w:t>(a) punkts; 32.</w:t>
            </w:r>
            <w:r w:rsidR="007C56F3">
              <w:rPr>
                <w:color w:val="000000" w:themeColor="text1"/>
                <w:sz w:val="20"/>
                <w:szCs w:val="20"/>
              </w:rPr>
              <w:t> </w:t>
            </w:r>
            <w:r w:rsidRPr="000B331A">
              <w:rPr>
                <w:color w:val="000000" w:themeColor="text1"/>
                <w:sz w:val="20"/>
                <w:szCs w:val="20"/>
              </w:rPr>
              <w:t>(a) punkts, A88. punkts.</w:t>
            </w:r>
          </w:p>
          <w:p w14:paraId="77677452" w14:textId="77777777" w:rsidR="000B331A" w:rsidRPr="000B331A" w:rsidRDefault="000B331A" w:rsidP="000B331A">
            <w:pPr>
              <w:rPr>
                <w:color w:val="000000" w:themeColor="text1"/>
                <w:sz w:val="20"/>
                <w:szCs w:val="20"/>
              </w:rPr>
            </w:pPr>
          </w:p>
          <w:p w14:paraId="11584DCE" w14:textId="56E675B5" w:rsidR="005A1512" w:rsidRPr="006D4E3F" w:rsidRDefault="000B331A" w:rsidP="000B331A">
            <w:pPr>
              <w:rPr>
                <w:color w:val="000000" w:themeColor="text1"/>
                <w:sz w:val="20"/>
                <w:szCs w:val="20"/>
              </w:rPr>
            </w:pPr>
            <w:r w:rsidRPr="000B331A">
              <w:rPr>
                <w:color w:val="000000" w:themeColor="text1"/>
                <w:sz w:val="20"/>
                <w:szCs w:val="20"/>
              </w:rPr>
              <w:t>Ētikas kodeksa 120.13 A2 (b) apakšpunkts, 110.1 A1, 300.7 A5 punkts.</w:t>
            </w:r>
          </w:p>
        </w:tc>
        <w:tc>
          <w:tcPr>
            <w:tcW w:w="1701" w:type="dxa"/>
          </w:tcPr>
          <w:p w14:paraId="03AD83F9" w14:textId="5BA8197D" w:rsidR="00A531E1" w:rsidRPr="00D51319" w:rsidRDefault="00A531E1" w:rsidP="00D51319">
            <w:pPr>
              <w:rPr>
                <w:sz w:val="20"/>
                <w:szCs w:val="20"/>
              </w:rPr>
            </w:pPr>
            <w:r w:rsidRPr="00A531E1">
              <w:rPr>
                <w:sz w:val="20"/>
                <w:szCs w:val="20"/>
              </w:rPr>
              <w:t>Lai praksē nodrošinātu ētikas un neatkarības prasību ievērošanu, darbiniekiem, papildus neatkarības deklarāciju parakstīšanai, ir jānodrošina arī apmācības par neatkarības un ētikas prasību ievērošanu</w:t>
            </w:r>
            <w:r w:rsidR="0067383E">
              <w:rPr>
                <w:sz w:val="20"/>
                <w:szCs w:val="20"/>
              </w:rPr>
              <w:t>.</w:t>
            </w:r>
          </w:p>
        </w:tc>
        <w:tc>
          <w:tcPr>
            <w:tcW w:w="1276" w:type="dxa"/>
          </w:tcPr>
          <w:p w14:paraId="32AC9A69" w14:textId="77777777" w:rsidR="005A1512" w:rsidRDefault="005A1512" w:rsidP="00B52188">
            <w:pPr>
              <w:rPr>
                <w:color w:val="000000" w:themeColor="text1"/>
                <w:sz w:val="20"/>
                <w:szCs w:val="20"/>
              </w:rPr>
            </w:pPr>
          </w:p>
        </w:tc>
      </w:tr>
      <w:tr w:rsidR="005A1512" w:rsidRPr="003224AC" w14:paraId="21F8F060" w14:textId="77777777" w:rsidTr="007B758A">
        <w:trPr>
          <w:trHeight w:val="1999"/>
        </w:trPr>
        <w:tc>
          <w:tcPr>
            <w:tcW w:w="568" w:type="dxa"/>
          </w:tcPr>
          <w:p w14:paraId="36CB992E" w14:textId="77777777" w:rsidR="005A1512" w:rsidRDefault="005A1512" w:rsidP="00B52188">
            <w:pPr>
              <w:rPr>
                <w:sz w:val="20"/>
                <w:szCs w:val="20"/>
              </w:rPr>
            </w:pPr>
          </w:p>
        </w:tc>
        <w:tc>
          <w:tcPr>
            <w:tcW w:w="1843" w:type="dxa"/>
          </w:tcPr>
          <w:p w14:paraId="3BC03F65" w14:textId="77777777" w:rsidR="005A1512" w:rsidRDefault="005A1512" w:rsidP="00B52188">
            <w:pPr>
              <w:rPr>
                <w:b/>
                <w:bCs/>
                <w:color w:val="000000" w:themeColor="text1"/>
                <w:sz w:val="20"/>
                <w:szCs w:val="20"/>
              </w:rPr>
            </w:pPr>
          </w:p>
        </w:tc>
        <w:tc>
          <w:tcPr>
            <w:tcW w:w="1275" w:type="dxa"/>
          </w:tcPr>
          <w:p w14:paraId="594CDCAF" w14:textId="77777777" w:rsidR="005A1512" w:rsidRPr="001E35DD" w:rsidRDefault="005A1512" w:rsidP="00B52188">
            <w:pPr>
              <w:rPr>
                <w:sz w:val="20"/>
                <w:szCs w:val="20"/>
              </w:rPr>
            </w:pPr>
          </w:p>
        </w:tc>
        <w:tc>
          <w:tcPr>
            <w:tcW w:w="1418" w:type="dxa"/>
          </w:tcPr>
          <w:p w14:paraId="74BAFAFD" w14:textId="77777777" w:rsidR="005A1512" w:rsidRPr="00990774" w:rsidRDefault="005A1512" w:rsidP="00B52188">
            <w:pPr>
              <w:rPr>
                <w:sz w:val="20"/>
                <w:szCs w:val="20"/>
              </w:rPr>
            </w:pPr>
          </w:p>
        </w:tc>
        <w:tc>
          <w:tcPr>
            <w:tcW w:w="1701" w:type="dxa"/>
          </w:tcPr>
          <w:p w14:paraId="443BBECF" w14:textId="77777777" w:rsidR="005A1512" w:rsidRPr="00990774" w:rsidRDefault="005A1512" w:rsidP="00B52188">
            <w:pPr>
              <w:rPr>
                <w:sz w:val="20"/>
                <w:szCs w:val="20"/>
              </w:rPr>
            </w:pPr>
          </w:p>
        </w:tc>
        <w:tc>
          <w:tcPr>
            <w:tcW w:w="1417" w:type="dxa"/>
          </w:tcPr>
          <w:p w14:paraId="4313F1A0" w14:textId="77777777" w:rsidR="005A1512" w:rsidRPr="00990774" w:rsidRDefault="005A1512" w:rsidP="00B52188">
            <w:pPr>
              <w:rPr>
                <w:color w:val="000000" w:themeColor="text1"/>
                <w:sz w:val="20"/>
                <w:szCs w:val="20"/>
              </w:rPr>
            </w:pPr>
          </w:p>
        </w:tc>
        <w:tc>
          <w:tcPr>
            <w:tcW w:w="993" w:type="dxa"/>
          </w:tcPr>
          <w:p w14:paraId="6F296C93" w14:textId="77777777" w:rsidR="005A1512" w:rsidRPr="00990774" w:rsidRDefault="005A1512" w:rsidP="00B52188">
            <w:pPr>
              <w:rPr>
                <w:color w:val="000000" w:themeColor="text1"/>
                <w:sz w:val="20"/>
                <w:szCs w:val="20"/>
              </w:rPr>
            </w:pPr>
          </w:p>
        </w:tc>
        <w:tc>
          <w:tcPr>
            <w:tcW w:w="2126" w:type="dxa"/>
          </w:tcPr>
          <w:p w14:paraId="19FCC1ED" w14:textId="7DDBFF4D" w:rsidR="00702BF3" w:rsidRPr="00C867FB" w:rsidRDefault="00510EF4" w:rsidP="00702BF3">
            <w:pPr>
              <w:rPr>
                <w:sz w:val="20"/>
                <w:szCs w:val="20"/>
              </w:rPr>
            </w:pPr>
            <w:r w:rsidRPr="00C867FB">
              <w:rPr>
                <w:sz w:val="20"/>
                <w:szCs w:val="20"/>
              </w:rPr>
              <w:t xml:space="preserve">Konstatēts, ka ar zvērinātu revidentu, kurš pildīja </w:t>
            </w:r>
            <w:r w:rsidR="00F535D2">
              <w:rPr>
                <w:sz w:val="20"/>
                <w:szCs w:val="20"/>
              </w:rPr>
              <w:t>revīzijas uzdevuma</w:t>
            </w:r>
            <w:r w:rsidRPr="00C867FB">
              <w:rPr>
                <w:sz w:val="20"/>
                <w:szCs w:val="20"/>
              </w:rPr>
              <w:t xml:space="preserve"> kvalitātes pār</w:t>
            </w:r>
            <w:r w:rsidR="001F4812">
              <w:rPr>
                <w:sz w:val="20"/>
                <w:szCs w:val="20"/>
              </w:rPr>
              <w:t>rauga</w:t>
            </w:r>
            <w:r w:rsidRPr="00C867FB">
              <w:rPr>
                <w:sz w:val="20"/>
                <w:szCs w:val="20"/>
              </w:rPr>
              <w:t xml:space="preserve"> funkcijas </w:t>
            </w:r>
            <w:r w:rsidR="004A4963">
              <w:rPr>
                <w:sz w:val="20"/>
                <w:szCs w:val="20"/>
              </w:rPr>
              <w:t>uzņēmuma</w:t>
            </w:r>
            <w:r w:rsidRPr="00C867FB">
              <w:rPr>
                <w:sz w:val="20"/>
                <w:szCs w:val="20"/>
              </w:rPr>
              <w:t xml:space="preserve"> grupas revīzijā, nav noslēgts rakstveida līgums, kas rada būtiskus riskus, galvenokārt klientam</w:t>
            </w:r>
            <w:r w:rsidR="00702BF3">
              <w:rPr>
                <w:sz w:val="20"/>
                <w:szCs w:val="20"/>
              </w:rPr>
              <w:t xml:space="preserve">. </w:t>
            </w:r>
          </w:p>
          <w:p w14:paraId="2337415C" w14:textId="139663C5" w:rsidR="005A1512" w:rsidRDefault="002E16F7" w:rsidP="00702BF3">
            <w:pPr>
              <w:rPr>
                <w:b/>
                <w:bCs/>
                <w:sz w:val="20"/>
                <w:szCs w:val="20"/>
              </w:rPr>
            </w:pPr>
            <w:r w:rsidRPr="00C867FB">
              <w:rPr>
                <w:sz w:val="20"/>
                <w:szCs w:val="20"/>
              </w:rPr>
              <w:t xml:space="preserve">Nav precīzi definēts sadarbības vienošanās priekšmets, kas var būtiski ietekmēt </w:t>
            </w:r>
            <w:r w:rsidR="0012015A">
              <w:rPr>
                <w:sz w:val="20"/>
                <w:szCs w:val="20"/>
              </w:rPr>
              <w:t xml:space="preserve">revīzijas uzdevuma </w:t>
            </w:r>
            <w:r w:rsidRPr="00C867FB">
              <w:rPr>
                <w:sz w:val="20"/>
                <w:szCs w:val="20"/>
              </w:rPr>
              <w:t>kvalitātes</w:t>
            </w:r>
            <w:r w:rsidR="0012015A">
              <w:rPr>
                <w:sz w:val="20"/>
                <w:szCs w:val="20"/>
              </w:rPr>
              <w:t xml:space="preserve"> </w:t>
            </w:r>
            <w:r w:rsidRPr="00C867FB">
              <w:rPr>
                <w:sz w:val="20"/>
                <w:szCs w:val="20"/>
              </w:rPr>
              <w:t xml:space="preserve">pārrauga veiktās pārbaudes kvalitāti. Lai gan </w:t>
            </w:r>
            <w:r w:rsidR="00A34CBD">
              <w:rPr>
                <w:sz w:val="20"/>
                <w:szCs w:val="20"/>
              </w:rPr>
              <w:lastRenderedPageBreak/>
              <w:t>prakses</w:t>
            </w:r>
            <w:r w:rsidRPr="00C867FB">
              <w:rPr>
                <w:sz w:val="20"/>
                <w:szCs w:val="20"/>
              </w:rPr>
              <w:t xml:space="preserve"> izstrādātā politika nosaka konkrētus nosacījumus darba uzdevuma kvalitātes pārraugam, šie nosacījumi nav iekļauti formālā dokumentā, ko paraksta kvalitātes pārraugs, kas piesaistīts ārpus </w:t>
            </w:r>
            <w:r w:rsidR="00A34CBD">
              <w:rPr>
                <w:sz w:val="20"/>
                <w:szCs w:val="20"/>
              </w:rPr>
              <w:t>prakses</w:t>
            </w:r>
            <w:r w:rsidRPr="00C867FB">
              <w:rPr>
                <w:sz w:val="20"/>
                <w:szCs w:val="20"/>
              </w:rPr>
              <w:t>.</w:t>
            </w:r>
          </w:p>
        </w:tc>
        <w:tc>
          <w:tcPr>
            <w:tcW w:w="1417" w:type="dxa"/>
          </w:tcPr>
          <w:p w14:paraId="2975E6D9" w14:textId="1903057A" w:rsidR="00F45314" w:rsidRPr="00F45314" w:rsidRDefault="00F45314" w:rsidP="00F45314">
            <w:pPr>
              <w:rPr>
                <w:color w:val="000000" w:themeColor="text1"/>
                <w:sz w:val="20"/>
                <w:szCs w:val="20"/>
              </w:rPr>
            </w:pPr>
            <w:r w:rsidRPr="00F45314">
              <w:rPr>
                <w:color w:val="000000" w:themeColor="text1"/>
                <w:sz w:val="20"/>
                <w:szCs w:val="20"/>
              </w:rPr>
              <w:lastRenderedPageBreak/>
              <w:t>1.Starptautiskā kvalitātes vadības standarta 16.t) punkts, 29</w:t>
            </w:r>
            <w:r w:rsidR="007C56F3">
              <w:rPr>
                <w:color w:val="000000" w:themeColor="text1"/>
                <w:sz w:val="20"/>
                <w:szCs w:val="20"/>
              </w:rPr>
              <w:t>. </w:t>
            </w:r>
            <w:r w:rsidRPr="00F45314">
              <w:rPr>
                <w:color w:val="000000" w:themeColor="text1"/>
                <w:sz w:val="20"/>
                <w:szCs w:val="20"/>
              </w:rPr>
              <w:t xml:space="preserve">punkts, A62. punkts, A65. punkts, </w:t>
            </w:r>
          </w:p>
          <w:p w14:paraId="2B25E8A0" w14:textId="77777777" w:rsidR="00F45314" w:rsidRPr="00F45314" w:rsidRDefault="00F45314" w:rsidP="00F45314">
            <w:pPr>
              <w:rPr>
                <w:color w:val="000000" w:themeColor="text1"/>
                <w:sz w:val="20"/>
                <w:szCs w:val="20"/>
              </w:rPr>
            </w:pPr>
          </w:p>
          <w:p w14:paraId="19D326F0" w14:textId="685A1B23" w:rsidR="005A1512" w:rsidRPr="006D4E3F" w:rsidRDefault="00F45314" w:rsidP="00F45314">
            <w:pPr>
              <w:rPr>
                <w:color w:val="000000" w:themeColor="text1"/>
                <w:sz w:val="20"/>
                <w:szCs w:val="20"/>
              </w:rPr>
            </w:pPr>
            <w:r w:rsidRPr="00F45314">
              <w:rPr>
                <w:color w:val="000000" w:themeColor="text1"/>
                <w:sz w:val="20"/>
                <w:szCs w:val="20"/>
              </w:rPr>
              <w:t>Revīzijas pakalpojumu likuma 27.pants.</w:t>
            </w:r>
          </w:p>
        </w:tc>
        <w:tc>
          <w:tcPr>
            <w:tcW w:w="1701" w:type="dxa"/>
          </w:tcPr>
          <w:p w14:paraId="486281F6" w14:textId="19AF75C8" w:rsidR="006A6D09" w:rsidRDefault="006A6D09" w:rsidP="00D51319">
            <w:pPr>
              <w:rPr>
                <w:sz w:val="20"/>
                <w:szCs w:val="20"/>
              </w:rPr>
            </w:pPr>
            <w:r w:rsidRPr="006A6D09">
              <w:rPr>
                <w:sz w:val="20"/>
                <w:szCs w:val="20"/>
              </w:rPr>
              <w:t>Lai nodrošinātu revīzijas uzdevuma kvalitāti, kā arī klientu interešu aizsardzību un konfidencialitātes prasību ievērošanu, pirms ārpakalpojumu izmantošanas, praksei ir jāslēdz rakstveida līgumi ar visiem ārpakalpojuma sniedzējiem</w:t>
            </w:r>
            <w:r>
              <w:rPr>
                <w:sz w:val="20"/>
                <w:szCs w:val="20"/>
              </w:rPr>
              <w:t>.</w:t>
            </w:r>
          </w:p>
          <w:p w14:paraId="38B0C762" w14:textId="77777777" w:rsidR="006A6D09" w:rsidRDefault="006A6D09" w:rsidP="00D51319">
            <w:pPr>
              <w:rPr>
                <w:sz w:val="20"/>
                <w:szCs w:val="20"/>
              </w:rPr>
            </w:pPr>
          </w:p>
          <w:p w14:paraId="35709F7C" w14:textId="77777777" w:rsidR="006A6D09" w:rsidRDefault="006A6D09" w:rsidP="00D51319">
            <w:pPr>
              <w:rPr>
                <w:sz w:val="20"/>
                <w:szCs w:val="20"/>
              </w:rPr>
            </w:pPr>
          </w:p>
          <w:p w14:paraId="548987B9" w14:textId="6330943A" w:rsidR="005A1512" w:rsidRPr="00D51319" w:rsidRDefault="005A1512" w:rsidP="00D51319">
            <w:pPr>
              <w:rPr>
                <w:sz w:val="20"/>
                <w:szCs w:val="20"/>
              </w:rPr>
            </w:pPr>
          </w:p>
        </w:tc>
        <w:tc>
          <w:tcPr>
            <w:tcW w:w="1276" w:type="dxa"/>
          </w:tcPr>
          <w:p w14:paraId="3B28A970" w14:textId="77777777" w:rsidR="005A1512" w:rsidRDefault="005A1512" w:rsidP="00B52188">
            <w:pPr>
              <w:rPr>
                <w:color w:val="000000" w:themeColor="text1"/>
                <w:sz w:val="20"/>
                <w:szCs w:val="20"/>
              </w:rPr>
            </w:pPr>
          </w:p>
        </w:tc>
      </w:tr>
      <w:tr w:rsidR="005A1512" w:rsidRPr="003224AC" w14:paraId="2CCE72CB" w14:textId="77777777" w:rsidTr="007B758A">
        <w:trPr>
          <w:trHeight w:val="521"/>
        </w:trPr>
        <w:tc>
          <w:tcPr>
            <w:tcW w:w="568" w:type="dxa"/>
          </w:tcPr>
          <w:p w14:paraId="6959DC7F" w14:textId="77777777" w:rsidR="005A1512" w:rsidRDefault="005A1512" w:rsidP="00B52188">
            <w:pPr>
              <w:rPr>
                <w:sz w:val="20"/>
                <w:szCs w:val="20"/>
              </w:rPr>
            </w:pPr>
          </w:p>
        </w:tc>
        <w:tc>
          <w:tcPr>
            <w:tcW w:w="1843" w:type="dxa"/>
          </w:tcPr>
          <w:p w14:paraId="376CF5C3" w14:textId="77777777" w:rsidR="005A1512" w:rsidRDefault="005A1512" w:rsidP="00B52188">
            <w:pPr>
              <w:rPr>
                <w:b/>
                <w:bCs/>
                <w:color w:val="000000" w:themeColor="text1"/>
                <w:sz w:val="20"/>
                <w:szCs w:val="20"/>
              </w:rPr>
            </w:pPr>
          </w:p>
        </w:tc>
        <w:tc>
          <w:tcPr>
            <w:tcW w:w="1275" w:type="dxa"/>
          </w:tcPr>
          <w:p w14:paraId="6A1D1CD1" w14:textId="77777777" w:rsidR="005A1512" w:rsidRPr="001E35DD" w:rsidRDefault="005A1512" w:rsidP="00B52188">
            <w:pPr>
              <w:rPr>
                <w:sz w:val="20"/>
                <w:szCs w:val="20"/>
              </w:rPr>
            </w:pPr>
          </w:p>
        </w:tc>
        <w:tc>
          <w:tcPr>
            <w:tcW w:w="1418" w:type="dxa"/>
          </w:tcPr>
          <w:p w14:paraId="79E77C1A" w14:textId="77777777" w:rsidR="005A1512" w:rsidRPr="00990774" w:rsidRDefault="005A1512" w:rsidP="00B52188">
            <w:pPr>
              <w:rPr>
                <w:sz w:val="20"/>
                <w:szCs w:val="20"/>
              </w:rPr>
            </w:pPr>
          </w:p>
        </w:tc>
        <w:tc>
          <w:tcPr>
            <w:tcW w:w="1701" w:type="dxa"/>
          </w:tcPr>
          <w:p w14:paraId="4090ED27" w14:textId="77777777" w:rsidR="005A1512" w:rsidRPr="00990774" w:rsidRDefault="005A1512" w:rsidP="00B52188">
            <w:pPr>
              <w:rPr>
                <w:sz w:val="20"/>
                <w:szCs w:val="20"/>
              </w:rPr>
            </w:pPr>
          </w:p>
        </w:tc>
        <w:tc>
          <w:tcPr>
            <w:tcW w:w="1417" w:type="dxa"/>
          </w:tcPr>
          <w:p w14:paraId="12E6C6D0" w14:textId="77777777" w:rsidR="005A1512" w:rsidRPr="00990774" w:rsidRDefault="005A1512" w:rsidP="00B52188">
            <w:pPr>
              <w:rPr>
                <w:color w:val="000000" w:themeColor="text1"/>
                <w:sz w:val="20"/>
                <w:szCs w:val="20"/>
              </w:rPr>
            </w:pPr>
          </w:p>
        </w:tc>
        <w:tc>
          <w:tcPr>
            <w:tcW w:w="993" w:type="dxa"/>
          </w:tcPr>
          <w:p w14:paraId="3A65E4A4" w14:textId="77777777" w:rsidR="005A1512" w:rsidRPr="00990774" w:rsidRDefault="005A1512" w:rsidP="00B52188">
            <w:pPr>
              <w:rPr>
                <w:color w:val="000000" w:themeColor="text1"/>
                <w:sz w:val="20"/>
                <w:szCs w:val="20"/>
              </w:rPr>
            </w:pPr>
          </w:p>
        </w:tc>
        <w:tc>
          <w:tcPr>
            <w:tcW w:w="2126" w:type="dxa"/>
          </w:tcPr>
          <w:p w14:paraId="72014190" w14:textId="1327C3BD" w:rsidR="005A1512" w:rsidRDefault="00CE7353" w:rsidP="00B52188">
            <w:pPr>
              <w:rPr>
                <w:b/>
                <w:bCs/>
                <w:sz w:val="20"/>
                <w:szCs w:val="20"/>
              </w:rPr>
            </w:pPr>
            <w:r>
              <w:rPr>
                <w:sz w:val="20"/>
                <w:szCs w:val="20"/>
              </w:rPr>
              <w:t>Praksei</w:t>
            </w:r>
            <w:r w:rsidRPr="00CE7353">
              <w:rPr>
                <w:sz w:val="20"/>
                <w:szCs w:val="20"/>
              </w:rPr>
              <w:t xml:space="preserve"> nav definētas darbības jomas vai klientu profili, ar kuriem zvērinātu revidentu prakse nesadarbojas, līdz ar to nav skaidri noteikti ierobežojumi attiecībā uz nepieļaujamām sadarbības situācijām.</w:t>
            </w:r>
          </w:p>
        </w:tc>
        <w:tc>
          <w:tcPr>
            <w:tcW w:w="1417" w:type="dxa"/>
          </w:tcPr>
          <w:p w14:paraId="5A9CCAE0" w14:textId="23F5E1A1" w:rsidR="008F10BC" w:rsidRPr="008F10BC" w:rsidRDefault="008F10BC" w:rsidP="008F10BC">
            <w:pPr>
              <w:rPr>
                <w:color w:val="000000" w:themeColor="text1"/>
                <w:sz w:val="20"/>
                <w:szCs w:val="20"/>
              </w:rPr>
            </w:pPr>
            <w:r w:rsidRPr="008F10BC">
              <w:rPr>
                <w:color w:val="000000" w:themeColor="text1"/>
                <w:sz w:val="20"/>
                <w:szCs w:val="20"/>
              </w:rPr>
              <w:t>1.Starptautiskā kvalitātes vadības standarta 30.</w:t>
            </w:r>
            <w:r w:rsidR="007C56F3">
              <w:rPr>
                <w:color w:val="000000" w:themeColor="text1"/>
                <w:sz w:val="20"/>
                <w:szCs w:val="20"/>
              </w:rPr>
              <w:t> </w:t>
            </w:r>
            <w:r w:rsidRPr="008F10BC">
              <w:rPr>
                <w:color w:val="000000" w:themeColor="text1"/>
                <w:sz w:val="20"/>
                <w:szCs w:val="20"/>
              </w:rPr>
              <w:t>(a) punkts.</w:t>
            </w:r>
          </w:p>
          <w:p w14:paraId="4C1FCAF7" w14:textId="77777777" w:rsidR="008F10BC" w:rsidRPr="008F10BC" w:rsidRDefault="008F10BC" w:rsidP="008F10BC">
            <w:pPr>
              <w:rPr>
                <w:color w:val="000000" w:themeColor="text1"/>
                <w:sz w:val="20"/>
                <w:szCs w:val="20"/>
              </w:rPr>
            </w:pPr>
          </w:p>
          <w:p w14:paraId="353D3749" w14:textId="52F2008F" w:rsidR="005A1512" w:rsidRPr="006D4E3F" w:rsidRDefault="008F10BC" w:rsidP="008F10BC">
            <w:pPr>
              <w:rPr>
                <w:color w:val="000000" w:themeColor="text1"/>
                <w:sz w:val="20"/>
                <w:szCs w:val="20"/>
              </w:rPr>
            </w:pPr>
            <w:r w:rsidRPr="008F10BC">
              <w:rPr>
                <w:color w:val="000000" w:themeColor="text1"/>
                <w:sz w:val="20"/>
                <w:szCs w:val="20"/>
              </w:rPr>
              <w:t>220.</w:t>
            </w:r>
            <w:r w:rsidR="00B133B2">
              <w:rPr>
                <w:color w:val="000000" w:themeColor="text1"/>
                <w:sz w:val="20"/>
                <w:szCs w:val="20"/>
              </w:rPr>
              <w:t>SRS</w:t>
            </w:r>
            <w:r w:rsidR="00AA66C5">
              <w:rPr>
                <w:rStyle w:val="FootnoteReference"/>
                <w:color w:val="000000" w:themeColor="text1"/>
                <w:sz w:val="20"/>
                <w:szCs w:val="20"/>
              </w:rPr>
              <w:footnoteReference w:id="8"/>
            </w:r>
            <w:r w:rsidRPr="008F10BC">
              <w:rPr>
                <w:color w:val="000000" w:themeColor="text1"/>
                <w:sz w:val="20"/>
                <w:szCs w:val="20"/>
              </w:rPr>
              <w:t xml:space="preserve"> 22-24.punkts, A50.punkts</w:t>
            </w:r>
          </w:p>
        </w:tc>
        <w:tc>
          <w:tcPr>
            <w:tcW w:w="1701" w:type="dxa"/>
          </w:tcPr>
          <w:p w14:paraId="087EBCAC" w14:textId="472112D4" w:rsidR="005A1512" w:rsidRPr="00D51319" w:rsidRDefault="00096F04" w:rsidP="00D51319">
            <w:pPr>
              <w:rPr>
                <w:sz w:val="20"/>
                <w:szCs w:val="20"/>
              </w:rPr>
            </w:pPr>
            <w:r>
              <w:rPr>
                <w:sz w:val="20"/>
                <w:szCs w:val="20"/>
              </w:rPr>
              <w:t>Prakses</w:t>
            </w:r>
            <w:r w:rsidR="007A382B" w:rsidRPr="007A382B">
              <w:rPr>
                <w:sz w:val="20"/>
                <w:szCs w:val="20"/>
              </w:rPr>
              <w:t xml:space="preserve"> politikās ir jādefinē nepieņemamais riska līmenis (riska tolerance), kā arī jānosaka nepieņemamās klientu iezīmes un situācija</w:t>
            </w:r>
            <w:r w:rsidR="00985F3C">
              <w:rPr>
                <w:sz w:val="20"/>
                <w:szCs w:val="20"/>
              </w:rPr>
              <w:t>s</w:t>
            </w:r>
            <w:r w:rsidR="007A382B" w:rsidRPr="007A382B">
              <w:rPr>
                <w:sz w:val="20"/>
                <w:szCs w:val="20"/>
              </w:rPr>
              <w:t>, kurā</w:t>
            </w:r>
            <w:r w:rsidR="0004667D">
              <w:rPr>
                <w:sz w:val="20"/>
                <w:szCs w:val="20"/>
              </w:rPr>
              <w:t>s</w:t>
            </w:r>
            <w:r w:rsidR="007A382B" w:rsidRPr="007A382B">
              <w:rPr>
                <w:sz w:val="20"/>
                <w:szCs w:val="20"/>
              </w:rPr>
              <w:t xml:space="preserve"> uzņēmums nesadarbojas un kuras neatbilst zvērinātu</w:t>
            </w:r>
            <w:r w:rsidR="00E953A9">
              <w:t xml:space="preserve"> </w:t>
            </w:r>
            <w:r w:rsidR="00E953A9" w:rsidRPr="00E953A9">
              <w:rPr>
                <w:sz w:val="20"/>
                <w:szCs w:val="20"/>
              </w:rPr>
              <w:t>revidentu prakses prasībām.</w:t>
            </w:r>
          </w:p>
        </w:tc>
        <w:tc>
          <w:tcPr>
            <w:tcW w:w="1276" w:type="dxa"/>
          </w:tcPr>
          <w:p w14:paraId="0118BB1A" w14:textId="77777777" w:rsidR="005A1512" w:rsidRDefault="005A1512" w:rsidP="00B52188">
            <w:pPr>
              <w:rPr>
                <w:color w:val="000000" w:themeColor="text1"/>
                <w:sz w:val="20"/>
                <w:szCs w:val="20"/>
              </w:rPr>
            </w:pPr>
          </w:p>
        </w:tc>
      </w:tr>
      <w:tr w:rsidR="005A1512" w:rsidRPr="003224AC" w14:paraId="41012C21" w14:textId="77777777" w:rsidTr="007B758A">
        <w:trPr>
          <w:trHeight w:val="1230"/>
        </w:trPr>
        <w:tc>
          <w:tcPr>
            <w:tcW w:w="568" w:type="dxa"/>
          </w:tcPr>
          <w:p w14:paraId="7D6549E8" w14:textId="77777777" w:rsidR="005A1512" w:rsidRDefault="005A1512" w:rsidP="00B52188">
            <w:pPr>
              <w:rPr>
                <w:sz w:val="20"/>
                <w:szCs w:val="20"/>
              </w:rPr>
            </w:pPr>
          </w:p>
        </w:tc>
        <w:tc>
          <w:tcPr>
            <w:tcW w:w="1843" w:type="dxa"/>
          </w:tcPr>
          <w:p w14:paraId="31D1552C" w14:textId="77777777" w:rsidR="005A1512" w:rsidRDefault="005A1512" w:rsidP="00B52188">
            <w:pPr>
              <w:rPr>
                <w:b/>
                <w:bCs/>
                <w:color w:val="000000" w:themeColor="text1"/>
                <w:sz w:val="20"/>
                <w:szCs w:val="20"/>
              </w:rPr>
            </w:pPr>
          </w:p>
        </w:tc>
        <w:tc>
          <w:tcPr>
            <w:tcW w:w="1275" w:type="dxa"/>
          </w:tcPr>
          <w:p w14:paraId="46BD579E" w14:textId="77777777" w:rsidR="005A1512" w:rsidRPr="001E35DD" w:rsidRDefault="005A1512" w:rsidP="00B52188">
            <w:pPr>
              <w:rPr>
                <w:sz w:val="20"/>
                <w:szCs w:val="20"/>
              </w:rPr>
            </w:pPr>
          </w:p>
        </w:tc>
        <w:tc>
          <w:tcPr>
            <w:tcW w:w="1418" w:type="dxa"/>
          </w:tcPr>
          <w:p w14:paraId="68D7320C" w14:textId="77777777" w:rsidR="005A1512" w:rsidRPr="00990774" w:rsidRDefault="005A1512" w:rsidP="00B52188">
            <w:pPr>
              <w:rPr>
                <w:sz w:val="20"/>
                <w:szCs w:val="20"/>
              </w:rPr>
            </w:pPr>
          </w:p>
        </w:tc>
        <w:tc>
          <w:tcPr>
            <w:tcW w:w="1701" w:type="dxa"/>
          </w:tcPr>
          <w:p w14:paraId="22A7D48C" w14:textId="77777777" w:rsidR="005A1512" w:rsidRPr="00990774" w:rsidRDefault="005A1512" w:rsidP="00B52188">
            <w:pPr>
              <w:rPr>
                <w:sz w:val="20"/>
                <w:szCs w:val="20"/>
              </w:rPr>
            </w:pPr>
          </w:p>
        </w:tc>
        <w:tc>
          <w:tcPr>
            <w:tcW w:w="1417" w:type="dxa"/>
          </w:tcPr>
          <w:p w14:paraId="1B91BEB3" w14:textId="77777777" w:rsidR="005A1512" w:rsidRPr="00990774" w:rsidRDefault="005A1512" w:rsidP="00B52188">
            <w:pPr>
              <w:rPr>
                <w:color w:val="000000" w:themeColor="text1"/>
                <w:sz w:val="20"/>
                <w:szCs w:val="20"/>
              </w:rPr>
            </w:pPr>
          </w:p>
        </w:tc>
        <w:tc>
          <w:tcPr>
            <w:tcW w:w="993" w:type="dxa"/>
          </w:tcPr>
          <w:p w14:paraId="414DA993" w14:textId="77777777" w:rsidR="005A1512" w:rsidRPr="00990774" w:rsidRDefault="005A1512" w:rsidP="00B52188">
            <w:pPr>
              <w:rPr>
                <w:color w:val="000000" w:themeColor="text1"/>
                <w:sz w:val="20"/>
                <w:szCs w:val="20"/>
              </w:rPr>
            </w:pPr>
          </w:p>
        </w:tc>
        <w:tc>
          <w:tcPr>
            <w:tcW w:w="2126" w:type="dxa"/>
          </w:tcPr>
          <w:p w14:paraId="5B6F505B" w14:textId="73C70578" w:rsidR="005A1512" w:rsidRDefault="00DD16BC" w:rsidP="00B52188">
            <w:pPr>
              <w:rPr>
                <w:b/>
                <w:bCs/>
                <w:sz w:val="20"/>
                <w:szCs w:val="20"/>
              </w:rPr>
            </w:pPr>
            <w:r>
              <w:rPr>
                <w:sz w:val="20"/>
                <w:szCs w:val="20"/>
              </w:rPr>
              <w:t>Prakse</w:t>
            </w:r>
            <w:r w:rsidR="008E1146">
              <w:rPr>
                <w:sz w:val="20"/>
                <w:szCs w:val="20"/>
              </w:rPr>
              <w:t>i</w:t>
            </w:r>
            <w:r w:rsidR="00AB5358" w:rsidRPr="00DA774B">
              <w:rPr>
                <w:sz w:val="20"/>
                <w:szCs w:val="20"/>
              </w:rPr>
              <w:t>, akceptējot klientu,</w:t>
            </w:r>
            <w:r w:rsidR="00504A2B">
              <w:rPr>
                <w:sz w:val="20"/>
                <w:szCs w:val="20"/>
              </w:rPr>
              <w:t xml:space="preserve"> un,</w:t>
            </w:r>
            <w:r w:rsidR="00AB5358" w:rsidRPr="00DA774B">
              <w:rPr>
                <w:sz w:val="20"/>
                <w:szCs w:val="20"/>
              </w:rPr>
              <w:t xml:space="preserve"> kur par revīzijas atbildīgo revidentu ir noteikts ārpakalpojuma sniedzējs, atbildīgais </w:t>
            </w:r>
            <w:r w:rsidR="00414D01">
              <w:rPr>
                <w:sz w:val="20"/>
                <w:szCs w:val="20"/>
              </w:rPr>
              <w:t xml:space="preserve">zvērinātais </w:t>
            </w:r>
            <w:r w:rsidR="00AB5358" w:rsidRPr="00DA774B">
              <w:rPr>
                <w:sz w:val="20"/>
                <w:szCs w:val="20"/>
              </w:rPr>
              <w:t xml:space="preserve">revidents aktīvi nepiedalās akceptēšanas procedūrā. Akceptēšanas procedūras laikā ar </w:t>
            </w:r>
            <w:r w:rsidR="00080019">
              <w:rPr>
                <w:sz w:val="20"/>
                <w:szCs w:val="20"/>
              </w:rPr>
              <w:t xml:space="preserve">atbildīgo zvērināto </w:t>
            </w:r>
            <w:r w:rsidR="00080019">
              <w:rPr>
                <w:sz w:val="20"/>
                <w:szCs w:val="20"/>
              </w:rPr>
              <w:lastRenderedPageBreak/>
              <w:t>revidentu</w:t>
            </w:r>
            <w:r w:rsidR="00AB5358" w:rsidRPr="00DA774B">
              <w:rPr>
                <w:sz w:val="20"/>
                <w:szCs w:val="20"/>
              </w:rPr>
              <w:t xml:space="preserve"> nav noslēgts uzņēmuma līgums</w:t>
            </w:r>
            <w:r w:rsidR="00DA774B" w:rsidRPr="00DA774B">
              <w:rPr>
                <w:sz w:val="20"/>
                <w:szCs w:val="20"/>
              </w:rPr>
              <w:t>.</w:t>
            </w:r>
          </w:p>
        </w:tc>
        <w:tc>
          <w:tcPr>
            <w:tcW w:w="1417" w:type="dxa"/>
          </w:tcPr>
          <w:p w14:paraId="5D77E7FA" w14:textId="77777777" w:rsidR="0043106D" w:rsidRPr="0043106D" w:rsidRDefault="0043106D" w:rsidP="0043106D">
            <w:pPr>
              <w:rPr>
                <w:color w:val="000000" w:themeColor="text1"/>
                <w:sz w:val="20"/>
                <w:szCs w:val="20"/>
              </w:rPr>
            </w:pPr>
            <w:r w:rsidRPr="0043106D">
              <w:rPr>
                <w:color w:val="000000" w:themeColor="text1"/>
                <w:sz w:val="20"/>
                <w:szCs w:val="20"/>
              </w:rPr>
              <w:lastRenderedPageBreak/>
              <w:t>210.SRS 3.punkts</w:t>
            </w:r>
          </w:p>
          <w:p w14:paraId="5C0B3C68" w14:textId="77777777" w:rsidR="0043106D" w:rsidRPr="0043106D" w:rsidRDefault="0043106D" w:rsidP="0043106D">
            <w:pPr>
              <w:rPr>
                <w:color w:val="000000" w:themeColor="text1"/>
                <w:sz w:val="20"/>
                <w:szCs w:val="20"/>
              </w:rPr>
            </w:pPr>
          </w:p>
          <w:p w14:paraId="361952C6" w14:textId="77777777" w:rsidR="0043106D" w:rsidRPr="0043106D" w:rsidRDefault="0043106D" w:rsidP="0043106D">
            <w:pPr>
              <w:rPr>
                <w:color w:val="000000" w:themeColor="text1"/>
                <w:sz w:val="20"/>
                <w:szCs w:val="20"/>
              </w:rPr>
            </w:pPr>
            <w:r w:rsidRPr="0043106D">
              <w:rPr>
                <w:color w:val="000000" w:themeColor="text1"/>
                <w:sz w:val="20"/>
                <w:szCs w:val="20"/>
              </w:rPr>
              <w:t>220.SRS 22.punkts, 23.punkts un A50.punkts</w:t>
            </w:r>
          </w:p>
          <w:p w14:paraId="04894C7A" w14:textId="77777777" w:rsidR="0043106D" w:rsidRPr="0043106D" w:rsidRDefault="0043106D" w:rsidP="0043106D">
            <w:pPr>
              <w:rPr>
                <w:color w:val="000000" w:themeColor="text1"/>
                <w:sz w:val="20"/>
                <w:szCs w:val="20"/>
              </w:rPr>
            </w:pPr>
          </w:p>
          <w:p w14:paraId="586A98BC" w14:textId="2F61740D" w:rsidR="005A1512" w:rsidRPr="006D4E3F" w:rsidRDefault="0043106D" w:rsidP="0043106D">
            <w:pPr>
              <w:rPr>
                <w:color w:val="000000" w:themeColor="text1"/>
                <w:sz w:val="20"/>
                <w:szCs w:val="20"/>
              </w:rPr>
            </w:pPr>
            <w:r w:rsidRPr="0043106D">
              <w:rPr>
                <w:color w:val="000000" w:themeColor="text1"/>
                <w:sz w:val="20"/>
                <w:szCs w:val="20"/>
              </w:rPr>
              <w:t xml:space="preserve">1.Starptautiskā kvalitātes vadības standarta 30. (a) (ii) punkts, </w:t>
            </w:r>
            <w:r w:rsidRPr="0043106D">
              <w:rPr>
                <w:color w:val="000000" w:themeColor="text1"/>
                <w:sz w:val="20"/>
                <w:szCs w:val="20"/>
              </w:rPr>
              <w:lastRenderedPageBreak/>
              <w:t>A70.punkts, A72 punkts.</w:t>
            </w:r>
          </w:p>
        </w:tc>
        <w:tc>
          <w:tcPr>
            <w:tcW w:w="1701" w:type="dxa"/>
          </w:tcPr>
          <w:p w14:paraId="0C7250CC" w14:textId="508EA9BC" w:rsidR="005A1512" w:rsidRPr="00D51319" w:rsidRDefault="00DA774B" w:rsidP="00D51319">
            <w:pPr>
              <w:rPr>
                <w:sz w:val="20"/>
                <w:szCs w:val="20"/>
              </w:rPr>
            </w:pPr>
            <w:r w:rsidRPr="00DA774B">
              <w:rPr>
                <w:sz w:val="20"/>
                <w:szCs w:val="20"/>
              </w:rPr>
              <w:lastRenderedPageBreak/>
              <w:t>Gadījumā, ja revīzijas uzdevums tiek uzticēts ārpakalpojuma sniedzējam, kurš pildīs atbildīg</w:t>
            </w:r>
            <w:r>
              <w:rPr>
                <w:sz w:val="20"/>
                <w:szCs w:val="20"/>
              </w:rPr>
              <w:t>ā</w:t>
            </w:r>
            <w:r w:rsidRPr="00DA774B">
              <w:rPr>
                <w:sz w:val="20"/>
                <w:szCs w:val="20"/>
              </w:rPr>
              <w:t xml:space="preserve"> </w:t>
            </w:r>
            <w:r>
              <w:rPr>
                <w:sz w:val="20"/>
                <w:szCs w:val="20"/>
              </w:rPr>
              <w:t xml:space="preserve">zvērinātā </w:t>
            </w:r>
            <w:r w:rsidRPr="00DA774B">
              <w:rPr>
                <w:sz w:val="20"/>
                <w:szCs w:val="20"/>
              </w:rPr>
              <w:t xml:space="preserve">revidenta funkcijas, </w:t>
            </w:r>
            <w:r>
              <w:rPr>
                <w:sz w:val="20"/>
                <w:szCs w:val="20"/>
              </w:rPr>
              <w:t>praksei</w:t>
            </w:r>
            <w:r w:rsidRPr="00DA774B">
              <w:rPr>
                <w:sz w:val="20"/>
                <w:szCs w:val="20"/>
              </w:rPr>
              <w:t xml:space="preserve"> </w:t>
            </w:r>
            <w:r w:rsidR="00D503B0">
              <w:rPr>
                <w:sz w:val="20"/>
                <w:szCs w:val="20"/>
              </w:rPr>
              <w:t>ir</w:t>
            </w:r>
            <w:r w:rsidR="00D503B0" w:rsidRPr="00DA774B">
              <w:rPr>
                <w:sz w:val="20"/>
                <w:szCs w:val="20"/>
              </w:rPr>
              <w:t xml:space="preserve"> </w:t>
            </w:r>
            <w:r w:rsidRPr="00DA774B">
              <w:rPr>
                <w:sz w:val="20"/>
                <w:szCs w:val="20"/>
              </w:rPr>
              <w:t xml:space="preserve">jānodrošina, ka atbildīgais </w:t>
            </w:r>
            <w:r>
              <w:rPr>
                <w:sz w:val="20"/>
                <w:szCs w:val="20"/>
              </w:rPr>
              <w:t xml:space="preserve">zvērināts </w:t>
            </w:r>
            <w:r w:rsidRPr="00DA774B">
              <w:rPr>
                <w:sz w:val="20"/>
                <w:szCs w:val="20"/>
              </w:rPr>
              <w:lastRenderedPageBreak/>
              <w:t>revidents tiek piesaistīts klienta akceptēšanas procedūras laikā.</w:t>
            </w:r>
          </w:p>
        </w:tc>
        <w:tc>
          <w:tcPr>
            <w:tcW w:w="1276" w:type="dxa"/>
          </w:tcPr>
          <w:p w14:paraId="18925630" w14:textId="77777777" w:rsidR="005A1512" w:rsidRDefault="005A1512" w:rsidP="00B52188">
            <w:pPr>
              <w:rPr>
                <w:color w:val="000000" w:themeColor="text1"/>
                <w:sz w:val="20"/>
                <w:szCs w:val="20"/>
              </w:rPr>
            </w:pPr>
          </w:p>
        </w:tc>
      </w:tr>
      <w:tr w:rsidR="005A1512" w:rsidRPr="003224AC" w14:paraId="7A73602D" w14:textId="77777777" w:rsidTr="007B758A">
        <w:trPr>
          <w:trHeight w:val="521"/>
        </w:trPr>
        <w:tc>
          <w:tcPr>
            <w:tcW w:w="568" w:type="dxa"/>
          </w:tcPr>
          <w:p w14:paraId="647384F4" w14:textId="77777777" w:rsidR="005A1512" w:rsidRDefault="005A1512" w:rsidP="00B52188">
            <w:pPr>
              <w:rPr>
                <w:sz w:val="20"/>
                <w:szCs w:val="20"/>
              </w:rPr>
            </w:pPr>
          </w:p>
        </w:tc>
        <w:tc>
          <w:tcPr>
            <w:tcW w:w="1843" w:type="dxa"/>
          </w:tcPr>
          <w:p w14:paraId="3EC06752" w14:textId="77777777" w:rsidR="005A1512" w:rsidRDefault="005A1512" w:rsidP="00B52188">
            <w:pPr>
              <w:rPr>
                <w:b/>
                <w:bCs/>
                <w:color w:val="000000" w:themeColor="text1"/>
                <w:sz w:val="20"/>
                <w:szCs w:val="20"/>
              </w:rPr>
            </w:pPr>
          </w:p>
        </w:tc>
        <w:tc>
          <w:tcPr>
            <w:tcW w:w="1275" w:type="dxa"/>
          </w:tcPr>
          <w:p w14:paraId="76489718" w14:textId="77777777" w:rsidR="005A1512" w:rsidRPr="001E35DD" w:rsidRDefault="005A1512" w:rsidP="00B52188">
            <w:pPr>
              <w:rPr>
                <w:sz w:val="20"/>
                <w:szCs w:val="20"/>
              </w:rPr>
            </w:pPr>
          </w:p>
        </w:tc>
        <w:tc>
          <w:tcPr>
            <w:tcW w:w="1418" w:type="dxa"/>
          </w:tcPr>
          <w:p w14:paraId="59D9598C" w14:textId="77777777" w:rsidR="005A1512" w:rsidRPr="00990774" w:rsidRDefault="005A1512" w:rsidP="00B52188">
            <w:pPr>
              <w:rPr>
                <w:sz w:val="20"/>
                <w:szCs w:val="20"/>
              </w:rPr>
            </w:pPr>
          </w:p>
        </w:tc>
        <w:tc>
          <w:tcPr>
            <w:tcW w:w="1701" w:type="dxa"/>
          </w:tcPr>
          <w:p w14:paraId="024D2402" w14:textId="77777777" w:rsidR="005A1512" w:rsidRPr="00990774" w:rsidRDefault="005A1512" w:rsidP="00B52188">
            <w:pPr>
              <w:rPr>
                <w:sz w:val="20"/>
                <w:szCs w:val="20"/>
              </w:rPr>
            </w:pPr>
          </w:p>
        </w:tc>
        <w:tc>
          <w:tcPr>
            <w:tcW w:w="1417" w:type="dxa"/>
          </w:tcPr>
          <w:p w14:paraId="646B1387" w14:textId="77777777" w:rsidR="005A1512" w:rsidRPr="00990774" w:rsidRDefault="005A1512" w:rsidP="00B52188">
            <w:pPr>
              <w:rPr>
                <w:color w:val="000000" w:themeColor="text1"/>
                <w:sz w:val="20"/>
                <w:szCs w:val="20"/>
              </w:rPr>
            </w:pPr>
          </w:p>
        </w:tc>
        <w:tc>
          <w:tcPr>
            <w:tcW w:w="993" w:type="dxa"/>
          </w:tcPr>
          <w:p w14:paraId="7AD901BA" w14:textId="77777777" w:rsidR="005A1512" w:rsidRPr="00990774" w:rsidRDefault="005A1512" w:rsidP="00B52188">
            <w:pPr>
              <w:rPr>
                <w:color w:val="000000" w:themeColor="text1"/>
                <w:sz w:val="20"/>
                <w:szCs w:val="20"/>
              </w:rPr>
            </w:pPr>
          </w:p>
        </w:tc>
        <w:tc>
          <w:tcPr>
            <w:tcW w:w="2126" w:type="dxa"/>
          </w:tcPr>
          <w:p w14:paraId="72242BB0" w14:textId="3529B784" w:rsidR="005A1512" w:rsidRDefault="00287BF4" w:rsidP="00B52188">
            <w:pPr>
              <w:rPr>
                <w:b/>
                <w:bCs/>
                <w:sz w:val="20"/>
                <w:szCs w:val="20"/>
              </w:rPr>
            </w:pPr>
            <w:r>
              <w:rPr>
                <w:sz w:val="20"/>
                <w:szCs w:val="20"/>
              </w:rPr>
              <w:t>Prakses</w:t>
            </w:r>
            <w:r w:rsidRPr="00287BF4">
              <w:rPr>
                <w:sz w:val="20"/>
                <w:szCs w:val="20"/>
              </w:rPr>
              <w:t xml:space="preserve"> partneriem un izpilddirektoriem pildot atbildīgā </w:t>
            </w:r>
            <w:r>
              <w:rPr>
                <w:sz w:val="20"/>
                <w:szCs w:val="20"/>
              </w:rPr>
              <w:t xml:space="preserve">zvērinātā </w:t>
            </w:r>
            <w:r w:rsidRPr="00287BF4">
              <w:rPr>
                <w:sz w:val="20"/>
                <w:szCs w:val="20"/>
              </w:rPr>
              <w:t xml:space="preserve">revidenta asistenta lomu (pozicionējot sevi par atbildīgajiem par konkrēto projektu), rodas būtisks risks, ka atbildīgā </w:t>
            </w:r>
            <w:r>
              <w:rPr>
                <w:sz w:val="20"/>
                <w:szCs w:val="20"/>
              </w:rPr>
              <w:t xml:space="preserve">zvērinātā </w:t>
            </w:r>
            <w:r w:rsidRPr="00287BF4">
              <w:rPr>
                <w:sz w:val="20"/>
                <w:szCs w:val="20"/>
              </w:rPr>
              <w:t>revidenta lēmumi tiek ietekmēti.</w:t>
            </w:r>
          </w:p>
        </w:tc>
        <w:tc>
          <w:tcPr>
            <w:tcW w:w="1417" w:type="dxa"/>
          </w:tcPr>
          <w:p w14:paraId="70ACE729" w14:textId="00523487" w:rsidR="005A1512" w:rsidRPr="006D4E3F" w:rsidRDefault="00E635A2" w:rsidP="006D4E3F">
            <w:pPr>
              <w:rPr>
                <w:color w:val="000000" w:themeColor="text1"/>
                <w:sz w:val="20"/>
                <w:szCs w:val="20"/>
              </w:rPr>
            </w:pPr>
            <w:r>
              <w:rPr>
                <w:color w:val="000000" w:themeColor="text1"/>
                <w:sz w:val="20"/>
                <w:szCs w:val="20"/>
              </w:rPr>
              <w:t>Ministru kabineta</w:t>
            </w:r>
            <w:r w:rsidRPr="006C5B3C">
              <w:rPr>
                <w:color w:val="000000" w:themeColor="text1"/>
                <w:sz w:val="20"/>
                <w:szCs w:val="20"/>
              </w:rPr>
              <w:t xml:space="preserve"> </w:t>
            </w:r>
            <w:r w:rsidR="006C5B3C" w:rsidRPr="006C5B3C">
              <w:rPr>
                <w:color w:val="000000" w:themeColor="text1"/>
                <w:sz w:val="20"/>
                <w:szCs w:val="20"/>
              </w:rPr>
              <w:t>noteikumu Nr.668 10.punkts.</w:t>
            </w:r>
          </w:p>
        </w:tc>
        <w:tc>
          <w:tcPr>
            <w:tcW w:w="1701" w:type="dxa"/>
          </w:tcPr>
          <w:p w14:paraId="342D0336" w14:textId="2ADD9BD5" w:rsidR="005A1512" w:rsidRPr="00D51319" w:rsidRDefault="00DC4C6B" w:rsidP="00DC4C6B">
            <w:pPr>
              <w:rPr>
                <w:sz w:val="20"/>
                <w:szCs w:val="20"/>
              </w:rPr>
            </w:pPr>
            <w:r w:rsidRPr="00DC4C6B">
              <w:rPr>
                <w:sz w:val="20"/>
                <w:szCs w:val="20"/>
              </w:rPr>
              <w:t xml:space="preserve">Atbilstoši </w:t>
            </w:r>
            <w:r w:rsidR="005742EC">
              <w:rPr>
                <w:sz w:val="20"/>
                <w:szCs w:val="20"/>
              </w:rPr>
              <w:t xml:space="preserve">Ministru kabineta </w:t>
            </w:r>
            <w:r w:rsidRPr="00DC4C6B">
              <w:rPr>
                <w:sz w:val="20"/>
                <w:szCs w:val="20"/>
              </w:rPr>
              <w:t xml:space="preserve">noteikumu Nr.668 10.punktā noteiktajam izstrādāt atbilstošu politiku un procedūras, nodrošinot, ka </w:t>
            </w:r>
            <w:r w:rsidR="005742EC">
              <w:rPr>
                <w:sz w:val="20"/>
                <w:szCs w:val="20"/>
              </w:rPr>
              <w:t>prakses</w:t>
            </w:r>
            <w:r w:rsidRPr="00DC4C6B">
              <w:rPr>
                <w:sz w:val="20"/>
                <w:szCs w:val="20"/>
              </w:rPr>
              <w:t xml:space="preserve"> vadība, asistējot atbildīgajiem revidentiem, neiejaucas un neietekmē atbildīgā </w:t>
            </w:r>
            <w:r w:rsidR="002119E6">
              <w:rPr>
                <w:sz w:val="20"/>
                <w:szCs w:val="20"/>
              </w:rPr>
              <w:t xml:space="preserve">zvērinātā </w:t>
            </w:r>
            <w:r w:rsidRPr="00DC4C6B">
              <w:rPr>
                <w:sz w:val="20"/>
                <w:szCs w:val="20"/>
              </w:rPr>
              <w:t>revidenta lēmumus profesionālā pakalpojuma sniegšanā un ziņojuma sagatavošanā.</w:t>
            </w:r>
          </w:p>
        </w:tc>
        <w:tc>
          <w:tcPr>
            <w:tcW w:w="1276" w:type="dxa"/>
          </w:tcPr>
          <w:p w14:paraId="3DE0F713" w14:textId="77777777" w:rsidR="005A1512" w:rsidRDefault="005A1512" w:rsidP="00B52188">
            <w:pPr>
              <w:rPr>
                <w:color w:val="000000" w:themeColor="text1"/>
                <w:sz w:val="20"/>
                <w:szCs w:val="20"/>
              </w:rPr>
            </w:pPr>
          </w:p>
        </w:tc>
      </w:tr>
      <w:tr w:rsidR="005A1512" w:rsidRPr="003224AC" w14:paraId="72D9BB90" w14:textId="77777777" w:rsidTr="007B758A">
        <w:trPr>
          <w:trHeight w:val="946"/>
        </w:trPr>
        <w:tc>
          <w:tcPr>
            <w:tcW w:w="568" w:type="dxa"/>
          </w:tcPr>
          <w:p w14:paraId="2380E392" w14:textId="77777777" w:rsidR="005A1512" w:rsidRDefault="005A1512" w:rsidP="00B52188">
            <w:pPr>
              <w:rPr>
                <w:sz w:val="20"/>
                <w:szCs w:val="20"/>
              </w:rPr>
            </w:pPr>
          </w:p>
        </w:tc>
        <w:tc>
          <w:tcPr>
            <w:tcW w:w="1843" w:type="dxa"/>
          </w:tcPr>
          <w:p w14:paraId="22A71495" w14:textId="77777777" w:rsidR="005A1512" w:rsidRDefault="005A1512" w:rsidP="00B52188">
            <w:pPr>
              <w:rPr>
                <w:b/>
                <w:bCs/>
                <w:color w:val="000000" w:themeColor="text1"/>
                <w:sz w:val="20"/>
                <w:szCs w:val="20"/>
              </w:rPr>
            </w:pPr>
          </w:p>
        </w:tc>
        <w:tc>
          <w:tcPr>
            <w:tcW w:w="1275" w:type="dxa"/>
          </w:tcPr>
          <w:p w14:paraId="7ECD68F9" w14:textId="77777777" w:rsidR="005A1512" w:rsidRPr="001E35DD" w:rsidRDefault="005A1512" w:rsidP="00B52188">
            <w:pPr>
              <w:rPr>
                <w:sz w:val="20"/>
                <w:szCs w:val="20"/>
              </w:rPr>
            </w:pPr>
          </w:p>
        </w:tc>
        <w:tc>
          <w:tcPr>
            <w:tcW w:w="1418" w:type="dxa"/>
          </w:tcPr>
          <w:p w14:paraId="29411849" w14:textId="77777777" w:rsidR="005A1512" w:rsidRPr="00990774" w:rsidRDefault="005A1512" w:rsidP="00B52188">
            <w:pPr>
              <w:rPr>
                <w:sz w:val="20"/>
                <w:szCs w:val="20"/>
              </w:rPr>
            </w:pPr>
          </w:p>
        </w:tc>
        <w:tc>
          <w:tcPr>
            <w:tcW w:w="1701" w:type="dxa"/>
          </w:tcPr>
          <w:p w14:paraId="414D7DDD" w14:textId="77777777" w:rsidR="005A1512" w:rsidRPr="00990774" w:rsidRDefault="005A1512" w:rsidP="00B52188">
            <w:pPr>
              <w:rPr>
                <w:sz w:val="20"/>
                <w:szCs w:val="20"/>
              </w:rPr>
            </w:pPr>
          </w:p>
        </w:tc>
        <w:tc>
          <w:tcPr>
            <w:tcW w:w="1417" w:type="dxa"/>
          </w:tcPr>
          <w:p w14:paraId="54E25CDA" w14:textId="77777777" w:rsidR="005A1512" w:rsidRPr="00990774" w:rsidRDefault="005A1512" w:rsidP="00B52188">
            <w:pPr>
              <w:rPr>
                <w:color w:val="000000" w:themeColor="text1"/>
                <w:sz w:val="20"/>
                <w:szCs w:val="20"/>
              </w:rPr>
            </w:pPr>
          </w:p>
        </w:tc>
        <w:tc>
          <w:tcPr>
            <w:tcW w:w="993" w:type="dxa"/>
          </w:tcPr>
          <w:p w14:paraId="0B1101AC" w14:textId="77777777" w:rsidR="005A1512" w:rsidRPr="00990774" w:rsidRDefault="005A1512" w:rsidP="00B52188">
            <w:pPr>
              <w:rPr>
                <w:color w:val="000000" w:themeColor="text1"/>
                <w:sz w:val="20"/>
                <w:szCs w:val="20"/>
              </w:rPr>
            </w:pPr>
          </w:p>
        </w:tc>
        <w:tc>
          <w:tcPr>
            <w:tcW w:w="2126" w:type="dxa"/>
          </w:tcPr>
          <w:p w14:paraId="2679DB3C" w14:textId="61F25BF7" w:rsidR="005A1512" w:rsidRDefault="000B02EC" w:rsidP="00B52188">
            <w:pPr>
              <w:rPr>
                <w:b/>
                <w:bCs/>
                <w:sz w:val="20"/>
                <w:szCs w:val="20"/>
              </w:rPr>
            </w:pPr>
            <w:r>
              <w:rPr>
                <w:sz w:val="20"/>
                <w:szCs w:val="20"/>
              </w:rPr>
              <w:t>Prakse</w:t>
            </w:r>
            <w:r w:rsidR="00215960" w:rsidRPr="000B02EC">
              <w:rPr>
                <w:sz w:val="20"/>
                <w:szCs w:val="20"/>
              </w:rPr>
              <w:t xml:space="preserve"> neizstrādā profesionālo apmācību plānus saviem darbiniekiem. </w:t>
            </w:r>
          </w:p>
        </w:tc>
        <w:tc>
          <w:tcPr>
            <w:tcW w:w="1417" w:type="dxa"/>
          </w:tcPr>
          <w:p w14:paraId="0035F2C5" w14:textId="12AFF2A7" w:rsidR="00C540DD" w:rsidRPr="00C540DD" w:rsidRDefault="00C540DD" w:rsidP="00C540DD">
            <w:pPr>
              <w:rPr>
                <w:color w:val="000000" w:themeColor="text1"/>
                <w:sz w:val="20"/>
                <w:szCs w:val="20"/>
              </w:rPr>
            </w:pPr>
            <w:r w:rsidRPr="00C540DD">
              <w:rPr>
                <w:color w:val="000000" w:themeColor="text1"/>
                <w:sz w:val="20"/>
                <w:szCs w:val="20"/>
              </w:rPr>
              <w:t>1.Starptautiskā kvalitātes vadības standarta 32.</w:t>
            </w:r>
            <w:r w:rsidR="00C257AE">
              <w:rPr>
                <w:color w:val="000000" w:themeColor="text1"/>
                <w:sz w:val="20"/>
                <w:szCs w:val="20"/>
              </w:rPr>
              <w:t> </w:t>
            </w:r>
            <w:r w:rsidRPr="00C540DD">
              <w:rPr>
                <w:color w:val="000000" w:themeColor="text1"/>
                <w:sz w:val="20"/>
                <w:szCs w:val="20"/>
              </w:rPr>
              <w:t>(a) punkts, A88. punkts.</w:t>
            </w:r>
          </w:p>
          <w:p w14:paraId="30AF2657" w14:textId="77777777" w:rsidR="00C540DD" w:rsidRPr="00C540DD" w:rsidRDefault="00C540DD" w:rsidP="00C540DD">
            <w:pPr>
              <w:rPr>
                <w:color w:val="000000" w:themeColor="text1"/>
                <w:sz w:val="20"/>
                <w:szCs w:val="20"/>
              </w:rPr>
            </w:pPr>
          </w:p>
          <w:p w14:paraId="2BDC45AB" w14:textId="1DBDC6ED" w:rsidR="005A1512" w:rsidRPr="006D4E3F" w:rsidRDefault="00C540DD" w:rsidP="00C540DD">
            <w:pPr>
              <w:rPr>
                <w:color w:val="000000" w:themeColor="text1"/>
                <w:sz w:val="20"/>
                <w:szCs w:val="20"/>
              </w:rPr>
            </w:pPr>
            <w:r w:rsidRPr="00C540DD">
              <w:rPr>
                <w:color w:val="000000" w:themeColor="text1"/>
                <w:sz w:val="20"/>
                <w:szCs w:val="20"/>
              </w:rPr>
              <w:t xml:space="preserve">Ētikas kodeksa 100.1 A1 (c) (i) punkts, 113.1. A2, 120.16 A2 </w:t>
            </w:r>
            <w:r w:rsidRPr="00C540DD">
              <w:rPr>
                <w:color w:val="000000" w:themeColor="text1"/>
                <w:sz w:val="20"/>
                <w:szCs w:val="20"/>
              </w:rPr>
              <w:lastRenderedPageBreak/>
              <w:t>punkts, 300.7 A5 punkts</w:t>
            </w:r>
            <w:r>
              <w:rPr>
                <w:color w:val="000000" w:themeColor="text1"/>
                <w:sz w:val="20"/>
                <w:szCs w:val="20"/>
              </w:rPr>
              <w:t>.</w:t>
            </w:r>
          </w:p>
        </w:tc>
        <w:tc>
          <w:tcPr>
            <w:tcW w:w="1701" w:type="dxa"/>
          </w:tcPr>
          <w:p w14:paraId="3C6985CA" w14:textId="68DA3862" w:rsidR="005A1512" w:rsidRPr="00D51319" w:rsidRDefault="00751CEC" w:rsidP="00D51319">
            <w:pPr>
              <w:rPr>
                <w:sz w:val="20"/>
                <w:szCs w:val="20"/>
              </w:rPr>
            </w:pPr>
            <w:r>
              <w:rPr>
                <w:sz w:val="20"/>
                <w:szCs w:val="20"/>
              </w:rPr>
              <w:lastRenderedPageBreak/>
              <w:t>Prakses</w:t>
            </w:r>
            <w:r w:rsidRPr="00751CEC">
              <w:rPr>
                <w:sz w:val="20"/>
                <w:szCs w:val="20"/>
              </w:rPr>
              <w:t xml:space="preserve"> politikās paredzēt un arī faktiski katru gadu izstrādāt profesionālo apmācību plānu ar minimālo apmācību </w:t>
            </w:r>
            <w:r>
              <w:rPr>
                <w:sz w:val="20"/>
                <w:szCs w:val="20"/>
              </w:rPr>
              <w:t>apj</w:t>
            </w:r>
            <w:r w:rsidR="00EF3253">
              <w:rPr>
                <w:sz w:val="20"/>
                <w:szCs w:val="20"/>
              </w:rPr>
              <w:t xml:space="preserve">omu </w:t>
            </w:r>
            <w:r w:rsidRPr="00751CEC">
              <w:rPr>
                <w:sz w:val="20"/>
                <w:szCs w:val="20"/>
              </w:rPr>
              <w:t xml:space="preserve">darbiniekiem, neatkarīgi no to pieredzes un zināšanu apjoma, lai uzturētu </w:t>
            </w:r>
            <w:r w:rsidRPr="00751CEC">
              <w:rPr>
                <w:sz w:val="20"/>
                <w:szCs w:val="20"/>
              </w:rPr>
              <w:lastRenderedPageBreak/>
              <w:t>darbinieku kompetenci revīzijā nepieciešamajās jomās</w:t>
            </w:r>
            <w:r w:rsidR="00C257AE">
              <w:rPr>
                <w:sz w:val="20"/>
                <w:szCs w:val="20"/>
              </w:rPr>
              <w:t>.</w:t>
            </w:r>
          </w:p>
        </w:tc>
        <w:tc>
          <w:tcPr>
            <w:tcW w:w="1276" w:type="dxa"/>
          </w:tcPr>
          <w:p w14:paraId="373E79F7" w14:textId="77777777" w:rsidR="005A1512" w:rsidRDefault="005A1512" w:rsidP="00B52188">
            <w:pPr>
              <w:rPr>
                <w:color w:val="000000" w:themeColor="text1"/>
                <w:sz w:val="20"/>
                <w:szCs w:val="20"/>
              </w:rPr>
            </w:pPr>
          </w:p>
        </w:tc>
      </w:tr>
      <w:tr w:rsidR="005A1512" w:rsidRPr="003224AC" w14:paraId="1A51FF42" w14:textId="77777777" w:rsidTr="007B758A">
        <w:trPr>
          <w:trHeight w:val="1999"/>
        </w:trPr>
        <w:tc>
          <w:tcPr>
            <w:tcW w:w="568" w:type="dxa"/>
          </w:tcPr>
          <w:p w14:paraId="1936CB29" w14:textId="77777777" w:rsidR="005A1512" w:rsidRDefault="005A1512" w:rsidP="00B52188">
            <w:pPr>
              <w:rPr>
                <w:sz w:val="20"/>
                <w:szCs w:val="20"/>
              </w:rPr>
            </w:pPr>
          </w:p>
        </w:tc>
        <w:tc>
          <w:tcPr>
            <w:tcW w:w="1843" w:type="dxa"/>
          </w:tcPr>
          <w:p w14:paraId="661CA023" w14:textId="77777777" w:rsidR="005A1512" w:rsidRDefault="005A1512" w:rsidP="00B52188">
            <w:pPr>
              <w:rPr>
                <w:b/>
                <w:bCs/>
                <w:color w:val="000000" w:themeColor="text1"/>
                <w:sz w:val="20"/>
                <w:szCs w:val="20"/>
              </w:rPr>
            </w:pPr>
          </w:p>
        </w:tc>
        <w:tc>
          <w:tcPr>
            <w:tcW w:w="1275" w:type="dxa"/>
          </w:tcPr>
          <w:p w14:paraId="73383A0D" w14:textId="77777777" w:rsidR="005A1512" w:rsidRPr="001E35DD" w:rsidRDefault="005A1512" w:rsidP="00B52188">
            <w:pPr>
              <w:rPr>
                <w:sz w:val="20"/>
                <w:szCs w:val="20"/>
              </w:rPr>
            </w:pPr>
          </w:p>
        </w:tc>
        <w:tc>
          <w:tcPr>
            <w:tcW w:w="1418" w:type="dxa"/>
          </w:tcPr>
          <w:p w14:paraId="4F17EEAC" w14:textId="77777777" w:rsidR="005A1512" w:rsidRPr="00990774" w:rsidRDefault="005A1512" w:rsidP="00B52188">
            <w:pPr>
              <w:rPr>
                <w:sz w:val="20"/>
                <w:szCs w:val="20"/>
              </w:rPr>
            </w:pPr>
          </w:p>
        </w:tc>
        <w:tc>
          <w:tcPr>
            <w:tcW w:w="1701" w:type="dxa"/>
          </w:tcPr>
          <w:p w14:paraId="642C1054" w14:textId="77777777" w:rsidR="005A1512" w:rsidRPr="00990774" w:rsidRDefault="005A1512" w:rsidP="00B52188">
            <w:pPr>
              <w:rPr>
                <w:sz w:val="20"/>
                <w:szCs w:val="20"/>
              </w:rPr>
            </w:pPr>
          </w:p>
        </w:tc>
        <w:tc>
          <w:tcPr>
            <w:tcW w:w="1417" w:type="dxa"/>
          </w:tcPr>
          <w:p w14:paraId="097B4A2D" w14:textId="77777777" w:rsidR="005A1512" w:rsidRPr="00990774" w:rsidRDefault="005A1512" w:rsidP="00B52188">
            <w:pPr>
              <w:rPr>
                <w:color w:val="000000" w:themeColor="text1"/>
                <w:sz w:val="20"/>
                <w:szCs w:val="20"/>
              </w:rPr>
            </w:pPr>
          </w:p>
        </w:tc>
        <w:tc>
          <w:tcPr>
            <w:tcW w:w="993" w:type="dxa"/>
          </w:tcPr>
          <w:p w14:paraId="59D943CA" w14:textId="77777777" w:rsidR="005A1512" w:rsidRPr="00990774" w:rsidRDefault="005A1512" w:rsidP="00B52188">
            <w:pPr>
              <w:rPr>
                <w:color w:val="000000" w:themeColor="text1"/>
                <w:sz w:val="20"/>
                <w:szCs w:val="20"/>
              </w:rPr>
            </w:pPr>
          </w:p>
        </w:tc>
        <w:tc>
          <w:tcPr>
            <w:tcW w:w="2126" w:type="dxa"/>
          </w:tcPr>
          <w:p w14:paraId="66A98848" w14:textId="2C1F33B9" w:rsidR="00996A4E" w:rsidRDefault="00996A4E" w:rsidP="00B52188">
            <w:pPr>
              <w:rPr>
                <w:sz w:val="20"/>
                <w:szCs w:val="20"/>
              </w:rPr>
            </w:pPr>
            <w:r w:rsidRPr="00996A4E">
              <w:rPr>
                <w:sz w:val="20"/>
                <w:szCs w:val="20"/>
              </w:rPr>
              <w:t>Praksē nav izstrādāts un uzturēts resursu plānošanas rīks, kā arī netiek nodrošināta tā regulāra aktualizēšana</w:t>
            </w:r>
            <w:r>
              <w:rPr>
                <w:sz w:val="20"/>
                <w:szCs w:val="20"/>
              </w:rPr>
              <w:t xml:space="preserve">. Tādējādi </w:t>
            </w:r>
            <w:r w:rsidR="00000BFC">
              <w:rPr>
                <w:sz w:val="20"/>
                <w:szCs w:val="20"/>
              </w:rPr>
              <w:t xml:space="preserve">nenotiek pārskatāms resursu noslogotības </w:t>
            </w:r>
            <w:proofErr w:type="spellStart"/>
            <w:r w:rsidR="00000BFC">
              <w:rPr>
                <w:sz w:val="20"/>
                <w:szCs w:val="20"/>
              </w:rPr>
              <w:t>izvērtējums</w:t>
            </w:r>
            <w:proofErr w:type="spellEnd"/>
            <w:r w:rsidR="00000BFC">
              <w:rPr>
                <w:sz w:val="20"/>
                <w:szCs w:val="20"/>
              </w:rPr>
              <w:t xml:space="preserve"> un kapacitātes plānošana.</w:t>
            </w:r>
          </w:p>
          <w:p w14:paraId="7F0A72FF" w14:textId="10BE3652" w:rsidR="005A1512" w:rsidRPr="0067306E" w:rsidRDefault="005A1512" w:rsidP="00B52188">
            <w:pPr>
              <w:rPr>
                <w:sz w:val="20"/>
                <w:szCs w:val="20"/>
              </w:rPr>
            </w:pPr>
          </w:p>
        </w:tc>
        <w:tc>
          <w:tcPr>
            <w:tcW w:w="1417" w:type="dxa"/>
          </w:tcPr>
          <w:p w14:paraId="31447ACD" w14:textId="02FCB3F5" w:rsidR="008E403C" w:rsidRPr="008E403C" w:rsidRDefault="008E403C" w:rsidP="008E403C">
            <w:pPr>
              <w:rPr>
                <w:color w:val="000000" w:themeColor="text1"/>
                <w:sz w:val="20"/>
                <w:szCs w:val="20"/>
              </w:rPr>
            </w:pPr>
            <w:r w:rsidRPr="008E403C">
              <w:rPr>
                <w:color w:val="000000" w:themeColor="text1"/>
                <w:sz w:val="20"/>
                <w:szCs w:val="20"/>
              </w:rPr>
              <w:t>1.Starptautiskā kvalitātes vadības standarta 28.</w:t>
            </w:r>
            <w:r w:rsidR="00C257AE">
              <w:rPr>
                <w:color w:val="000000" w:themeColor="text1"/>
                <w:sz w:val="20"/>
                <w:szCs w:val="20"/>
              </w:rPr>
              <w:t> </w:t>
            </w:r>
            <w:r w:rsidRPr="008E403C">
              <w:rPr>
                <w:color w:val="000000" w:themeColor="text1"/>
                <w:sz w:val="20"/>
                <w:szCs w:val="20"/>
              </w:rPr>
              <w:t>(e) punkts, 32.punkts, A94.punkts.</w:t>
            </w:r>
          </w:p>
          <w:p w14:paraId="2B27CACD" w14:textId="77777777" w:rsidR="008E403C" w:rsidRPr="008E403C" w:rsidRDefault="008E403C" w:rsidP="008E403C">
            <w:pPr>
              <w:rPr>
                <w:color w:val="000000" w:themeColor="text1"/>
                <w:sz w:val="20"/>
                <w:szCs w:val="20"/>
              </w:rPr>
            </w:pPr>
          </w:p>
          <w:p w14:paraId="4EEA9FF0" w14:textId="339075D4" w:rsidR="005A1512" w:rsidRPr="006D4E3F" w:rsidRDefault="008E403C" w:rsidP="008E403C">
            <w:pPr>
              <w:rPr>
                <w:color w:val="000000" w:themeColor="text1"/>
                <w:sz w:val="20"/>
                <w:szCs w:val="20"/>
              </w:rPr>
            </w:pPr>
            <w:r w:rsidRPr="008E403C">
              <w:rPr>
                <w:color w:val="000000" w:themeColor="text1"/>
                <w:sz w:val="20"/>
                <w:szCs w:val="20"/>
              </w:rPr>
              <w:t>220. SRS 25.</w:t>
            </w:r>
            <w:r w:rsidR="00C257AE">
              <w:rPr>
                <w:color w:val="000000" w:themeColor="text1"/>
                <w:sz w:val="20"/>
                <w:szCs w:val="20"/>
              </w:rPr>
              <w:t> </w:t>
            </w:r>
            <w:r w:rsidRPr="008E403C">
              <w:rPr>
                <w:color w:val="000000" w:themeColor="text1"/>
                <w:sz w:val="20"/>
                <w:szCs w:val="20"/>
              </w:rPr>
              <w:t>punkts</w:t>
            </w:r>
          </w:p>
        </w:tc>
        <w:tc>
          <w:tcPr>
            <w:tcW w:w="1701" w:type="dxa"/>
          </w:tcPr>
          <w:p w14:paraId="1A06AB68" w14:textId="6B7F010B" w:rsidR="002A5947" w:rsidRPr="002A5947" w:rsidRDefault="002A5947" w:rsidP="002A5947">
            <w:pPr>
              <w:rPr>
                <w:sz w:val="20"/>
                <w:szCs w:val="20"/>
              </w:rPr>
            </w:pPr>
            <w:r w:rsidRPr="002A5947">
              <w:rPr>
                <w:sz w:val="20"/>
                <w:szCs w:val="20"/>
              </w:rPr>
              <w:t>Izstrādāt un ieviest darba resursu plānošanas rīku (piemēram, vismaz, MS Excel formātā), lai pārskatāmi redzētu resursu noslogotību visu revīzijas uzdevumu ietvaros.</w:t>
            </w:r>
          </w:p>
        </w:tc>
        <w:tc>
          <w:tcPr>
            <w:tcW w:w="1276" w:type="dxa"/>
          </w:tcPr>
          <w:p w14:paraId="0CEA79DE" w14:textId="77777777" w:rsidR="005A1512" w:rsidRDefault="005A1512" w:rsidP="00B52188">
            <w:pPr>
              <w:rPr>
                <w:color w:val="000000" w:themeColor="text1"/>
                <w:sz w:val="20"/>
                <w:szCs w:val="20"/>
              </w:rPr>
            </w:pPr>
          </w:p>
        </w:tc>
      </w:tr>
      <w:tr w:rsidR="005A1512" w:rsidRPr="003224AC" w14:paraId="6C90F114" w14:textId="77777777" w:rsidTr="007B758A">
        <w:trPr>
          <w:trHeight w:val="1999"/>
        </w:trPr>
        <w:tc>
          <w:tcPr>
            <w:tcW w:w="568" w:type="dxa"/>
          </w:tcPr>
          <w:p w14:paraId="6FFDB67C" w14:textId="77777777" w:rsidR="005A1512" w:rsidRDefault="005A1512" w:rsidP="00B52188">
            <w:pPr>
              <w:rPr>
                <w:sz w:val="20"/>
                <w:szCs w:val="20"/>
              </w:rPr>
            </w:pPr>
          </w:p>
        </w:tc>
        <w:tc>
          <w:tcPr>
            <w:tcW w:w="1843" w:type="dxa"/>
          </w:tcPr>
          <w:p w14:paraId="734EA3A9" w14:textId="77777777" w:rsidR="005A1512" w:rsidRDefault="005A1512" w:rsidP="00B52188">
            <w:pPr>
              <w:rPr>
                <w:b/>
                <w:bCs/>
                <w:color w:val="000000" w:themeColor="text1"/>
                <w:sz w:val="20"/>
                <w:szCs w:val="20"/>
              </w:rPr>
            </w:pPr>
          </w:p>
        </w:tc>
        <w:tc>
          <w:tcPr>
            <w:tcW w:w="1275" w:type="dxa"/>
          </w:tcPr>
          <w:p w14:paraId="2AE98AE6" w14:textId="77777777" w:rsidR="005A1512" w:rsidRPr="001E35DD" w:rsidRDefault="005A1512" w:rsidP="00B52188">
            <w:pPr>
              <w:rPr>
                <w:sz w:val="20"/>
                <w:szCs w:val="20"/>
              </w:rPr>
            </w:pPr>
          </w:p>
        </w:tc>
        <w:tc>
          <w:tcPr>
            <w:tcW w:w="1418" w:type="dxa"/>
          </w:tcPr>
          <w:p w14:paraId="5C8260CF" w14:textId="77777777" w:rsidR="005A1512" w:rsidRPr="00990774" w:rsidRDefault="005A1512" w:rsidP="00B52188">
            <w:pPr>
              <w:rPr>
                <w:sz w:val="20"/>
                <w:szCs w:val="20"/>
              </w:rPr>
            </w:pPr>
          </w:p>
        </w:tc>
        <w:tc>
          <w:tcPr>
            <w:tcW w:w="1701" w:type="dxa"/>
          </w:tcPr>
          <w:p w14:paraId="10C8DB70" w14:textId="77777777" w:rsidR="005A1512" w:rsidRPr="00990774" w:rsidRDefault="005A1512" w:rsidP="00B52188">
            <w:pPr>
              <w:rPr>
                <w:sz w:val="20"/>
                <w:szCs w:val="20"/>
              </w:rPr>
            </w:pPr>
          </w:p>
        </w:tc>
        <w:tc>
          <w:tcPr>
            <w:tcW w:w="1417" w:type="dxa"/>
          </w:tcPr>
          <w:p w14:paraId="0497234B" w14:textId="77777777" w:rsidR="005A1512" w:rsidRPr="00990774" w:rsidRDefault="005A1512" w:rsidP="00B52188">
            <w:pPr>
              <w:rPr>
                <w:color w:val="000000" w:themeColor="text1"/>
                <w:sz w:val="20"/>
                <w:szCs w:val="20"/>
              </w:rPr>
            </w:pPr>
          </w:p>
        </w:tc>
        <w:tc>
          <w:tcPr>
            <w:tcW w:w="993" w:type="dxa"/>
          </w:tcPr>
          <w:p w14:paraId="3531B24A" w14:textId="77777777" w:rsidR="005A1512" w:rsidRPr="00990774" w:rsidRDefault="005A1512" w:rsidP="00B52188">
            <w:pPr>
              <w:rPr>
                <w:color w:val="000000" w:themeColor="text1"/>
                <w:sz w:val="20"/>
                <w:szCs w:val="20"/>
              </w:rPr>
            </w:pPr>
          </w:p>
        </w:tc>
        <w:tc>
          <w:tcPr>
            <w:tcW w:w="2126" w:type="dxa"/>
          </w:tcPr>
          <w:p w14:paraId="4E9183A5" w14:textId="06AADF36" w:rsidR="005A1512" w:rsidRDefault="00FC7C4F" w:rsidP="00B52188">
            <w:pPr>
              <w:rPr>
                <w:b/>
                <w:bCs/>
                <w:sz w:val="20"/>
                <w:szCs w:val="20"/>
              </w:rPr>
            </w:pPr>
            <w:r w:rsidRPr="00FC7C4F">
              <w:rPr>
                <w:sz w:val="20"/>
                <w:szCs w:val="20"/>
              </w:rPr>
              <w:t xml:space="preserve">Izvērtējot prakses izstrādāto kvalitātes vadības Riska matricu, ir konstatēts, ka tajā nav iekļauts kvalitātes risks un atbilstoši atbildes pasākumi attiecībā uz ārēji piesaistītajiem darba resursiem, kuri pilda atbildīgā </w:t>
            </w:r>
            <w:r>
              <w:rPr>
                <w:sz w:val="20"/>
                <w:szCs w:val="20"/>
              </w:rPr>
              <w:t xml:space="preserve">zvērinātā </w:t>
            </w:r>
            <w:r w:rsidRPr="00FC7C4F">
              <w:rPr>
                <w:sz w:val="20"/>
                <w:szCs w:val="20"/>
              </w:rPr>
              <w:t xml:space="preserve">revidenta funkcijas un vada konkrētos </w:t>
            </w:r>
            <w:r>
              <w:rPr>
                <w:sz w:val="20"/>
                <w:szCs w:val="20"/>
              </w:rPr>
              <w:t>prakses</w:t>
            </w:r>
            <w:r w:rsidRPr="00FC7C4F">
              <w:rPr>
                <w:sz w:val="20"/>
                <w:szCs w:val="20"/>
              </w:rPr>
              <w:t xml:space="preserve"> projektus.</w:t>
            </w:r>
          </w:p>
        </w:tc>
        <w:tc>
          <w:tcPr>
            <w:tcW w:w="1417" w:type="dxa"/>
          </w:tcPr>
          <w:p w14:paraId="76128780" w14:textId="77777777" w:rsidR="000827A1" w:rsidRPr="000827A1" w:rsidRDefault="000827A1" w:rsidP="000827A1">
            <w:pPr>
              <w:rPr>
                <w:color w:val="000000" w:themeColor="text1"/>
                <w:sz w:val="20"/>
                <w:szCs w:val="20"/>
              </w:rPr>
            </w:pPr>
            <w:r w:rsidRPr="000827A1">
              <w:rPr>
                <w:color w:val="000000" w:themeColor="text1"/>
                <w:sz w:val="20"/>
                <w:szCs w:val="20"/>
              </w:rPr>
              <w:t>1.Starptautiskā kvalitātes vadības standarta 32.punkts, A87.punkts, 29. (b), 32. (f), (g) (h), 34. (a) (i) un (ii) punkts, A106., A107.</w:t>
            </w:r>
          </w:p>
          <w:p w14:paraId="3F7424B6" w14:textId="77777777" w:rsidR="005A1512" w:rsidRPr="006D4E3F" w:rsidRDefault="005A1512" w:rsidP="006D4E3F">
            <w:pPr>
              <w:rPr>
                <w:color w:val="000000" w:themeColor="text1"/>
                <w:sz w:val="20"/>
                <w:szCs w:val="20"/>
              </w:rPr>
            </w:pPr>
          </w:p>
        </w:tc>
        <w:tc>
          <w:tcPr>
            <w:tcW w:w="1701" w:type="dxa"/>
          </w:tcPr>
          <w:p w14:paraId="65B136CD" w14:textId="357362FC" w:rsidR="005A1512" w:rsidRPr="00D51319" w:rsidRDefault="00263A45" w:rsidP="00D51319">
            <w:pPr>
              <w:rPr>
                <w:sz w:val="20"/>
                <w:szCs w:val="20"/>
              </w:rPr>
            </w:pPr>
            <w:r w:rsidRPr="00263A45">
              <w:rPr>
                <w:sz w:val="20"/>
                <w:szCs w:val="20"/>
              </w:rPr>
              <w:t>Kvalitātes vadības Risku matricā iestrādāt papildu risku, kas ir saistīts ar ārējo specialistu (atbildīgo revidentu, kvalitātes kontroles pārraugu) piesaisti no ārienes.</w:t>
            </w:r>
          </w:p>
        </w:tc>
        <w:tc>
          <w:tcPr>
            <w:tcW w:w="1276" w:type="dxa"/>
          </w:tcPr>
          <w:p w14:paraId="5A904AC3" w14:textId="77777777" w:rsidR="005A1512" w:rsidRDefault="005A1512" w:rsidP="00B52188">
            <w:pPr>
              <w:rPr>
                <w:color w:val="000000" w:themeColor="text1"/>
                <w:sz w:val="20"/>
                <w:szCs w:val="20"/>
              </w:rPr>
            </w:pPr>
          </w:p>
        </w:tc>
      </w:tr>
      <w:tr w:rsidR="005A1512" w:rsidRPr="003224AC" w14:paraId="3A4D7BFE" w14:textId="77777777" w:rsidTr="007B758A">
        <w:trPr>
          <w:trHeight w:val="1999"/>
        </w:trPr>
        <w:tc>
          <w:tcPr>
            <w:tcW w:w="568" w:type="dxa"/>
          </w:tcPr>
          <w:p w14:paraId="32413C29" w14:textId="77777777" w:rsidR="005A1512" w:rsidRDefault="005A1512" w:rsidP="00B52188">
            <w:pPr>
              <w:rPr>
                <w:sz w:val="20"/>
                <w:szCs w:val="20"/>
              </w:rPr>
            </w:pPr>
          </w:p>
        </w:tc>
        <w:tc>
          <w:tcPr>
            <w:tcW w:w="1843" w:type="dxa"/>
          </w:tcPr>
          <w:p w14:paraId="0BADC03F" w14:textId="77777777" w:rsidR="005A1512" w:rsidRDefault="005A1512" w:rsidP="00B52188">
            <w:pPr>
              <w:rPr>
                <w:b/>
                <w:bCs/>
                <w:color w:val="000000" w:themeColor="text1"/>
                <w:sz w:val="20"/>
                <w:szCs w:val="20"/>
              </w:rPr>
            </w:pPr>
          </w:p>
        </w:tc>
        <w:tc>
          <w:tcPr>
            <w:tcW w:w="1275" w:type="dxa"/>
          </w:tcPr>
          <w:p w14:paraId="23B4F214" w14:textId="77777777" w:rsidR="005A1512" w:rsidRPr="001E35DD" w:rsidRDefault="005A1512" w:rsidP="00B52188">
            <w:pPr>
              <w:rPr>
                <w:sz w:val="20"/>
                <w:szCs w:val="20"/>
              </w:rPr>
            </w:pPr>
          </w:p>
        </w:tc>
        <w:tc>
          <w:tcPr>
            <w:tcW w:w="1418" w:type="dxa"/>
          </w:tcPr>
          <w:p w14:paraId="6FB79DCA" w14:textId="77777777" w:rsidR="005A1512" w:rsidRPr="00990774" w:rsidRDefault="005A1512" w:rsidP="00B52188">
            <w:pPr>
              <w:rPr>
                <w:sz w:val="20"/>
                <w:szCs w:val="20"/>
              </w:rPr>
            </w:pPr>
          </w:p>
        </w:tc>
        <w:tc>
          <w:tcPr>
            <w:tcW w:w="1701" w:type="dxa"/>
          </w:tcPr>
          <w:p w14:paraId="722D34E2" w14:textId="77777777" w:rsidR="005A1512" w:rsidRPr="00990774" w:rsidRDefault="005A1512" w:rsidP="00B52188">
            <w:pPr>
              <w:rPr>
                <w:sz w:val="20"/>
                <w:szCs w:val="20"/>
              </w:rPr>
            </w:pPr>
          </w:p>
        </w:tc>
        <w:tc>
          <w:tcPr>
            <w:tcW w:w="1417" w:type="dxa"/>
          </w:tcPr>
          <w:p w14:paraId="4B52AE86" w14:textId="77777777" w:rsidR="005A1512" w:rsidRPr="00990774" w:rsidRDefault="005A1512" w:rsidP="00B52188">
            <w:pPr>
              <w:rPr>
                <w:color w:val="000000" w:themeColor="text1"/>
                <w:sz w:val="20"/>
                <w:szCs w:val="20"/>
              </w:rPr>
            </w:pPr>
          </w:p>
        </w:tc>
        <w:tc>
          <w:tcPr>
            <w:tcW w:w="993" w:type="dxa"/>
          </w:tcPr>
          <w:p w14:paraId="3DFE1E3A" w14:textId="77777777" w:rsidR="005A1512" w:rsidRPr="00990774" w:rsidRDefault="005A1512" w:rsidP="00B52188">
            <w:pPr>
              <w:rPr>
                <w:color w:val="000000" w:themeColor="text1"/>
                <w:sz w:val="20"/>
                <w:szCs w:val="20"/>
              </w:rPr>
            </w:pPr>
          </w:p>
        </w:tc>
        <w:tc>
          <w:tcPr>
            <w:tcW w:w="2126" w:type="dxa"/>
          </w:tcPr>
          <w:p w14:paraId="58DA5EDA" w14:textId="4D132ECD" w:rsidR="005A1512" w:rsidRPr="005F6D88" w:rsidRDefault="005F6D88" w:rsidP="0073595E">
            <w:pPr>
              <w:rPr>
                <w:sz w:val="20"/>
                <w:szCs w:val="20"/>
              </w:rPr>
            </w:pPr>
            <w:r>
              <w:rPr>
                <w:sz w:val="20"/>
                <w:szCs w:val="20"/>
              </w:rPr>
              <w:t xml:space="preserve">Prakses </w:t>
            </w:r>
            <w:r w:rsidR="00C95535" w:rsidRPr="005F6D88">
              <w:rPr>
                <w:sz w:val="20"/>
                <w:szCs w:val="20"/>
              </w:rPr>
              <w:t xml:space="preserve">uzņēmuma līgums ar atbildīgo </w:t>
            </w:r>
            <w:r>
              <w:rPr>
                <w:sz w:val="20"/>
                <w:szCs w:val="20"/>
              </w:rPr>
              <w:t xml:space="preserve">zvērināto </w:t>
            </w:r>
            <w:r w:rsidR="00C95535" w:rsidRPr="005F6D88">
              <w:rPr>
                <w:sz w:val="20"/>
                <w:szCs w:val="20"/>
              </w:rPr>
              <w:t>revidentu nav pilnīgs un neietver nosacījumus, kas ir nozīmīgi kvalitātes risku novēršanai</w:t>
            </w:r>
            <w:r w:rsidR="0073595E">
              <w:rPr>
                <w:sz w:val="20"/>
                <w:szCs w:val="20"/>
              </w:rPr>
              <w:t>.</w:t>
            </w:r>
          </w:p>
        </w:tc>
        <w:tc>
          <w:tcPr>
            <w:tcW w:w="1417" w:type="dxa"/>
          </w:tcPr>
          <w:p w14:paraId="44F24F44" w14:textId="77777777" w:rsidR="00045F30" w:rsidRPr="00045F30" w:rsidRDefault="00045F30" w:rsidP="00045F30">
            <w:pPr>
              <w:rPr>
                <w:color w:val="000000" w:themeColor="text1"/>
                <w:sz w:val="20"/>
                <w:szCs w:val="20"/>
              </w:rPr>
            </w:pPr>
            <w:r w:rsidRPr="00045F30">
              <w:rPr>
                <w:color w:val="000000" w:themeColor="text1"/>
                <w:sz w:val="20"/>
                <w:szCs w:val="20"/>
              </w:rPr>
              <w:t xml:space="preserve">1.Starptautiskā kvalitātes vadības standarta 32.punkts, A87.punkts, 29. (b), 32. (f), (g) (h), 34. (a) (i) un (ii) </w:t>
            </w:r>
            <w:r w:rsidRPr="00045F30">
              <w:rPr>
                <w:color w:val="000000" w:themeColor="text1"/>
                <w:sz w:val="20"/>
                <w:szCs w:val="20"/>
              </w:rPr>
              <w:lastRenderedPageBreak/>
              <w:t>punkts, A106., A107.</w:t>
            </w:r>
          </w:p>
          <w:p w14:paraId="1ED7BC59" w14:textId="77777777" w:rsidR="00045F30" w:rsidRPr="00045F30" w:rsidRDefault="00045F30" w:rsidP="00045F30">
            <w:pPr>
              <w:rPr>
                <w:color w:val="000000" w:themeColor="text1"/>
                <w:sz w:val="20"/>
                <w:szCs w:val="20"/>
              </w:rPr>
            </w:pPr>
          </w:p>
          <w:p w14:paraId="4C75AB7C" w14:textId="55615CB3" w:rsidR="005A1512" w:rsidRPr="006D4E3F" w:rsidRDefault="00045F30" w:rsidP="00045F30">
            <w:pPr>
              <w:rPr>
                <w:color w:val="000000" w:themeColor="text1"/>
                <w:sz w:val="20"/>
                <w:szCs w:val="20"/>
              </w:rPr>
            </w:pPr>
            <w:r w:rsidRPr="00045F30">
              <w:rPr>
                <w:color w:val="000000" w:themeColor="text1"/>
                <w:sz w:val="20"/>
                <w:szCs w:val="20"/>
              </w:rPr>
              <w:t>Revīzijas pakalpojumu likuma 31.panta trešā daļa</w:t>
            </w:r>
          </w:p>
        </w:tc>
        <w:tc>
          <w:tcPr>
            <w:tcW w:w="1701" w:type="dxa"/>
          </w:tcPr>
          <w:p w14:paraId="4990E0E2" w14:textId="77777777" w:rsidR="009D6EC5" w:rsidRPr="009D6EC5" w:rsidRDefault="009D6EC5" w:rsidP="009D6EC5">
            <w:pPr>
              <w:rPr>
                <w:sz w:val="20"/>
                <w:szCs w:val="20"/>
              </w:rPr>
            </w:pPr>
            <w:r w:rsidRPr="009D6EC5">
              <w:rPr>
                <w:sz w:val="20"/>
                <w:szCs w:val="20"/>
              </w:rPr>
              <w:lastRenderedPageBreak/>
              <w:t xml:space="preserve">Obligāti slēgt rakstveida līgumus ar revīzijā iesaistītajām personām, identificējot pienākumu apjomu, </w:t>
            </w:r>
            <w:r w:rsidRPr="009D6EC5">
              <w:rPr>
                <w:sz w:val="20"/>
                <w:szCs w:val="20"/>
              </w:rPr>
              <w:lastRenderedPageBreak/>
              <w:t>konfidencialitātes, datu drošības pienākumu un atbildību.</w:t>
            </w:r>
          </w:p>
          <w:p w14:paraId="5940892A" w14:textId="4F684973" w:rsidR="005A1512" w:rsidRPr="00D51319" w:rsidRDefault="005A1512" w:rsidP="009D6EC5">
            <w:pPr>
              <w:rPr>
                <w:sz w:val="20"/>
                <w:szCs w:val="20"/>
              </w:rPr>
            </w:pPr>
          </w:p>
        </w:tc>
        <w:tc>
          <w:tcPr>
            <w:tcW w:w="1276" w:type="dxa"/>
          </w:tcPr>
          <w:p w14:paraId="1BDAF749" w14:textId="77777777" w:rsidR="005A1512" w:rsidRDefault="005A1512" w:rsidP="00B52188">
            <w:pPr>
              <w:rPr>
                <w:color w:val="000000" w:themeColor="text1"/>
                <w:sz w:val="20"/>
                <w:szCs w:val="20"/>
              </w:rPr>
            </w:pPr>
          </w:p>
        </w:tc>
      </w:tr>
      <w:tr w:rsidR="005A1512" w:rsidRPr="003224AC" w14:paraId="35DFDECB" w14:textId="77777777" w:rsidTr="007B758A">
        <w:trPr>
          <w:trHeight w:val="521"/>
        </w:trPr>
        <w:tc>
          <w:tcPr>
            <w:tcW w:w="568" w:type="dxa"/>
          </w:tcPr>
          <w:p w14:paraId="1417899E" w14:textId="77777777" w:rsidR="005A1512" w:rsidRDefault="005A1512" w:rsidP="00B52188">
            <w:pPr>
              <w:rPr>
                <w:sz w:val="20"/>
                <w:szCs w:val="20"/>
              </w:rPr>
            </w:pPr>
          </w:p>
        </w:tc>
        <w:tc>
          <w:tcPr>
            <w:tcW w:w="1843" w:type="dxa"/>
          </w:tcPr>
          <w:p w14:paraId="66072280" w14:textId="77777777" w:rsidR="005A1512" w:rsidRDefault="005A1512" w:rsidP="00B52188">
            <w:pPr>
              <w:rPr>
                <w:b/>
                <w:bCs/>
                <w:color w:val="000000" w:themeColor="text1"/>
                <w:sz w:val="20"/>
                <w:szCs w:val="20"/>
              </w:rPr>
            </w:pPr>
          </w:p>
        </w:tc>
        <w:tc>
          <w:tcPr>
            <w:tcW w:w="1275" w:type="dxa"/>
          </w:tcPr>
          <w:p w14:paraId="3AC379DE" w14:textId="77777777" w:rsidR="005A1512" w:rsidRPr="001E35DD" w:rsidRDefault="005A1512" w:rsidP="00B52188">
            <w:pPr>
              <w:rPr>
                <w:sz w:val="20"/>
                <w:szCs w:val="20"/>
              </w:rPr>
            </w:pPr>
          </w:p>
        </w:tc>
        <w:tc>
          <w:tcPr>
            <w:tcW w:w="1418" w:type="dxa"/>
          </w:tcPr>
          <w:p w14:paraId="78270CAA" w14:textId="77777777" w:rsidR="005A1512" w:rsidRPr="00990774" w:rsidRDefault="005A1512" w:rsidP="00B52188">
            <w:pPr>
              <w:rPr>
                <w:sz w:val="20"/>
                <w:szCs w:val="20"/>
              </w:rPr>
            </w:pPr>
          </w:p>
        </w:tc>
        <w:tc>
          <w:tcPr>
            <w:tcW w:w="1701" w:type="dxa"/>
          </w:tcPr>
          <w:p w14:paraId="0D1DDFDB" w14:textId="77777777" w:rsidR="005A1512" w:rsidRPr="00990774" w:rsidRDefault="005A1512" w:rsidP="00B52188">
            <w:pPr>
              <w:rPr>
                <w:sz w:val="20"/>
                <w:szCs w:val="20"/>
              </w:rPr>
            </w:pPr>
          </w:p>
        </w:tc>
        <w:tc>
          <w:tcPr>
            <w:tcW w:w="1417" w:type="dxa"/>
          </w:tcPr>
          <w:p w14:paraId="4E217F0B" w14:textId="77777777" w:rsidR="005A1512" w:rsidRPr="00990774" w:rsidRDefault="005A1512" w:rsidP="00B52188">
            <w:pPr>
              <w:rPr>
                <w:color w:val="000000" w:themeColor="text1"/>
                <w:sz w:val="20"/>
                <w:szCs w:val="20"/>
              </w:rPr>
            </w:pPr>
          </w:p>
        </w:tc>
        <w:tc>
          <w:tcPr>
            <w:tcW w:w="993" w:type="dxa"/>
          </w:tcPr>
          <w:p w14:paraId="7613A275" w14:textId="77777777" w:rsidR="005A1512" w:rsidRPr="00990774" w:rsidRDefault="005A1512" w:rsidP="00B52188">
            <w:pPr>
              <w:rPr>
                <w:color w:val="000000" w:themeColor="text1"/>
                <w:sz w:val="20"/>
                <w:szCs w:val="20"/>
              </w:rPr>
            </w:pPr>
          </w:p>
        </w:tc>
        <w:tc>
          <w:tcPr>
            <w:tcW w:w="2126" w:type="dxa"/>
          </w:tcPr>
          <w:p w14:paraId="4A004D4D" w14:textId="086BA27B" w:rsidR="00530723" w:rsidRPr="00EE320D" w:rsidRDefault="00530723" w:rsidP="00B52188">
            <w:pPr>
              <w:rPr>
                <w:sz w:val="20"/>
                <w:szCs w:val="20"/>
              </w:rPr>
            </w:pPr>
            <w:r w:rsidRPr="00EE320D">
              <w:rPr>
                <w:sz w:val="20"/>
                <w:szCs w:val="20"/>
              </w:rPr>
              <w:t xml:space="preserve">Konstatēts, ka atbildīgā revidenta iecelšana un līguma noslēgšana notika tikai pēc būtisku revīzijas plānošanas un izpētes darbību veikšanas. </w:t>
            </w:r>
          </w:p>
          <w:p w14:paraId="6A4C5E0F" w14:textId="7D336316" w:rsidR="005A1512" w:rsidRDefault="005A1512" w:rsidP="00B52188">
            <w:pPr>
              <w:rPr>
                <w:b/>
                <w:bCs/>
                <w:sz w:val="20"/>
                <w:szCs w:val="20"/>
              </w:rPr>
            </w:pPr>
          </w:p>
        </w:tc>
        <w:tc>
          <w:tcPr>
            <w:tcW w:w="1417" w:type="dxa"/>
          </w:tcPr>
          <w:p w14:paraId="22E40248" w14:textId="77777777" w:rsidR="006B7176" w:rsidRPr="006B7176" w:rsidRDefault="006B7176" w:rsidP="006B7176">
            <w:pPr>
              <w:rPr>
                <w:sz w:val="20"/>
                <w:szCs w:val="20"/>
              </w:rPr>
            </w:pPr>
            <w:r w:rsidRPr="006B7176">
              <w:rPr>
                <w:sz w:val="20"/>
                <w:szCs w:val="20"/>
              </w:rPr>
              <w:t>210.SRS 3.punkts</w:t>
            </w:r>
          </w:p>
          <w:p w14:paraId="2038395C" w14:textId="77777777" w:rsidR="006B7176" w:rsidRPr="006B7176" w:rsidRDefault="006B7176" w:rsidP="006B7176">
            <w:pPr>
              <w:jc w:val="center"/>
              <w:rPr>
                <w:sz w:val="20"/>
                <w:szCs w:val="20"/>
              </w:rPr>
            </w:pPr>
          </w:p>
          <w:p w14:paraId="27FD308D" w14:textId="77777777" w:rsidR="006B7176" w:rsidRPr="006B7176" w:rsidRDefault="006B7176" w:rsidP="006B7176">
            <w:pPr>
              <w:rPr>
                <w:sz w:val="20"/>
                <w:szCs w:val="20"/>
              </w:rPr>
            </w:pPr>
            <w:r w:rsidRPr="006B7176">
              <w:rPr>
                <w:sz w:val="20"/>
                <w:szCs w:val="20"/>
              </w:rPr>
              <w:t>220.SRS 22.punkts, 23.punkts un A50.punkts</w:t>
            </w:r>
          </w:p>
          <w:p w14:paraId="373C588E" w14:textId="77777777" w:rsidR="006B7176" w:rsidRPr="006B7176" w:rsidRDefault="006B7176" w:rsidP="006B7176">
            <w:pPr>
              <w:jc w:val="center"/>
              <w:rPr>
                <w:sz w:val="20"/>
                <w:szCs w:val="20"/>
              </w:rPr>
            </w:pPr>
          </w:p>
          <w:p w14:paraId="211E166E" w14:textId="3C4C126A" w:rsidR="006B7176" w:rsidRPr="006B7176" w:rsidRDefault="006B7176" w:rsidP="006B7176">
            <w:pPr>
              <w:rPr>
                <w:sz w:val="20"/>
                <w:szCs w:val="20"/>
              </w:rPr>
            </w:pPr>
            <w:r w:rsidRPr="006B7176">
              <w:rPr>
                <w:sz w:val="20"/>
                <w:szCs w:val="20"/>
              </w:rPr>
              <w:t>1.Starptautiskā kvalitātes vadības standarta A70.punkts</w:t>
            </w:r>
          </w:p>
          <w:p w14:paraId="1A4F4172" w14:textId="77777777" w:rsidR="006B7176" w:rsidRPr="006B7176" w:rsidRDefault="006B7176" w:rsidP="006B7176">
            <w:pPr>
              <w:jc w:val="center"/>
              <w:rPr>
                <w:sz w:val="20"/>
                <w:szCs w:val="20"/>
              </w:rPr>
            </w:pPr>
          </w:p>
          <w:p w14:paraId="0EC15386" w14:textId="6D8E70D4" w:rsidR="006B7176" w:rsidRPr="006B7176" w:rsidRDefault="006B7176" w:rsidP="006B7176">
            <w:pPr>
              <w:rPr>
                <w:sz w:val="20"/>
                <w:szCs w:val="20"/>
              </w:rPr>
            </w:pPr>
            <w:r w:rsidRPr="006B7176">
              <w:rPr>
                <w:sz w:val="20"/>
                <w:szCs w:val="20"/>
              </w:rPr>
              <w:t>Revīzijas pakalpojumu likuma 31.panta trešā daļa.</w:t>
            </w:r>
          </w:p>
        </w:tc>
        <w:tc>
          <w:tcPr>
            <w:tcW w:w="1701" w:type="dxa"/>
          </w:tcPr>
          <w:p w14:paraId="29ADE8A3" w14:textId="480505DB" w:rsidR="005A1512" w:rsidRPr="00D51319" w:rsidRDefault="00087986" w:rsidP="00087986">
            <w:pPr>
              <w:rPr>
                <w:sz w:val="20"/>
                <w:szCs w:val="20"/>
              </w:rPr>
            </w:pPr>
            <w:r w:rsidRPr="00087986">
              <w:rPr>
                <w:sz w:val="20"/>
                <w:szCs w:val="20"/>
              </w:rPr>
              <w:t xml:space="preserve">Nodrošināt, ka ar zvērinātajiem revidentiem, kas pilda atbildīgā </w:t>
            </w:r>
            <w:r>
              <w:rPr>
                <w:sz w:val="20"/>
                <w:szCs w:val="20"/>
              </w:rPr>
              <w:t xml:space="preserve">zvērinātā </w:t>
            </w:r>
            <w:r w:rsidRPr="00087986">
              <w:rPr>
                <w:sz w:val="20"/>
                <w:szCs w:val="20"/>
              </w:rPr>
              <w:t>revidenta lomu konkrētajā revīzijas uzdevumā, tiek slēgts rakstveida uzņēmuma līgums</w:t>
            </w:r>
            <w:r w:rsidR="00873241">
              <w:rPr>
                <w:sz w:val="20"/>
                <w:szCs w:val="20"/>
              </w:rPr>
              <w:t>,</w:t>
            </w:r>
            <w:r w:rsidRPr="00087986">
              <w:rPr>
                <w:sz w:val="20"/>
                <w:szCs w:val="20"/>
              </w:rPr>
              <w:t xml:space="preserve"> pirms zvērinātais revidents iegūst piekļuvi klienta </w:t>
            </w:r>
            <w:proofErr w:type="spellStart"/>
            <w:r w:rsidRPr="00087986">
              <w:rPr>
                <w:sz w:val="20"/>
                <w:szCs w:val="20"/>
              </w:rPr>
              <w:t>sensitīv</w:t>
            </w:r>
            <w:r>
              <w:rPr>
                <w:sz w:val="20"/>
                <w:szCs w:val="20"/>
              </w:rPr>
              <w:t>aji</w:t>
            </w:r>
            <w:r w:rsidRPr="00087986">
              <w:rPr>
                <w:sz w:val="20"/>
                <w:szCs w:val="20"/>
              </w:rPr>
              <w:t>em</w:t>
            </w:r>
            <w:proofErr w:type="spellEnd"/>
            <w:r w:rsidRPr="00087986">
              <w:rPr>
                <w:sz w:val="20"/>
                <w:szCs w:val="20"/>
              </w:rPr>
              <w:t xml:space="preserve"> datiem</w:t>
            </w:r>
            <w:r>
              <w:rPr>
                <w:sz w:val="20"/>
                <w:szCs w:val="20"/>
              </w:rPr>
              <w:t>.</w:t>
            </w:r>
          </w:p>
        </w:tc>
        <w:tc>
          <w:tcPr>
            <w:tcW w:w="1276" w:type="dxa"/>
          </w:tcPr>
          <w:p w14:paraId="0FC28E75" w14:textId="77777777" w:rsidR="005A1512" w:rsidRDefault="005A1512" w:rsidP="00B52188">
            <w:pPr>
              <w:rPr>
                <w:color w:val="000000" w:themeColor="text1"/>
                <w:sz w:val="20"/>
                <w:szCs w:val="20"/>
              </w:rPr>
            </w:pPr>
          </w:p>
        </w:tc>
      </w:tr>
      <w:tr w:rsidR="005A1512" w:rsidRPr="003224AC" w14:paraId="5AD21453" w14:textId="77777777" w:rsidTr="007B758A">
        <w:trPr>
          <w:trHeight w:val="1999"/>
        </w:trPr>
        <w:tc>
          <w:tcPr>
            <w:tcW w:w="568" w:type="dxa"/>
          </w:tcPr>
          <w:p w14:paraId="2B387A9A" w14:textId="77777777" w:rsidR="005A1512" w:rsidRDefault="005A1512" w:rsidP="00B52188">
            <w:pPr>
              <w:rPr>
                <w:sz w:val="20"/>
                <w:szCs w:val="20"/>
              </w:rPr>
            </w:pPr>
          </w:p>
        </w:tc>
        <w:tc>
          <w:tcPr>
            <w:tcW w:w="1843" w:type="dxa"/>
          </w:tcPr>
          <w:p w14:paraId="30C42CFB" w14:textId="77777777" w:rsidR="005A1512" w:rsidRDefault="005A1512" w:rsidP="00B52188">
            <w:pPr>
              <w:rPr>
                <w:b/>
                <w:bCs/>
                <w:color w:val="000000" w:themeColor="text1"/>
                <w:sz w:val="20"/>
                <w:szCs w:val="20"/>
              </w:rPr>
            </w:pPr>
          </w:p>
        </w:tc>
        <w:tc>
          <w:tcPr>
            <w:tcW w:w="1275" w:type="dxa"/>
          </w:tcPr>
          <w:p w14:paraId="70FE5426" w14:textId="77777777" w:rsidR="005A1512" w:rsidRPr="001E35DD" w:rsidRDefault="005A1512" w:rsidP="00B52188">
            <w:pPr>
              <w:rPr>
                <w:sz w:val="20"/>
                <w:szCs w:val="20"/>
              </w:rPr>
            </w:pPr>
          </w:p>
        </w:tc>
        <w:tc>
          <w:tcPr>
            <w:tcW w:w="1418" w:type="dxa"/>
          </w:tcPr>
          <w:p w14:paraId="67EF3422" w14:textId="77777777" w:rsidR="005A1512" w:rsidRPr="00990774" w:rsidRDefault="005A1512" w:rsidP="00B52188">
            <w:pPr>
              <w:rPr>
                <w:sz w:val="20"/>
                <w:szCs w:val="20"/>
              </w:rPr>
            </w:pPr>
          </w:p>
        </w:tc>
        <w:tc>
          <w:tcPr>
            <w:tcW w:w="1701" w:type="dxa"/>
          </w:tcPr>
          <w:p w14:paraId="5EAFDFC8" w14:textId="77777777" w:rsidR="005A1512" w:rsidRPr="00990774" w:rsidRDefault="005A1512" w:rsidP="00B52188">
            <w:pPr>
              <w:rPr>
                <w:sz w:val="20"/>
                <w:szCs w:val="20"/>
              </w:rPr>
            </w:pPr>
          </w:p>
        </w:tc>
        <w:tc>
          <w:tcPr>
            <w:tcW w:w="1417" w:type="dxa"/>
          </w:tcPr>
          <w:p w14:paraId="1C28D6EC" w14:textId="77777777" w:rsidR="005A1512" w:rsidRPr="00990774" w:rsidRDefault="005A1512" w:rsidP="00B52188">
            <w:pPr>
              <w:rPr>
                <w:color w:val="000000" w:themeColor="text1"/>
                <w:sz w:val="20"/>
                <w:szCs w:val="20"/>
              </w:rPr>
            </w:pPr>
          </w:p>
        </w:tc>
        <w:tc>
          <w:tcPr>
            <w:tcW w:w="993" w:type="dxa"/>
          </w:tcPr>
          <w:p w14:paraId="65C9D859" w14:textId="77777777" w:rsidR="005A1512" w:rsidRPr="00990774" w:rsidRDefault="005A1512" w:rsidP="00B52188">
            <w:pPr>
              <w:rPr>
                <w:color w:val="000000" w:themeColor="text1"/>
                <w:sz w:val="20"/>
                <w:szCs w:val="20"/>
              </w:rPr>
            </w:pPr>
          </w:p>
        </w:tc>
        <w:tc>
          <w:tcPr>
            <w:tcW w:w="2126" w:type="dxa"/>
          </w:tcPr>
          <w:p w14:paraId="198B0F53" w14:textId="1489C4CF" w:rsidR="00884088" w:rsidRDefault="00884088" w:rsidP="00B52188">
            <w:r w:rsidRPr="00EE320D">
              <w:rPr>
                <w:sz w:val="20"/>
                <w:szCs w:val="20"/>
              </w:rPr>
              <w:t xml:space="preserve">Konstatēts, ka prakses kvalitātes vadības sistēmā nav pilnībā identificēti un atspoguļoti riski, kas saistīti ar ārpakalpojumu sniedzēju iesaisti revīzijas procesā. Ārpakalpojumu sniedzēji neizmanto prakses IT resursus un viņu līgumos nav noteiktu obligāto IT </w:t>
            </w:r>
            <w:r w:rsidRPr="00EE320D">
              <w:rPr>
                <w:sz w:val="20"/>
                <w:szCs w:val="20"/>
              </w:rPr>
              <w:lastRenderedPageBreak/>
              <w:t>drošības prasību, kas rada papildu kvalitātes riskus, kuri faktiski nav mazināti.</w:t>
            </w:r>
          </w:p>
          <w:p w14:paraId="0B7DCC84" w14:textId="5F4FF056" w:rsidR="005A1512" w:rsidRPr="00C13AFC" w:rsidRDefault="005A1512" w:rsidP="00B52188">
            <w:pPr>
              <w:rPr>
                <w:sz w:val="20"/>
                <w:szCs w:val="20"/>
              </w:rPr>
            </w:pPr>
          </w:p>
        </w:tc>
        <w:tc>
          <w:tcPr>
            <w:tcW w:w="1417" w:type="dxa"/>
          </w:tcPr>
          <w:p w14:paraId="741B92EE" w14:textId="60502D4F" w:rsidR="005A1512" w:rsidRPr="006D4E3F" w:rsidRDefault="006D3A38" w:rsidP="006D4E3F">
            <w:pPr>
              <w:rPr>
                <w:color w:val="000000" w:themeColor="text1"/>
                <w:sz w:val="20"/>
                <w:szCs w:val="20"/>
              </w:rPr>
            </w:pPr>
            <w:r w:rsidRPr="006D3A38">
              <w:rPr>
                <w:color w:val="000000" w:themeColor="text1"/>
                <w:sz w:val="20"/>
                <w:szCs w:val="20"/>
              </w:rPr>
              <w:lastRenderedPageBreak/>
              <w:t>1.Starptautiskā kvalitātes vadības standarta 32.punkts, A87.punkts, 29. (b), 32. (f), (g) (h), 34. (a) (i) un (ii) punkts, A106., A107.</w:t>
            </w:r>
          </w:p>
        </w:tc>
        <w:tc>
          <w:tcPr>
            <w:tcW w:w="1701" w:type="dxa"/>
          </w:tcPr>
          <w:p w14:paraId="60E0B064" w14:textId="50E162DF" w:rsidR="005A1512" w:rsidRPr="00D51319" w:rsidRDefault="00D3396D" w:rsidP="00D51319">
            <w:pPr>
              <w:rPr>
                <w:sz w:val="20"/>
                <w:szCs w:val="20"/>
              </w:rPr>
            </w:pPr>
            <w:r w:rsidRPr="00D3396D">
              <w:rPr>
                <w:sz w:val="20"/>
                <w:szCs w:val="20"/>
              </w:rPr>
              <w:t xml:space="preserve">Papildināt kvalitātes vadības Riska matricu, iekļaujot tajā risku, kas ir saistīts ar IT drošības nosacījumiem, piesaistot ārpakalpojumu sniedzējus, kuriem </w:t>
            </w:r>
            <w:r>
              <w:rPr>
                <w:sz w:val="20"/>
                <w:szCs w:val="20"/>
              </w:rPr>
              <w:t>prakse</w:t>
            </w:r>
            <w:r w:rsidRPr="00D3396D">
              <w:rPr>
                <w:sz w:val="20"/>
                <w:szCs w:val="20"/>
              </w:rPr>
              <w:t xml:space="preserve"> nenodrošina IT resursus. </w:t>
            </w:r>
            <w:r w:rsidRPr="00D3396D">
              <w:rPr>
                <w:sz w:val="20"/>
                <w:szCs w:val="20"/>
              </w:rPr>
              <w:lastRenderedPageBreak/>
              <w:t>Nepieciešamības gadījumā papildināt Uzņēmuma līguma nosacījumus</w:t>
            </w:r>
            <w:r>
              <w:rPr>
                <w:sz w:val="20"/>
                <w:szCs w:val="20"/>
              </w:rPr>
              <w:t>.</w:t>
            </w:r>
          </w:p>
        </w:tc>
        <w:tc>
          <w:tcPr>
            <w:tcW w:w="1276" w:type="dxa"/>
          </w:tcPr>
          <w:p w14:paraId="26DBD6F4" w14:textId="77777777" w:rsidR="005A1512" w:rsidRDefault="005A1512" w:rsidP="00B52188">
            <w:pPr>
              <w:rPr>
                <w:color w:val="000000" w:themeColor="text1"/>
                <w:sz w:val="20"/>
                <w:szCs w:val="20"/>
              </w:rPr>
            </w:pPr>
          </w:p>
        </w:tc>
      </w:tr>
      <w:tr w:rsidR="005A1512" w:rsidRPr="003224AC" w14:paraId="7BA608DE" w14:textId="77777777" w:rsidTr="007B758A">
        <w:trPr>
          <w:trHeight w:val="1372"/>
        </w:trPr>
        <w:tc>
          <w:tcPr>
            <w:tcW w:w="568" w:type="dxa"/>
          </w:tcPr>
          <w:p w14:paraId="40A6BC60" w14:textId="77777777" w:rsidR="005A1512" w:rsidRDefault="005A1512" w:rsidP="00B52188">
            <w:pPr>
              <w:rPr>
                <w:sz w:val="20"/>
                <w:szCs w:val="20"/>
              </w:rPr>
            </w:pPr>
          </w:p>
        </w:tc>
        <w:tc>
          <w:tcPr>
            <w:tcW w:w="1843" w:type="dxa"/>
          </w:tcPr>
          <w:p w14:paraId="57958FAE" w14:textId="77777777" w:rsidR="005A1512" w:rsidRDefault="005A1512" w:rsidP="00B52188">
            <w:pPr>
              <w:rPr>
                <w:b/>
                <w:bCs/>
                <w:color w:val="000000" w:themeColor="text1"/>
                <w:sz w:val="20"/>
                <w:szCs w:val="20"/>
              </w:rPr>
            </w:pPr>
          </w:p>
        </w:tc>
        <w:tc>
          <w:tcPr>
            <w:tcW w:w="1275" w:type="dxa"/>
          </w:tcPr>
          <w:p w14:paraId="1FB5FA21" w14:textId="77777777" w:rsidR="005A1512" w:rsidRPr="001E35DD" w:rsidRDefault="005A1512" w:rsidP="00B52188">
            <w:pPr>
              <w:rPr>
                <w:sz w:val="20"/>
                <w:szCs w:val="20"/>
              </w:rPr>
            </w:pPr>
          </w:p>
        </w:tc>
        <w:tc>
          <w:tcPr>
            <w:tcW w:w="1418" w:type="dxa"/>
          </w:tcPr>
          <w:p w14:paraId="23497764" w14:textId="77777777" w:rsidR="005A1512" w:rsidRPr="00990774" w:rsidRDefault="005A1512" w:rsidP="00B52188">
            <w:pPr>
              <w:rPr>
                <w:sz w:val="20"/>
                <w:szCs w:val="20"/>
              </w:rPr>
            </w:pPr>
          </w:p>
        </w:tc>
        <w:tc>
          <w:tcPr>
            <w:tcW w:w="1701" w:type="dxa"/>
          </w:tcPr>
          <w:p w14:paraId="54760208" w14:textId="77777777" w:rsidR="005A1512" w:rsidRPr="00990774" w:rsidRDefault="005A1512" w:rsidP="00B52188">
            <w:pPr>
              <w:rPr>
                <w:sz w:val="20"/>
                <w:szCs w:val="20"/>
              </w:rPr>
            </w:pPr>
          </w:p>
        </w:tc>
        <w:tc>
          <w:tcPr>
            <w:tcW w:w="1417" w:type="dxa"/>
          </w:tcPr>
          <w:p w14:paraId="4E38CA6B" w14:textId="77777777" w:rsidR="005A1512" w:rsidRPr="00990774" w:rsidRDefault="005A1512" w:rsidP="00B52188">
            <w:pPr>
              <w:rPr>
                <w:color w:val="000000" w:themeColor="text1"/>
                <w:sz w:val="20"/>
                <w:szCs w:val="20"/>
              </w:rPr>
            </w:pPr>
          </w:p>
        </w:tc>
        <w:tc>
          <w:tcPr>
            <w:tcW w:w="993" w:type="dxa"/>
          </w:tcPr>
          <w:p w14:paraId="73BA38B8" w14:textId="77777777" w:rsidR="005A1512" w:rsidRPr="00990774" w:rsidRDefault="005A1512" w:rsidP="00B52188">
            <w:pPr>
              <w:rPr>
                <w:color w:val="000000" w:themeColor="text1"/>
                <w:sz w:val="20"/>
                <w:szCs w:val="20"/>
              </w:rPr>
            </w:pPr>
          </w:p>
        </w:tc>
        <w:tc>
          <w:tcPr>
            <w:tcW w:w="2126" w:type="dxa"/>
          </w:tcPr>
          <w:p w14:paraId="4A1EE07B" w14:textId="0D0BC56D" w:rsidR="005A1512" w:rsidRDefault="00AE5805" w:rsidP="00B52188">
            <w:pPr>
              <w:rPr>
                <w:b/>
                <w:bCs/>
                <w:sz w:val="20"/>
                <w:szCs w:val="20"/>
              </w:rPr>
            </w:pPr>
            <w:r w:rsidRPr="00AE5805">
              <w:rPr>
                <w:sz w:val="20"/>
                <w:szCs w:val="20"/>
              </w:rPr>
              <w:t>Revīzijas uzdevuma dokumentu papīra formāta daļas slēgšana nav pietiekama, lai nodrošinātu Ministru kabineta noteikumu Nr.668 27.punktā noteiktās prasības – nodrošināt, ka pēc lietas slēgšanas tajā ietvertie revidenta darba dokumenti un citas ziņas nevar tikt izmainītas.</w:t>
            </w:r>
          </w:p>
        </w:tc>
        <w:tc>
          <w:tcPr>
            <w:tcW w:w="1417" w:type="dxa"/>
          </w:tcPr>
          <w:p w14:paraId="6FE1E66E" w14:textId="77777777" w:rsidR="002A00A0" w:rsidRPr="002A00A0" w:rsidRDefault="002A00A0" w:rsidP="002A00A0">
            <w:pPr>
              <w:rPr>
                <w:color w:val="000000" w:themeColor="text1"/>
                <w:sz w:val="20"/>
                <w:szCs w:val="20"/>
              </w:rPr>
            </w:pPr>
            <w:r w:rsidRPr="002A00A0">
              <w:rPr>
                <w:color w:val="000000" w:themeColor="text1"/>
                <w:sz w:val="20"/>
                <w:szCs w:val="20"/>
              </w:rPr>
              <w:t>Ministru kabineta noteikumu Nr.668 27.punkts</w:t>
            </w:r>
          </w:p>
          <w:p w14:paraId="4851F449" w14:textId="77777777" w:rsidR="002A00A0" w:rsidRPr="002A00A0" w:rsidRDefault="002A00A0" w:rsidP="002A00A0">
            <w:pPr>
              <w:rPr>
                <w:color w:val="000000" w:themeColor="text1"/>
                <w:sz w:val="20"/>
                <w:szCs w:val="20"/>
              </w:rPr>
            </w:pPr>
          </w:p>
          <w:p w14:paraId="1D96AF6B" w14:textId="3D271E39" w:rsidR="005A1512" w:rsidRPr="006D4E3F" w:rsidRDefault="002A00A0" w:rsidP="002A00A0">
            <w:pPr>
              <w:rPr>
                <w:color w:val="000000" w:themeColor="text1"/>
                <w:sz w:val="20"/>
                <w:szCs w:val="20"/>
              </w:rPr>
            </w:pPr>
            <w:r w:rsidRPr="002A00A0">
              <w:rPr>
                <w:color w:val="000000" w:themeColor="text1"/>
                <w:sz w:val="20"/>
                <w:szCs w:val="20"/>
              </w:rPr>
              <w:t>Ministru kabineta noteikumu Nr. 558</w:t>
            </w:r>
            <w:r w:rsidR="002C6FF1">
              <w:rPr>
                <w:rStyle w:val="FootnoteReference"/>
                <w:color w:val="000000" w:themeColor="text1"/>
                <w:sz w:val="20"/>
                <w:szCs w:val="20"/>
              </w:rPr>
              <w:footnoteReference w:id="9"/>
            </w:r>
            <w:r w:rsidRPr="002A00A0">
              <w:rPr>
                <w:color w:val="000000" w:themeColor="text1"/>
                <w:sz w:val="20"/>
                <w:szCs w:val="20"/>
              </w:rPr>
              <w:t xml:space="preserve"> 55.-57.punkts</w:t>
            </w:r>
          </w:p>
        </w:tc>
        <w:tc>
          <w:tcPr>
            <w:tcW w:w="1701" w:type="dxa"/>
          </w:tcPr>
          <w:p w14:paraId="38D46274" w14:textId="1F9753CE" w:rsidR="005A1512" w:rsidRPr="00D51319" w:rsidRDefault="004E205A" w:rsidP="00D51319">
            <w:pPr>
              <w:rPr>
                <w:sz w:val="20"/>
                <w:szCs w:val="20"/>
              </w:rPr>
            </w:pPr>
            <w:r w:rsidRPr="004E205A">
              <w:rPr>
                <w:sz w:val="20"/>
                <w:szCs w:val="20"/>
              </w:rPr>
              <w:t xml:space="preserve">Nodrošināt atbilstošu revīzijas uzdevumu dokumentu papīra formāta daļu slēgšanu, lai nodrošinātu </w:t>
            </w:r>
            <w:r>
              <w:rPr>
                <w:sz w:val="20"/>
                <w:szCs w:val="20"/>
              </w:rPr>
              <w:t>Ministru kabineta</w:t>
            </w:r>
            <w:r w:rsidRPr="004E205A">
              <w:rPr>
                <w:sz w:val="20"/>
                <w:szCs w:val="20"/>
              </w:rPr>
              <w:t xml:space="preserve"> noteikumu Nr.668 27.punktā minētās prasības.</w:t>
            </w:r>
          </w:p>
        </w:tc>
        <w:tc>
          <w:tcPr>
            <w:tcW w:w="1276" w:type="dxa"/>
          </w:tcPr>
          <w:p w14:paraId="46D1DA07" w14:textId="77777777" w:rsidR="005A1512" w:rsidRDefault="005A1512" w:rsidP="00B52188">
            <w:pPr>
              <w:rPr>
                <w:color w:val="000000" w:themeColor="text1"/>
                <w:sz w:val="20"/>
                <w:szCs w:val="20"/>
              </w:rPr>
            </w:pPr>
          </w:p>
        </w:tc>
      </w:tr>
      <w:tr w:rsidR="005A1512" w:rsidRPr="003224AC" w14:paraId="5787EA4A" w14:textId="77777777" w:rsidTr="007B758A">
        <w:trPr>
          <w:trHeight w:val="663"/>
        </w:trPr>
        <w:tc>
          <w:tcPr>
            <w:tcW w:w="568" w:type="dxa"/>
          </w:tcPr>
          <w:p w14:paraId="7FAA5FF5" w14:textId="77777777" w:rsidR="005A1512" w:rsidRDefault="005A1512" w:rsidP="00B52188">
            <w:pPr>
              <w:rPr>
                <w:sz w:val="20"/>
                <w:szCs w:val="20"/>
              </w:rPr>
            </w:pPr>
          </w:p>
        </w:tc>
        <w:tc>
          <w:tcPr>
            <w:tcW w:w="1843" w:type="dxa"/>
          </w:tcPr>
          <w:p w14:paraId="46303317" w14:textId="77777777" w:rsidR="005A1512" w:rsidRDefault="005A1512" w:rsidP="00B52188">
            <w:pPr>
              <w:rPr>
                <w:b/>
                <w:bCs/>
                <w:color w:val="000000" w:themeColor="text1"/>
                <w:sz w:val="20"/>
                <w:szCs w:val="20"/>
              </w:rPr>
            </w:pPr>
          </w:p>
        </w:tc>
        <w:tc>
          <w:tcPr>
            <w:tcW w:w="1275" w:type="dxa"/>
          </w:tcPr>
          <w:p w14:paraId="4224C136" w14:textId="77777777" w:rsidR="005A1512" w:rsidRPr="001E35DD" w:rsidRDefault="005A1512" w:rsidP="00B52188">
            <w:pPr>
              <w:rPr>
                <w:sz w:val="20"/>
                <w:szCs w:val="20"/>
              </w:rPr>
            </w:pPr>
          </w:p>
        </w:tc>
        <w:tc>
          <w:tcPr>
            <w:tcW w:w="1418" w:type="dxa"/>
          </w:tcPr>
          <w:p w14:paraId="171515E0" w14:textId="77777777" w:rsidR="005A1512" w:rsidRPr="00990774" w:rsidRDefault="005A1512" w:rsidP="00B52188">
            <w:pPr>
              <w:rPr>
                <w:sz w:val="20"/>
                <w:szCs w:val="20"/>
              </w:rPr>
            </w:pPr>
          </w:p>
        </w:tc>
        <w:tc>
          <w:tcPr>
            <w:tcW w:w="1701" w:type="dxa"/>
          </w:tcPr>
          <w:p w14:paraId="1EF50360" w14:textId="77777777" w:rsidR="005A1512" w:rsidRPr="00990774" w:rsidRDefault="005A1512" w:rsidP="00B52188">
            <w:pPr>
              <w:rPr>
                <w:sz w:val="20"/>
                <w:szCs w:val="20"/>
              </w:rPr>
            </w:pPr>
          </w:p>
        </w:tc>
        <w:tc>
          <w:tcPr>
            <w:tcW w:w="1417" w:type="dxa"/>
          </w:tcPr>
          <w:p w14:paraId="388F3AEA" w14:textId="77777777" w:rsidR="005A1512" w:rsidRPr="00990774" w:rsidRDefault="005A1512" w:rsidP="00B52188">
            <w:pPr>
              <w:rPr>
                <w:color w:val="000000" w:themeColor="text1"/>
                <w:sz w:val="20"/>
                <w:szCs w:val="20"/>
              </w:rPr>
            </w:pPr>
          </w:p>
        </w:tc>
        <w:tc>
          <w:tcPr>
            <w:tcW w:w="993" w:type="dxa"/>
          </w:tcPr>
          <w:p w14:paraId="69D3EFF5" w14:textId="77777777" w:rsidR="005A1512" w:rsidRPr="00990774" w:rsidRDefault="005A1512" w:rsidP="00B52188">
            <w:pPr>
              <w:rPr>
                <w:color w:val="000000" w:themeColor="text1"/>
                <w:sz w:val="20"/>
                <w:szCs w:val="20"/>
              </w:rPr>
            </w:pPr>
          </w:p>
        </w:tc>
        <w:tc>
          <w:tcPr>
            <w:tcW w:w="2126" w:type="dxa"/>
          </w:tcPr>
          <w:p w14:paraId="02A978C1" w14:textId="2E52D48F" w:rsidR="005A1512" w:rsidRDefault="008A512A" w:rsidP="00B52188">
            <w:pPr>
              <w:rPr>
                <w:b/>
                <w:bCs/>
                <w:sz w:val="20"/>
                <w:szCs w:val="20"/>
              </w:rPr>
            </w:pPr>
            <w:r w:rsidRPr="008A512A">
              <w:rPr>
                <w:sz w:val="20"/>
                <w:szCs w:val="20"/>
              </w:rPr>
              <w:t xml:space="preserve">Konstatēts, ka prakse nepietiekami ievēro tīkla metodoloģijā noteiktās prasības saistīto pušu darījumu izvērtēšanā. </w:t>
            </w:r>
          </w:p>
        </w:tc>
        <w:tc>
          <w:tcPr>
            <w:tcW w:w="1417" w:type="dxa"/>
          </w:tcPr>
          <w:p w14:paraId="10767299" w14:textId="77777777" w:rsidR="00B5180F" w:rsidRPr="00B5180F" w:rsidRDefault="00B5180F" w:rsidP="00B5180F">
            <w:pPr>
              <w:rPr>
                <w:color w:val="000000" w:themeColor="text1"/>
                <w:sz w:val="20"/>
                <w:szCs w:val="20"/>
              </w:rPr>
            </w:pPr>
            <w:r w:rsidRPr="00B5180F">
              <w:rPr>
                <w:color w:val="000000" w:themeColor="text1"/>
                <w:sz w:val="20"/>
                <w:szCs w:val="20"/>
              </w:rPr>
              <w:t>315.SRS “Būtisku neatbilstību risku identificēšana un izvērtēšana”</w:t>
            </w:r>
          </w:p>
          <w:p w14:paraId="2B171613" w14:textId="77777777" w:rsidR="00B5180F" w:rsidRPr="00B5180F" w:rsidRDefault="00B5180F" w:rsidP="00B5180F">
            <w:pPr>
              <w:rPr>
                <w:color w:val="000000" w:themeColor="text1"/>
                <w:sz w:val="20"/>
                <w:szCs w:val="20"/>
              </w:rPr>
            </w:pPr>
            <w:r w:rsidRPr="00B5180F">
              <w:rPr>
                <w:color w:val="000000" w:themeColor="text1"/>
                <w:sz w:val="20"/>
                <w:szCs w:val="20"/>
              </w:rPr>
              <w:t>550.SRS “Saistītās puses”</w:t>
            </w:r>
          </w:p>
          <w:p w14:paraId="2FB69D1D" w14:textId="77777777" w:rsidR="00B5180F" w:rsidRPr="00B5180F" w:rsidRDefault="00B5180F" w:rsidP="00B5180F">
            <w:pPr>
              <w:rPr>
                <w:color w:val="000000" w:themeColor="text1"/>
                <w:sz w:val="20"/>
                <w:szCs w:val="20"/>
              </w:rPr>
            </w:pPr>
          </w:p>
          <w:p w14:paraId="3A8A230F" w14:textId="0BB61C95" w:rsidR="005A1512" w:rsidRPr="006D4E3F" w:rsidRDefault="00B5180F" w:rsidP="00B5180F">
            <w:pPr>
              <w:rPr>
                <w:color w:val="000000" w:themeColor="text1"/>
                <w:sz w:val="20"/>
                <w:szCs w:val="20"/>
              </w:rPr>
            </w:pPr>
            <w:r w:rsidRPr="00B5180F">
              <w:rPr>
                <w:color w:val="000000" w:themeColor="text1"/>
                <w:sz w:val="20"/>
                <w:szCs w:val="20"/>
              </w:rPr>
              <w:t>Revīzijas pakalpojumu likuma 28.panta pirmā daļa</w:t>
            </w:r>
          </w:p>
        </w:tc>
        <w:tc>
          <w:tcPr>
            <w:tcW w:w="1701" w:type="dxa"/>
          </w:tcPr>
          <w:p w14:paraId="606FD0F7" w14:textId="7D49B024" w:rsidR="005A1512" w:rsidRPr="00D51319" w:rsidRDefault="00513D8F" w:rsidP="00D51319">
            <w:pPr>
              <w:rPr>
                <w:sz w:val="20"/>
                <w:szCs w:val="20"/>
              </w:rPr>
            </w:pPr>
            <w:r>
              <w:rPr>
                <w:sz w:val="20"/>
                <w:szCs w:val="20"/>
              </w:rPr>
              <w:t>Praksei</w:t>
            </w:r>
            <w:r w:rsidRPr="00513D8F">
              <w:rPr>
                <w:sz w:val="20"/>
                <w:szCs w:val="20"/>
              </w:rPr>
              <w:t xml:space="preserve"> pievērst lielāku uzmanību </w:t>
            </w:r>
            <w:r>
              <w:rPr>
                <w:sz w:val="20"/>
                <w:szCs w:val="20"/>
              </w:rPr>
              <w:t>tīkla</w:t>
            </w:r>
            <w:r w:rsidRPr="00513D8F">
              <w:rPr>
                <w:sz w:val="20"/>
                <w:szCs w:val="20"/>
              </w:rPr>
              <w:t xml:space="preserve"> konstatējumiem revīzijas uzdevuma un prakses līmenī, revīzijā vadoties pēc </w:t>
            </w:r>
            <w:r>
              <w:rPr>
                <w:sz w:val="20"/>
                <w:szCs w:val="20"/>
              </w:rPr>
              <w:t>tīkla</w:t>
            </w:r>
            <w:r w:rsidRPr="00513D8F">
              <w:rPr>
                <w:sz w:val="20"/>
                <w:szCs w:val="20"/>
              </w:rPr>
              <w:t xml:space="preserve"> revīzijas rokasgrāmatas vai arī izstrādājot savu metodoloģiju, kuru </w:t>
            </w:r>
            <w:r>
              <w:rPr>
                <w:sz w:val="20"/>
                <w:szCs w:val="20"/>
              </w:rPr>
              <w:t>prakses</w:t>
            </w:r>
            <w:r w:rsidRPr="00513D8F">
              <w:rPr>
                <w:sz w:val="20"/>
                <w:szCs w:val="20"/>
              </w:rPr>
              <w:t xml:space="preserve"> revīzijas komanda varētu </w:t>
            </w:r>
            <w:r w:rsidRPr="00513D8F">
              <w:rPr>
                <w:sz w:val="20"/>
                <w:szCs w:val="20"/>
              </w:rPr>
              <w:lastRenderedPageBreak/>
              <w:t>konsekventi izmantot.</w:t>
            </w:r>
          </w:p>
        </w:tc>
        <w:tc>
          <w:tcPr>
            <w:tcW w:w="1276" w:type="dxa"/>
          </w:tcPr>
          <w:p w14:paraId="3CB06E65" w14:textId="77777777" w:rsidR="005A1512" w:rsidRDefault="005A1512" w:rsidP="00B52188">
            <w:pPr>
              <w:rPr>
                <w:color w:val="000000" w:themeColor="text1"/>
                <w:sz w:val="20"/>
                <w:szCs w:val="20"/>
              </w:rPr>
            </w:pPr>
          </w:p>
        </w:tc>
      </w:tr>
      <w:tr w:rsidR="005A1512" w:rsidRPr="003224AC" w14:paraId="6EBA6255" w14:textId="77777777" w:rsidTr="007B758A">
        <w:trPr>
          <w:trHeight w:val="1230"/>
        </w:trPr>
        <w:tc>
          <w:tcPr>
            <w:tcW w:w="568" w:type="dxa"/>
          </w:tcPr>
          <w:p w14:paraId="3A86076D" w14:textId="77777777" w:rsidR="005A1512" w:rsidRDefault="005A1512" w:rsidP="00B52188">
            <w:pPr>
              <w:rPr>
                <w:sz w:val="20"/>
                <w:szCs w:val="20"/>
              </w:rPr>
            </w:pPr>
          </w:p>
        </w:tc>
        <w:tc>
          <w:tcPr>
            <w:tcW w:w="1843" w:type="dxa"/>
          </w:tcPr>
          <w:p w14:paraId="42D7C29B" w14:textId="77777777" w:rsidR="005A1512" w:rsidRDefault="005A1512" w:rsidP="00B52188">
            <w:pPr>
              <w:rPr>
                <w:b/>
                <w:bCs/>
                <w:color w:val="000000" w:themeColor="text1"/>
                <w:sz w:val="20"/>
                <w:szCs w:val="20"/>
              </w:rPr>
            </w:pPr>
          </w:p>
        </w:tc>
        <w:tc>
          <w:tcPr>
            <w:tcW w:w="1275" w:type="dxa"/>
          </w:tcPr>
          <w:p w14:paraId="6A517E43" w14:textId="77777777" w:rsidR="005A1512" w:rsidRPr="001E35DD" w:rsidRDefault="005A1512" w:rsidP="00B52188">
            <w:pPr>
              <w:rPr>
                <w:sz w:val="20"/>
                <w:szCs w:val="20"/>
              </w:rPr>
            </w:pPr>
          </w:p>
        </w:tc>
        <w:tc>
          <w:tcPr>
            <w:tcW w:w="1418" w:type="dxa"/>
          </w:tcPr>
          <w:p w14:paraId="5365B4E5" w14:textId="77777777" w:rsidR="005A1512" w:rsidRPr="00990774" w:rsidRDefault="005A1512" w:rsidP="00B52188">
            <w:pPr>
              <w:rPr>
                <w:sz w:val="20"/>
                <w:szCs w:val="20"/>
              </w:rPr>
            </w:pPr>
          </w:p>
        </w:tc>
        <w:tc>
          <w:tcPr>
            <w:tcW w:w="1701" w:type="dxa"/>
          </w:tcPr>
          <w:p w14:paraId="7FD985E3" w14:textId="77777777" w:rsidR="005A1512" w:rsidRPr="00990774" w:rsidRDefault="005A1512" w:rsidP="00B52188">
            <w:pPr>
              <w:rPr>
                <w:sz w:val="20"/>
                <w:szCs w:val="20"/>
              </w:rPr>
            </w:pPr>
          </w:p>
        </w:tc>
        <w:tc>
          <w:tcPr>
            <w:tcW w:w="1417" w:type="dxa"/>
          </w:tcPr>
          <w:p w14:paraId="56F2475B" w14:textId="77777777" w:rsidR="005A1512" w:rsidRPr="00990774" w:rsidRDefault="005A1512" w:rsidP="00B52188">
            <w:pPr>
              <w:rPr>
                <w:color w:val="000000" w:themeColor="text1"/>
                <w:sz w:val="20"/>
                <w:szCs w:val="20"/>
              </w:rPr>
            </w:pPr>
          </w:p>
        </w:tc>
        <w:tc>
          <w:tcPr>
            <w:tcW w:w="993" w:type="dxa"/>
          </w:tcPr>
          <w:p w14:paraId="27A84B7F" w14:textId="77777777" w:rsidR="005A1512" w:rsidRPr="00990774" w:rsidRDefault="005A1512" w:rsidP="00B52188">
            <w:pPr>
              <w:rPr>
                <w:color w:val="000000" w:themeColor="text1"/>
                <w:sz w:val="20"/>
                <w:szCs w:val="20"/>
              </w:rPr>
            </w:pPr>
          </w:p>
        </w:tc>
        <w:tc>
          <w:tcPr>
            <w:tcW w:w="2126" w:type="dxa"/>
          </w:tcPr>
          <w:p w14:paraId="7E650E04" w14:textId="3AD8828B" w:rsidR="005A1512" w:rsidRDefault="00E23EC5" w:rsidP="00B52188">
            <w:pPr>
              <w:rPr>
                <w:b/>
                <w:bCs/>
                <w:sz w:val="20"/>
                <w:szCs w:val="20"/>
              </w:rPr>
            </w:pPr>
            <w:r w:rsidRPr="00E23EC5">
              <w:rPr>
                <w:sz w:val="20"/>
                <w:szCs w:val="20"/>
              </w:rPr>
              <w:t>Revīzijas komandas neatkarības apliecināšana pēc klienta akceptēšanas un līguma noslēgšanas</w:t>
            </w:r>
            <w:r w:rsidR="00544993">
              <w:rPr>
                <w:sz w:val="20"/>
                <w:szCs w:val="20"/>
              </w:rPr>
              <w:t>.</w:t>
            </w:r>
            <w:r w:rsidRPr="00E23EC5">
              <w:rPr>
                <w:sz w:val="20"/>
                <w:szCs w:val="20"/>
              </w:rPr>
              <w:t xml:space="preserve"> </w:t>
            </w:r>
          </w:p>
        </w:tc>
        <w:tc>
          <w:tcPr>
            <w:tcW w:w="1417" w:type="dxa"/>
          </w:tcPr>
          <w:p w14:paraId="39845C3F" w14:textId="77777777" w:rsidR="003779C5" w:rsidRPr="003779C5" w:rsidRDefault="003779C5" w:rsidP="003779C5">
            <w:pPr>
              <w:rPr>
                <w:color w:val="000000" w:themeColor="text1"/>
                <w:sz w:val="20"/>
                <w:szCs w:val="20"/>
              </w:rPr>
            </w:pPr>
            <w:r w:rsidRPr="003779C5">
              <w:rPr>
                <w:color w:val="000000" w:themeColor="text1"/>
                <w:sz w:val="20"/>
                <w:szCs w:val="20"/>
              </w:rPr>
              <w:t>1.Starptautiskā kvalitātes vadības standarta 30. (a) (ii) punkts, A72 punkts</w:t>
            </w:r>
          </w:p>
          <w:p w14:paraId="25D3A1AC" w14:textId="77777777" w:rsidR="003779C5" w:rsidRPr="003779C5" w:rsidRDefault="003779C5" w:rsidP="003779C5">
            <w:pPr>
              <w:rPr>
                <w:color w:val="000000" w:themeColor="text1"/>
                <w:sz w:val="20"/>
                <w:szCs w:val="20"/>
              </w:rPr>
            </w:pPr>
          </w:p>
          <w:p w14:paraId="42EE1395" w14:textId="77777777" w:rsidR="003779C5" w:rsidRPr="003779C5" w:rsidRDefault="003779C5" w:rsidP="003779C5">
            <w:pPr>
              <w:rPr>
                <w:color w:val="000000" w:themeColor="text1"/>
                <w:sz w:val="20"/>
                <w:szCs w:val="20"/>
              </w:rPr>
            </w:pPr>
            <w:r w:rsidRPr="003779C5">
              <w:rPr>
                <w:color w:val="000000" w:themeColor="text1"/>
                <w:sz w:val="20"/>
                <w:szCs w:val="20"/>
              </w:rPr>
              <w:t>220.SRS 22.punkts, 23.punkts un A50.punkts</w:t>
            </w:r>
          </w:p>
          <w:p w14:paraId="42721BA3" w14:textId="77777777" w:rsidR="003779C5" w:rsidRPr="003779C5" w:rsidRDefault="003779C5" w:rsidP="003779C5">
            <w:pPr>
              <w:rPr>
                <w:color w:val="000000" w:themeColor="text1"/>
                <w:sz w:val="20"/>
                <w:szCs w:val="20"/>
              </w:rPr>
            </w:pPr>
          </w:p>
          <w:p w14:paraId="2E9B1442" w14:textId="77777777" w:rsidR="003779C5" w:rsidRPr="003779C5" w:rsidRDefault="003779C5" w:rsidP="003779C5">
            <w:pPr>
              <w:rPr>
                <w:color w:val="000000" w:themeColor="text1"/>
                <w:sz w:val="20"/>
                <w:szCs w:val="20"/>
              </w:rPr>
            </w:pPr>
            <w:r w:rsidRPr="003779C5">
              <w:rPr>
                <w:color w:val="000000" w:themeColor="text1"/>
                <w:sz w:val="20"/>
                <w:szCs w:val="20"/>
              </w:rPr>
              <w:t>210.SRS 3.punkts</w:t>
            </w:r>
          </w:p>
          <w:p w14:paraId="0E64EBDD" w14:textId="77777777" w:rsidR="003779C5" w:rsidRPr="003779C5" w:rsidRDefault="003779C5" w:rsidP="003779C5">
            <w:pPr>
              <w:rPr>
                <w:color w:val="000000" w:themeColor="text1"/>
                <w:sz w:val="20"/>
                <w:szCs w:val="20"/>
              </w:rPr>
            </w:pPr>
          </w:p>
          <w:p w14:paraId="05D7A937" w14:textId="50B9467D" w:rsidR="005A1512" w:rsidRPr="006D4E3F" w:rsidRDefault="003779C5" w:rsidP="003779C5">
            <w:pPr>
              <w:rPr>
                <w:color w:val="000000" w:themeColor="text1"/>
                <w:sz w:val="20"/>
                <w:szCs w:val="20"/>
              </w:rPr>
            </w:pPr>
            <w:r w:rsidRPr="003779C5">
              <w:rPr>
                <w:color w:val="000000" w:themeColor="text1"/>
                <w:sz w:val="20"/>
                <w:szCs w:val="20"/>
              </w:rPr>
              <w:t>Revīzijas pakalpojumu likuma 28.panta pirmā daļa</w:t>
            </w:r>
          </w:p>
        </w:tc>
        <w:tc>
          <w:tcPr>
            <w:tcW w:w="1701" w:type="dxa"/>
          </w:tcPr>
          <w:p w14:paraId="3D835CE7" w14:textId="06D0C718" w:rsidR="005A1512" w:rsidRPr="00D51319" w:rsidRDefault="00914507" w:rsidP="00D51319">
            <w:pPr>
              <w:rPr>
                <w:sz w:val="20"/>
                <w:szCs w:val="20"/>
              </w:rPr>
            </w:pPr>
            <w:r w:rsidRPr="00914507">
              <w:rPr>
                <w:sz w:val="20"/>
                <w:szCs w:val="20"/>
              </w:rPr>
              <w:t>Turpmāk sekot tam, lai neatkarības apliecinājumi tiktu parakstīti pirms klienta akceptēšanas un līguma noslēgšanas ar klientiem.</w:t>
            </w:r>
          </w:p>
        </w:tc>
        <w:tc>
          <w:tcPr>
            <w:tcW w:w="1276" w:type="dxa"/>
          </w:tcPr>
          <w:p w14:paraId="738FCD0D" w14:textId="77777777" w:rsidR="005A1512" w:rsidRDefault="005A1512" w:rsidP="00B52188">
            <w:pPr>
              <w:rPr>
                <w:color w:val="000000" w:themeColor="text1"/>
                <w:sz w:val="20"/>
                <w:szCs w:val="20"/>
              </w:rPr>
            </w:pPr>
          </w:p>
        </w:tc>
      </w:tr>
      <w:tr w:rsidR="005A1512" w:rsidRPr="003224AC" w14:paraId="6D7D0BB0" w14:textId="77777777" w:rsidTr="007B758A">
        <w:tc>
          <w:tcPr>
            <w:tcW w:w="568" w:type="dxa"/>
          </w:tcPr>
          <w:p w14:paraId="4F1B503F" w14:textId="77777777" w:rsidR="005A1512" w:rsidRDefault="005A1512" w:rsidP="00B52188">
            <w:pPr>
              <w:rPr>
                <w:sz w:val="20"/>
                <w:szCs w:val="20"/>
              </w:rPr>
            </w:pPr>
          </w:p>
        </w:tc>
        <w:tc>
          <w:tcPr>
            <w:tcW w:w="1843" w:type="dxa"/>
          </w:tcPr>
          <w:p w14:paraId="65E2619E" w14:textId="77777777" w:rsidR="005A1512" w:rsidRDefault="005A1512" w:rsidP="00B52188">
            <w:pPr>
              <w:rPr>
                <w:b/>
                <w:bCs/>
                <w:color w:val="000000" w:themeColor="text1"/>
                <w:sz w:val="20"/>
                <w:szCs w:val="20"/>
              </w:rPr>
            </w:pPr>
          </w:p>
        </w:tc>
        <w:tc>
          <w:tcPr>
            <w:tcW w:w="1275" w:type="dxa"/>
          </w:tcPr>
          <w:p w14:paraId="38C7D758" w14:textId="77777777" w:rsidR="005A1512" w:rsidRPr="001E35DD" w:rsidRDefault="005A1512" w:rsidP="00B52188">
            <w:pPr>
              <w:rPr>
                <w:sz w:val="20"/>
                <w:szCs w:val="20"/>
              </w:rPr>
            </w:pPr>
          </w:p>
        </w:tc>
        <w:tc>
          <w:tcPr>
            <w:tcW w:w="1418" w:type="dxa"/>
          </w:tcPr>
          <w:p w14:paraId="659D28DA" w14:textId="77777777" w:rsidR="005A1512" w:rsidRPr="00990774" w:rsidRDefault="005A1512" w:rsidP="00B52188">
            <w:pPr>
              <w:rPr>
                <w:sz w:val="20"/>
                <w:szCs w:val="20"/>
              </w:rPr>
            </w:pPr>
          </w:p>
        </w:tc>
        <w:tc>
          <w:tcPr>
            <w:tcW w:w="1701" w:type="dxa"/>
          </w:tcPr>
          <w:p w14:paraId="593523E3" w14:textId="77777777" w:rsidR="005A1512" w:rsidRPr="00990774" w:rsidRDefault="005A1512" w:rsidP="00B52188">
            <w:pPr>
              <w:rPr>
                <w:sz w:val="20"/>
                <w:szCs w:val="20"/>
              </w:rPr>
            </w:pPr>
          </w:p>
        </w:tc>
        <w:tc>
          <w:tcPr>
            <w:tcW w:w="1417" w:type="dxa"/>
          </w:tcPr>
          <w:p w14:paraId="66AE9C7F" w14:textId="77777777" w:rsidR="005A1512" w:rsidRPr="00990774" w:rsidRDefault="005A1512" w:rsidP="00B52188">
            <w:pPr>
              <w:rPr>
                <w:color w:val="000000" w:themeColor="text1"/>
                <w:sz w:val="20"/>
                <w:szCs w:val="20"/>
              </w:rPr>
            </w:pPr>
          </w:p>
        </w:tc>
        <w:tc>
          <w:tcPr>
            <w:tcW w:w="993" w:type="dxa"/>
          </w:tcPr>
          <w:p w14:paraId="53B69697" w14:textId="77777777" w:rsidR="005A1512" w:rsidRPr="00990774" w:rsidRDefault="005A1512" w:rsidP="00B52188">
            <w:pPr>
              <w:rPr>
                <w:color w:val="000000" w:themeColor="text1"/>
                <w:sz w:val="20"/>
                <w:szCs w:val="20"/>
              </w:rPr>
            </w:pPr>
          </w:p>
        </w:tc>
        <w:tc>
          <w:tcPr>
            <w:tcW w:w="2126" w:type="dxa"/>
          </w:tcPr>
          <w:p w14:paraId="1EBC129F" w14:textId="7FCBC0CA" w:rsidR="005A1512" w:rsidRDefault="00AF6500" w:rsidP="00AF6500">
            <w:pPr>
              <w:tabs>
                <w:tab w:val="center" w:pos="955"/>
              </w:tabs>
              <w:rPr>
                <w:b/>
                <w:bCs/>
                <w:sz w:val="20"/>
                <w:szCs w:val="20"/>
              </w:rPr>
            </w:pPr>
            <w:r w:rsidRPr="00AF6500">
              <w:rPr>
                <w:sz w:val="20"/>
                <w:szCs w:val="20"/>
              </w:rPr>
              <w:t>Komandas pieredzes izvērtēšanas nepietiekama dokumentēšana klienta akceptēšanas laikā</w:t>
            </w:r>
            <w:r>
              <w:rPr>
                <w:sz w:val="20"/>
                <w:szCs w:val="20"/>
              </w:rPr>
              <w:t>.</w:t>
            </w:r>
            <w:r w:rsidRPr="00AF6500">
              <w:rPr>
                <w:sz w:val="20"/>
                <w:szCs w:val="20"/>
              </w:rPr>
              <w:tab/>
            </w:r>
          </w:p>
        </w:tc>
        <w:tc>
          <w:tcPr>
            <w:tcW w:w="1417" w:type="dxa"/>
          </w:tcPr>
          <w:p w14:paraId="499C134D" w14:textId="77777777" w:rsidR="00D47112" w:rsidRPr="00D47112" w:rsidRDefault="00D47112" w:rsidP="00D47112">
            <w:pPr>
              <w:rPr>
                <w:color w:val="000000" w:themeColor="text1"/>
                <w:sz w:val="20"/>
                <w:szCs w:val="20"/>
              </w:rPr>
            </w:pPr>
            <w:r w:rsidRPr="00D47112">
              <w:rPr>
                <w:color w:val="000000" w:themeColor="text1"/>
                <w:sz w:val="20"/>
                <w:szCs w:val="20"/>
              </w:rPr>
              <w:t>220.SRS 25. un 26.punkts</w:t>
            </w:r>
          </w:p>
          <w:p w14:paraId="039D5A53" w14:textId="77777777" w:rsidR="00D47112" w:rsidRPr="00D47112" w:rsidRDefault="00D47112" w:rsidP="00D47112">
            <w:pPr>
              <w:rPr>
                <w:color w:val="000000" w:themeColor="text1"/>
                <w:sz w:val="20"/>
                <w:szCs w:val="20"/>
              </w:rPr>
            </w:pPr>
          </w:p>
          <w:p w14:paraId="30232997" w14:textId="469EE477" w:rsidR="005A1512" w:rsidRPr="006D4E3F" w:rsidRDefault="00D47112" w:rsidP="00D47112">
            <w:pPr>
              <w:rPr>
                <w:color w:val="000000" w:themeColor="text1"/>
                <w:sz w:val="20"/>
                <w:szCs w:val="20"/>
              </w:rPr>
            </w:pPr>
            <w:r w:rsidRPr="00D47112">
              <w:rPr>
                <w:color w:val="000000" w:themeColor="text1"/>
                <w:sz w:val="20"/>
                <w:szCs w:val="20"/>
              </w:rPr>
              <w:t>Revīzijas pakalpojumu likuma 28.panta pirmā daļa</w:t>
            </w:r>
          </w:p>
        </w:tc>
        <w:tc>
          <w:tcPr>
            <w:tcW w:w="1701" w:type="dxa"/>
          </w:tcPr>
          <w:p w14:paraId="4FFF58CD" w14:textId="2B82080E" w:rsidR="005A1512" w:rsidRPr="00D51319" w:rsidRDefault="00F7513C" w:rsidP="00F7513C">
            <w:pPr>
              <w:rPr>
                <w:sz w:val="20"/>
                <w:szCs w:val="20"/>
              </w:rPr>
            </w:pPr>
            <w:r w:rsidRPr="00F7513C">
              <w:rPr>
                <w:sz w:val="20"/>
                <w:szCs w:val="20"/>
              </w:rPr>
              <w:t>Nākamajos revīzijas uzdevumos ir būtiski kompetences un pieredzes apjomu dokumentāri noformēt īsā aprakstā (1-2 teikumos), lai nodrošinātu attiecīgās jomas pilnvērtīgu dokumentēšanu.</w:t>
            </w:r>
          </w:p>
        </w:tc>
        <w:tc>
          <w:tcPr>
            <w:tcW w:w="1276" w:type="dxa"/>
          </w:tcPr>
          <w:p w14:paraId="11FE8D3D" w14:textId="77777777" w:rsidR="005A1512" w:rsidRDefault="005A1512" w:rsidP="00B52188">
            <w:pPr>
              <w:rPr>
                <w:color w:val="000000" w:themeColor="text1"/>
                <w:sz w:val="20"/>
                <w:szCs w:val="20"/>
              </w:rPr>
            </w:pPr>
          </w:p>
        </w:tc>
      </w:tr>
      <w:tr w:rsidR="005A1512" w:rsidRPr="003224AC" w14:paraId="60510DD3" w14:textId="77777777" w:rsidTr="007B758A">
        <w:trPr>
          <w:trHeight w:val="1999"/>
        </w:trPr>
        <w:tc>
          <w:tcPr>
            <w:tcW w:w="568" w:type="dxa"/>
          </w:tcPr>
          <w:p w14:paraId="11035570" w14:textId="77777777" w:rsidR="005A1512" w:rsidRDefault="005A1512" w:rsidP="00B52188">
            <w:pPr>
              <w:rPr>
                <w:sz w:val="20"/>
                <w:szCs w:val="20"/>
              </w:rPr>
            </w:pPr>
          </w:p>
        </w:tc>
        <w:tc>
          <w:tcPr>
            <w:tcW w:w="1843" w:type="dxa"/>
          </w:tcPr>
          <w:p w14:paraId="47F16E52" w14:textId="77777777" w:rsidR="005A1512" w:rsidRDefault="005A1512" w:rsidP="00B52188">
            <w:pPr>
              <w:rPr>
                <w:b/>
                <w:bCs/>
                <w:color w:val="000000" w:themeColor="text1"/>
                <w:sz w:val="20"/>
                <w:szCs w:val="20"/>
              </w:rPr>
            </w:pPr>
          </w:p>
        </w:tc>
        <w:tc>
          <w:tcPr>
            <w:tcW w:w="1275" w:type="dxa"/>
          </w:tcPr>
          <w:p w14:paraId="14222851" w14:textId="77777777" w:rsidR="005A1512" w:rsidRPr="001E35DD" w:rsidRDefault="005A1512" w:rsidP="00B52188">
            <w:pPr>
              <w:rPr>
                <w:sz w:val="20"/>
                <w:szCs w:val="20"/>
              </w:rPr>
            </w:pPr>
          </w:p>
        </w:tc>
        <w:tc>
          <w:tcPr>
            <w:tcW w:w="1418" w:type="dxa"/>
          </w:tcPr>
          <w:p w14:paraId="7D716DCF" w14:textId="77777777" w:rsidR="005A1512" w:rsidRPr="00990774" w:rsidRDefault="005A1512" w:rsidP="00B52188">
            <w:pPr>
              <w:rPr>
                <w:sz w:val="20"/>
                <w:szCs w:val="20"/>
              </w:rPr>
            </w:pPr>
          </w:p>
        </w:tc>
        <w:tc>
          <w:tcPr>
            <w:tcW w:w="1701" w:type="dxa"/>
          </w:tcPr>
          <w:p w14:paraId="038E9BDC" w14:textId="77777777" w:rsidR="005A1512" w:rsidRPr="00990774" w:rsidRDefault="005A1512" w:rsidP="00B52188">
            <w:pPr>
              <w:rPr>
                <w:sz w:val="20"/>
                <w:szCs w:val="20"/>
              </w:rPr>
            </w:pPr>
          </w:p>
        </w:tc>
        <w:tc>
          <w:tcPr>
            <w:tcW w:w="1417" w:type="dxa"/>
          </w:tcPr>
          <w:p w14:paraId="10FDEB91" w14:textId="77777777" w:rsidR="005A1512" w:rsidRPr="00990774" w:rsidRDefault="005A1512" w:rsidP="00B52188">
            <w:pPr>
              <w:rPr>
                <w:color w:val="000000" w:themeColor="text1"/>
                <w:sz w:val="20"/>
                <w:szCs w:val="20"/>
              </w:rPr>
            </w:pPr>
          </w:p>
        </w:tc>
        <w:tc>
          <w:tcPr>
            <w:tcW w:w="993" w:type="dxa"/>
          </w:tcPr>
          <w:p w14:paraId="7842C654" w14:textId="77777777" w:rsidR="005A1512" w:rsidRPr="00990774" w:rsidRDefault="005A1512" w:rsidP="00B52188">
            <w:pPr>
              <w:rPr>
                <w:color w:val="000000" w:themeColor="text1"/>
                <w:sz w:val="20"/>
                <w:szCs w:val="20"/>
              </w:rPr>
            </w:pPr>
          </w:p>
        </w:tc>
        <w:tc>
          <w:tcPr>
            <w:tcW w:w="2126" w:type="dxa"/>
          </w:tcPr>
          <w:p w14:paraId="34BF8E9C" w14:textId="6B098F45" w:rsidR="005A1512" w:rsidRDefault="00540B41" w:rsidP="00B52188">
            <w:pPr>
              <w:rPr>
                <w:b/>
                <w:bCs/>
                <w:sz w:val="20"/>
                <w:szCs w:val="20"/>
              </w:rPr>
            </w:pPr>
            <w:r w:rsidRPr="00540B41">
              <w:rPr>
                <w:sz w:val="20"/>
                <w:szCs w:val="20"/>
              </w:rPr>
              <w:t>Nepietiekama uzņēmuma iekšējās kontroles vides dokumentēšana</w:t>
            </w:r>
            <w:r w:rsidR="00100309">
              <w:rPr>
                <w:sz w:val="20"/>
                <w:szCs w:val="20"/>
              </w:rPr>
              <w:t>.</w:t>
            </w:r>
          </w:p>
        </w:tc>
        <w:tc>
          <w:tcPr>
            <w:tcW w:w="1417" w:type="dxa"/>
          </w:tcPr>
          <w:p w14:paraId="0CC6A228" w14:textId="77777777" w:rsidR="00B3037F" w:rsidRPr="00B3037F" w:rsidRDefault="00B3037F" w:rsidP="00B3037F">
            <w:pPr>
              <w:rPr>
                <w:color w:val="000000" w:themeColor="text1"/>
                <w:sz w:val="20"/>
                <w:szCs w:val="20"/>
              </w:rPr>
            </w:pPr>
            <w:r w:rsidRPr="00B3037F">
              <w:rPr>
                <w:color w:val="000000" w:themeColor="text1"/>
                <w:sz w:val="20"/>
                <w:szCs w:val="20"/>
              </w:rPr>
              <w:t>315.SRS 12. (m) punkts</w:t>
            </w:r>
          </w:p>
          <w:p w14:paraId="3B478018" w14:textId="77777777" w:rsidR="00B3037F" w:rsidRPr="00B3037F" w:rsidRDefault="00B3037F" w:rsidP="00B3037F">
            <w:pPr>
              <w:rPr>
                <w:color w:val="000000" w:themeColor="text1"/>
                <w:sz w:val="20"/>
                <w:szCs w:val="20"/>
              </w:rPr>
            </w:pPr>
            <w:r w:rsidRPr="00B3037F">
              <w:rPr>
                <w:color w:val="000000" w:themeColor="text1"/>
                <w:sz w:val="20"/>
                <w:szCs w:val="20"/>
              </w:rPr>
              <w:t>315.SRS 19.punkts</w:t>
            </w:r>
          </w:p>
          <w:p w14:paraId="4109EEF6" w14:textId="77777777" w:rsidR="00B3037F" w:rsidRPr="00B3037F" w:rsidRDefault="00B3037F" w:rsidP="00B3037F">
            <w:pPr>
              <w:rPr>
                <w:color w:val="000000" w:themeColor="text1"/>
                <w:sz w:val="20"/>
                <w:szCs w:val="20"/>
              </w:rPr>
            </w:pPr>
            <w:r w:rsidRPr="00B3037F">
              <w:rPr>
                <w:color w:val="000000" w:themeColor="text1"/>
                <w:sz w:val="20"/>
                <w:szCs w:val="20"/>
              </w:rPr>
              <w:t>315.SRS 21.-26.punkti</w:t>
            </w:r>
          </w:p>
          <w:p w14:paraId="35212FD4" w14:textId="77777777" w:rsidR="00B3037F" w:rsidRPr="00B3037F" w:rsidRDefault="00B3037F" w:rsidP="00B3037F">
            <w:pPr>
              <w:rPr>
                <w:color w:val="000000" w:themeColor="text1"/>
                <w:sz w:val="20"/>
                <w:szCs w:val="20"/>
              </w:rPr>
            </w:pPr>
          </w:p>
          <w:p w14:paraId="33CEC785" w14:textId="5534B766" w:rsidR="005A1512" w:rsidRPr="006D4E3F" w:rsidRDefault="00B3037F" w:rsidP="00B3037F">
            <w:pPr>
              <w:rPr>
                <w:color w:val="000000" w:themeColor="text1"/>
                <w:sz w:val="20"/>
                <w:szCs w:val="20"/>
              </w:rPr>
            </w:pPr>
            <w:r w:rsidRPr="00B3037F">
              <w:rPr>
                <w:color w:val="000000" w:themeColor="text1"/>
                <w:sz w:val="20"/>
                <w:szCs w:val="20"/>
              </w:rPr>
              <w:t>Revīzijas pakalpojumu likuma 28.panta pirmā daļa</w:t>
            </w:r>
          </w:p>
        </w:tc>
        <w:tc>
          <w:tcPr>
            <w:tcW w:w="1701" w:type="dxa"/>
          </w:tcPr>
          <w:p w14:paraId="1EC912C8" w14:textId="2F08103F" w:rsidR="005A1512" w:rsidRPr="00D51319" w:rsidRDefault="00C52510" w:rsidP="00D51319">
            <w:pPr>
              <w:rPr>
                <w:sz w:val="20"/>
                <w:szCs w:val="20"/>
              </w:rPr>
            </w:pPr>
            <w:r>
              <w:rPr>
                <w:sz w:val="20"/>
                <w:szCs w:val="20"/>
              </w:rPr>
              <w:t>Praksei</w:t>
            </w:r>
            <w:r w:rsidRPr="00C52510">
              <w:rPr>
                <w:sz w:val="20"/>
                <w:szCs w:val="20"/>
              </w:rPr>
              <w:t xml:space="preserve"> ir detalizētāk jādokumentē uzņēmuma iekšējās kontroles sistēma, atbilstoši 315.SRS prasībām.</w:t>
            </w:r>
          </w:p>
        </w:tc>
        <w:tc>
          <w:tcPr>
            <w:tcW w:w="1276" w:type="dxa"/>
          </w:tcPr>
          <w:p w14:paraId="22E257DA" w14:textId="77777777" w:rsidR="005A1512" w:rsidRDefault="005A1512" w:rsidP="00B52188">
            <w:pPr>
              <w:rPr>
                <w:color w:val="000000" w:themeColor="text1"/>
                <w:sz w:val="20"/>
                <w:szCs w:val="20"/>
              </w:rPr>
            </w:pPr>
          </w:p>
        </w:tc>
      </w:tr>
      <w:tr w:rsidR="005A1512" w:rsidRPr="003224AC" w14:paraId="15C68B53" w14:textId="77777777" w:rsidTr="007B758A">
        <w:trPr>
          <w:trHeight w:val="805"/>
        </w:trPr>
        <w:tc>
          <w:tcPr>
            <w:tcW w:w="568" w:type="dxa"/>
          </w:tcPr>
          <w:p w14:paraId="50621ACA" w14:textId="77777777" w:rsidR="005A1512" w:rsidRDefault="005A1512" w:rsidP="00B52188">
            <w:pPr>
              <w:rPr>
                <w:sz w:val="20"/>
                <w:szCs w:val="20"/>
              </w:rPr>
            </w:pPr>
          </w:p>
        </w:tc>
        <w:tc>
          <w:tcPr>
            <w:tcW w:w="1843" w:type="dxa"/>
          </w:tcPr>
          <w:p w14:paraId="5EAA88FA" w14:textId="77777777" w:rsidR="005A1512" w:rsidRDefault="005A1512" w:rsidP="00B52188">
            <w:pPr>
              <w:rPr>
                <w:b/>
                <w:bCs/>
                <w:color w:val="000000" w:themeColor="text1"/>
                <w:sz w:val="20"/>
                <w:szCs w:val="20"/>
              </w:rPr>
            </w:pPr>
          </w:p>
        </w:tc>
        <w:tc>
          <w:tcPr>
            <w:tcW w:w="1275" w:type="dxa"/>
          </w:tcPr>
          <w:p w14:paraId="4F55D79B" w14:textId="77777777" w:rsidR="005A1512" w:rsidRPr="001E35DD" w:rsidRDefault="005A1512" w:rsidP="00B52188">
            <w:pPr>
              <w:rPr>
                <w:sz w:val="20"/>
                <w:szCs w:val="20"/>
              </w:rPr>
            </w:pPr>
          </w:p>
        </w:tc>
        <w:tc>
          <w:tcPr>
            <w:tcW w:w="1418" w:type="dxa"/>
          </w:tcPr>
          <w:p w14:paraId="2B3D27A8" w14:textId="77777777" w:rsidR="005A1512" w:rsidRPr="00990774" w:rsidRDefault="005A1512" w:rsidP="00B52188">
            <w:pPr>
              <w:rPr>
                <w:sz w:val="20"/>
                <w:szCs w:val="20"/>
              </w:rPr>
            </w:pPr>
          </w:p>
        </w:tc>
        <w:tc>
          <w:tcPr>
            <w:tcW w:w="1701" w:type="dxa"/>
          </w:tcPr>
          <w:p w14:paraId="64272368" w14:textId="77777777" w:rsidR="005A1512" w:rsidRPr="00990774" w:rsidRDefault="005A1512" w:rsidP="00B52188">
            <w:pPr>
              <w:rPr>
                <w:sz w:val="20"/>
                <w:szCs w:val="20"/>
              </w:rPr>
            </w:pPr>
          </w:p>
        </w:tc>
        <w:tc>
          <w:tcPr>
            <w:tcW w:w="1417" w:type="dxa"/>
          </w:tcPr>
          <w:p w14:paraId="4C8642A5" w14:textId="77777777" w:rsidR="005A1512" w:rsidRPr="00990774" w:rsidRDefault="005A1512" w:rsidP="00B52188">
            <w:pPr>
              <w:rPr>
                <w:color w:val="000000" w:themeColor="text1"/>
                <w:sz w:val="20"/>
                <w:szCs w:val="20"/>
              </w:rPr>
            </w:pPr>
          </w:p>
        </w:tc>
        <w:tc>
          <w:tcPr>
            <w:tcW w:w="993" w:type="dxa"/>
          </w:tcPr>
          <w:p w14:paraId="55B78311" w14:textId="77777777" w:rsidR="005A1512" w:rsidRPr="00990774" w:rsidRDefault="005A1512" w:rsidP="00B52188">
            <w:pPr>
              <w:rPr>
                <w:color w:val="000000" w:themeColor="text1"/>
                <w:sz w:val="20"/>
                <w:szCs w:val="20"/>
              </w:rPr>
            </w:pPr>
          </w:p>
        </w:tc>
        <w:tc>
          <w:tcPr>
            <w:tcW w:w="2126" w:type="dxa"/>
          </w:tcPr>
          <w:p w14:paraId="7C2BF5D1" w14:textId="3114C778" w:rsidR="005A1512" w:rsidRDefault="00B75FF3" w:rsidP="00B52188">
            <w:pPr>
              <w:rPr>
                <w:b/>
                <w:bCs/>
                <w:sz w:val="20"/>
                <w:szCs w:val="20"/>
              </w:rPr>
            </w:pPr>
            <w:r w:rsidRPr="00B75FF3">
              <w:rPr>
                <w:sz w:val="20"/>
                <w:szCs w:val="20"/>
              </w:rPr>
              <w:t>PVN</w:t>
            </w:r>
            <w:r w:rsidR="0073316C">
              <w:rPr>
                <w:rStyle w:val="FootnoteReference"/>
                <w:sz w:val="20"/>
                <w:szCs w:val="20"/>
              </w:rPr>
              <w:footnoteReference w:id="10"/>
            </w:r>
            <w:r w:rsidRPr="00B75FF3">
              <w:rPr>
                <w:sz w:val="20"/>
                <w:szCs w:val="20"/>
              </w:rPr>
              <w:t xml:space="preserve"> risku neidentificēšana </w:t>
            </w:r>
            <w:r>
              <w:rPr>
                <w:sz w:val="20"/>
                <w:szCs w:val="20"/>
              </w:rPr>
              <w:t>firmas</w:t>
            </w:r>
            <w:r w:rsidRPr="00B75FF3">
              <w:rPr>
                <w:sz w:val="20"/>
                <w:szCs w:val="20"/>
              </w:rPr>
              <w:t xml:space="preserve"> revīzijas uzdevumā</w:t>
            </w:r>
            <w:r>
              <w:rPr>
                <w:sz w:val="20"/>
                <w:szCs w:val="20"/>
              </w:rPr>
              <w:t>.</w:t>
            </w:r>
            <w:r w:rsidRPr="00B75FF3">
              <w:rPr>
                <w:sz w:val="20"/>
                <w:szCs w:val="20"/>
              </w:rPr>
              <w:t xml:space="preserve"> </w:t>
            </w:r>
          </w:p>
        </w:tc>
        <w:tc>
          <w:tcPr>
            <w:tcW w:w="1417" w:type="dxa"/>
          </w:tcPr>
          <w:p w14:paraId="5EC95D25" w14:textId="77777777" w:rsidR="00F332B3" w:rsidRPr="00F332B3" w:rsidRDefault="00F332B3" w:rsidP="00F332B3">
            <w:pPr>
              <w:rPr>
                <w:color w:val="000000" w:themeColor="text1"/>
                <w:sz w:val="20"/>
                <w:szCs w:val="20"/>
              </w:rPr>
            </w:pPr>
            <w:r w:rsidRPr="00F332B3">
              <w:rPr>
                <w:color w:val="000000" w:themeColor="text1"/>
                <w:sz w:val="20"/>
                <w:szCs w:val="20"/>
              </w:rPr>
              <w:t>250.SRS 6.punkts</w:t>
            </w:r>
          </w:p>
          <w:p w14:paraId="6E073745" w14:textId="77777777" w:rsidR="00F332B3" w:rsidRPr="00F332B3" w:rsidRDefault="00F332B3" w:rsidP="00F332B3">
            <w:pPr>
              <w:rPr>
                <w:color w:val="000000" w:themeColor="text1"/>
                <w:sz w:val="20"/>
                <w:szCs w:val="20"/>
              </w:rPr>
            </w:pPr>
          </w:p>
          <w:p w14:paraId="25E04250" w14:textId="77777777" w:rsidR="00F332B3" w:rsidRPr="00F332B3" w:rsidRDefault="00F332B3" w:rsidP="00F332B3">
            <w:pPr>
              <w:rPr>
                <w:color w:val="000000" w:themeColor="text1"/>
                <w:sz w:val="20"/>
                <w:szCs w:val="20"/>
              </w:rPr>
            </w:pPr>
            <w:r w:rsidRPr="00F332B3">
              <w:rPr>
                <w:color w:val="000000" w:themeColor="text1"/>
                <w:sz w:val="20"/>
                <w:szCs w:val="20"/>
              </w:rPr>
              <w:t>PVN likuma (redakcijā, kas bija spēkā 2024.gadā) 50.panta sestā daļa.</w:t>
            </w:r>
          </w:p>
          <w:p w14:paraId="275CAE70" w14:textId="77777777" w:rsidR="00F332B3" w:rsidRPr="00F332B3" w:rsidRDefault="00F332B3" w:rsidP="00F332B3">
            <w:pPr>
              <w:rPr>
                <w:color w:val="000000" w:themeColor="text1"/>
                <w:sz w:val="20"/>
                <w:szCs w:val="20"/>
              </w:rPr>
            </w:pPr>
          </w:p>
          <w:p w14:paraId="3D82608A" w14:textId="299CBB15" w:rsidR="005A1512" w:rsidRPr="006D4E3F" w:rsidRDefault="00F332B3" w:rsidP="00F332B3">
            <w:pPr>
              <w:rPr>
                <w:color w:val="000000" w:themeColor="text1"/>
                <w:sz w:val="20"/>
                <w:szCs w:val="20"/>
              </w:rPr>
            </w:pPr>
            <w:r w:rsidRPr="00F332B3">
              <w:rPr>
                <w:color w:val="000000" w:themeColor="text1"/>
                <w:sz w:val="20"/>
                <w:szCs w:val="20"/>
              </w:rPr>
              <w:t>Revīzijas pakalpojumu likuma 28.panta pirmā daļa</w:t>
            </w:r>
          </w:p>
        </w:tc>
        <w:tc>
          <w:tcPr>
            <w:tcW w:w="1701" w:type="dxa"/>
          </w:tcPr>
          <w:p w14:paraId="4DBE73A9" w14:textId="154C54E5" w:rsidR="00716FCB" w:rsidRPr="00716FCB" w:rsidRDefault="00716FCB" w:rsidP="00716FCB">
            <w:pPr>
              <w:rPr>
                <w:sz w:val="20"/>
                <w:szCs w:val="20"/>
              </w:rPr>
            </w:pPr>
            <w:r w:rsidRPr="00716FCB">
              <w:rPr>
                <w:sz w:val="20"/>
                <w:szCs w:val="20"/>
              </w:rPr>
              <w:t>Izvērtēt riskus klientiem, kas nav PVN maksātāji, attiecībā uz pienākumu reģistrēties PVN maksātāju statusā.</w:t>
            </w:r>
          </w:p>
        </w:tc>
        <w:tc>
          <w:tcPr>
            <w:tcW w:w="1276" w:type="dxa"/>
          </w:tcPr>
          <w:p w14:paraId="1E67F8F5" w14:textId="77777777" w:rsidR="005A1512" w:rsidRDefault="005A1512" w:rsidP="00B52188">
            <w:pPr>
              <w:rPr>
                <w:color w:val="000000" w:themeColor="text1"/>
                <w:sz w:val="20"/>
                <w:szCs w:val="20"/>
              </w:rPr>
            </w:pPr>
          </w:p>
        </w:tc>
      </w:tr>
      <w:tr w:rsidR="009E487B" w:rsidRPr="003224AC" w14:paraId="797770E3" w14:textId="77777777" w:rsidTr="007B758A">
        <w:trPr>
          <w:trHeight w:val="1999"/>
        </w:trPr>
        <w:tc>
          <w:tcPr>
            <w:tcW w:w="568" w:type="dxa"/>
          </w:tcPr>
          <w:p w14:paraId="2D330F56" w14:textId="77777777" w:rsidR="009E487B" w:rsidRDefault="009E487B" w:rsidP="00B52188">
            <w:pPr>
              <w:rPr>
                <w:sz w:val="20"/>
                <w:szCs w:val="20"/>
              </w:rPr>
            </w:pPr>
          </w:p>
        </w:tc>
        <w:tc>
          <w:tcPr>
            <w:tcW w:w="1843" w:type="dxa"/>
          </w:tcPr>
          <w:p w14:paraId="1AE011F6" w14:textId="77777777" w:rsidR="009E487B" w:rsidRDefault="009E487B" w:rsidP="00B52188">
            <w:pPr>
              <w:rPr>
                <w:b/>
                <w:bCs/>
                <w:color w:val="000000" w:themeColor="text1"/>
                <w:sz w:val="20"/>
                <w:szCs w:val="20"/>
              </w:rPr>
            </w:pPr>
          </w:p>
        </w:tc>
        <w:tc>
          <w:tcPr>
            <w:tcW w:w="1275" w:type="dxa"/>
          </w:tcPr>
          <w:p w14:paraId="211DDB4B" w14:textId="77777777" w:rsidR="009E487B" w:rsidRPr="001E35DD" w:rsidRDefault="009E487B" w:rsidP="00B52188">
            <w:pPr>
              <w:rPr>
                <w:sz w:val="20"/>
                <w:szCs w:val="20"/>
              </w:rPr>
            </w:pPr>
          </w:p>
        </w:tc>
        <w:tc>
          <w:tcPr>
            <w:tcW w:w="1418" w:type="dxa"/>
          </w:tcPr>
          <w:p w14:paraId="11728652" w14:textId="77777777" w:rsidR="009E487B" w:rsidRPr="00990774" w:rsidRDefault="009E487B" w:rsidP="00B52188">
            <w:pPr>
              <w:rPr>
                <w:sz w:val="20"/>
                <w:szCs w:val="20"/>
              </w:rPr>
            </w:pPr>
          </w:p>
        </w:tc>
        <w:tc>
          <w:tcPr>
            <w:tcW w:w="1701" w:type="dxa"/>
          </w:tcPr>
          <w:p w14:paraId="7197A27F" w14:textId="77777777" w:rsidR="009E487B" w:rsidRPr="00990774" w:rsidRDefault="009E487B" w:rsidP="00B52188">
            <w:pPr>
              <w:rPr>
                <w:sz w:val="20"/>
                <w:szCs w:val="20"/>
              </w:rPr>
            </w:pPr>
          </w:p>
        </w:tc>
        <w:tc>
          <w:tcPr>
            <w:tcW w:w="1417" w:type="dxa"/>
          </w:tcPr>
          <w:p w14:paraId="6141D081" w14:textId="77777777" w:rsidR="009E487B" w:rsidRPr="00990774" w:rsidRDefault="009E487B" w:rsidP="00B52188">
            <w:pPr>
              <w:rPr>
                <w:color w:val="000000" w:themeColor="text1"/>
                <w:sz w:val="20"/>
                <w:szCs w:val="20"/>
              </w:rPr>
            </w:pPr>
          </w:p>
        </w:tc>
        <w:tc>
          <w:tcPr>
            <w:tcW w:w="993" w:type="dxa"/>
          </w:tcPr>
          <w:p w14:paraId="34E8D422" w14:textId="77777777" w:rsidR="009E487B" w:rsidRPr="00990774" w:rsidRDefault="009E487B" w:rsidP="00B52188">
            <w:pPr>
              <w:rPr>
                <w:color w:val="000000" w:themeColor="text1"/>
                <w:sz w:val="20"/>
                <w:szCs w:val="20"/>
              </w:rPr>
            </w:pPr>
          </w:p>
        </w:tc>
        <w:tc>
          <w:tcPr>
            <w:tcW w:w="2126" w:type="dxa"/>
          </w:tcPr>
          <w:p w14:paraId="631EEC13" w14:textId="62B12DEA" w:rsidR="009E487B" w:rsidRDefault="00192D14" w:rsidP="00B52188">
            <w:pPr>
              <w:rPr>
                <w:b/>
                <w:bCs/>
                <w:sz w:val="20"/>
                <w:szCs w:val="20"/>
              </w:rPr>
            </w:pPr>
            <w:r w:rsidRPr="00192D14">
              <w:rPr>
                <w:sz w:val="20"/>
                <w:szCs w:val="20"/>
              </w:rPr>
              <w:t xml:space="preserve">Nav konstatējama dokumentāri pierādāma revidenta ziņojumā norādīta revīzijas procedūra, kas būtu saistīta ar galveno revīzijas jautājumu </w:t>
            </w:r>
          </w:p>
        </w:tc>
        <w:tc>
          <w:tcPr>
            <w:tcW w:w="1417" w:type="dxa"/>
          </w:tcPr>
          <w:p w14:paraId="5A78FC84" w14:textId="77777777" w:rsidR="00F31932" w:rsidRPr="00F31932" w:rsidRDefault="00F31932" w:rsidP="00F31932">
            <w:pPr>
              <w:rPr>
                <w:sz w:val="20"/>
                <w:szCs w:val="20"/>
              </w:rPr>
            </w:pPr>
            <w:r w:rsidRPr="00F31932">
              <w:rPr>
                <w:sz w:val="20"/>
                <w:szCs w:val="20"/>
              </w:rPr>
              <w:t>701.SRS 5.punkts, 8.punkts, A12.punkts.</w:t>
            </w:r>
          </w:p>
          <w:p w14:paraId="6E7C3C53" w14:textId="77777777" w:rsidR="00F31932" w:rsidRPr="00F31932" w:rsidRDefault="00F31932" w:rsidP="00F31932">
            <w:pPr>
              <w:jc w:val="center"/>
              <w:rPr>
                <w:sz w:val="20"/>
                <w:szCs w:val="20"/>
              </w:rPr>
            </w:pPr>
          </w:p>
          <w:p w14:paraId="345378EF" w14:textId="2F233D54" w:rsidR="00F31932" w:rsidRPr="00F31932" w:rsidRDefault="00F31932" w:rsidP="00F31932">
            <w:pPr>
              <w:rPr>
                <w:sz w:val="20"/>
                <w:szCs w:val="20"/>
              </w:rPr>
            </w:pPr>
            <w:r w:rsidRPr="00F31932">
              <w:rPr>
                <w:sz w:val="20"/>
                <w:szCs w:val="20"/>
              </w:rPr>
              <w:t>230.SRS 2.punkts, 5. punkts.</w:t>
            </w:r>
          </w:p>
        </w:tc>
        <w:tc>
          <w:tcPr>
            <w:tcW w:w="1701" w:type="dxa"/>
          </w:tcPr>
          <w:p w14:paraId="01532F1C" w14:textId="5FDD8D54" w:rsidR="009E487B" w:rsidRPr="00D51319" w:rsidRDefault="00B27BB8" w:rsidP="00D51319">
            <w:pPr>
              <w:rPr>
                <w:sz w:val="20"/>
                <w:szCs w:val="20"/>
              </w:rPr>
            </w:pPr>
            <w:r w:rsidRPr="00B27BB8">
              <w:rPr>
                <w:sz w:val="20"/>
                <w:szCs w:val="20"/>
              </w:rPr>
              <w:t>Būtiski ir dokumentēt veiktās darbības attiecība uz revidenta ziņojumā minētām revīzijas procedūrām, kas ir norādītas galvenā revīzijas jautājuma ietvaros.</w:t>
            </w:r>
          </w:p>
        </w:tc>
        <w:tc>
          <w:tcPr>
            <w:tcW w:w="1276" w:type="dxa"/>
          </w:tcPr>
          <w:p w14:paraId="6F43072E" w14:textId="77777777" w:rsidR="009E487B" w:rsidRDefault="009E487B" w:rsidP="00B52188">
            <w:pPr>
              <w:rPr>
                <w:color w:val="000000" w:themeColor="text1"/>
                <w:sz w:val="20"/>
                <w:szCs w:val="20"/>
              </w:rPr>
            </w:pPr>
          </w:p>
        </w:tc>
      </w:tr>
      <w:tr w:rsidR="009E487B" w:rsidRPr="003224AC" w14:paraId="143C55FC" w14:textId="77777777" w:rsidTr="007B758A">
        <w:trPr>
          <w:trHeight w:val="521"/>
        </w:trPr>
        <w:tc>
          <w:tcPr>
            <w:tcW w:w="568" w:type="dxa"/>
          </w:tcPr>
          <w:p w14:paraId="2F90180C" w14:textId="77777777" w:rsidR="009E487B" w:rsidRDefault="009E487B" w:rsidP="00B52188">
            <w:pPr>
              <w:rPr>
                <w:sz w:val="20"/>
                <w:szCs w:val="20"/>
              </w:rPr>
            </w:pPr>
          </w:p>
        </w:tc>
        <w:tc>
          <w:tcPr>
            <w:tcW w:w="1843" w:type="dxa"/>
          </w:tcPr>
          <w:p w14:paraId="45F749AB" w14:textId="77777777" w:rsidR="009E487B" w:rsidRDefault="009E487B" w:rsidP="00B52188">
            <w:pPr>
              <w:rPr>
                <w:b/>
                <w:bCs/>
                <w:color w:val="000000" w:themeColor="text1"/>
                <w:sz w:val="20"/>
                <w:szCs w:val="20"/>
              </w:rPr>
            </w:pPr>
          </w:p>
        </w:tc>
        <w:tc>
          <w:tcPr>
            <w:tcW w:w="1275" w:type="dxa"/>
          </w:tcPr>
          <w:p w14:paraId="3AD1FFA3" w14:textId="77777777" w:rsidR="009E487B" w:rsidRPr="001E35DD" w:rsidRDefault="009E487B" w:rsidP="00B52188">
            <w:pPr>
              <w:rPr>
                <w:sz w:val="20"/>
                <w:szCs w:val="20"/>
              </w:rPr>
            </w:pPr>
          </w:p>
        </w:tc>
        <w:tc>
          <w:tcPr>
            <w:tcW w:w="1418" w:type="dxa"/>
          </w:tcPr>
          <w:p w14:paraId="2548D3E1" w14:textId="77777777" w:rsidR="009E487B" w:rsidRPr="00990774" w:rsidRDefault="009E487B" w:rsidP="00B52188">
            <w:pPr>
              <w:rPr>
                <w:sz w:val="20"/>
                <w:szCs w:val="20"/>
              </w:rPr>
            </w:pPr>
          </w:p>
        </w:tc>
        <w:tc>
          <w:tcPr>
            <w:tcW w:w="1701" w:type="dxa"/>
          </w:tcPr>
          <w:p w14:paraId="75F51309" w14:textId="77777777" w:rsidR="009E487B" w:rsidRPr="00990774" w:rsidRDefault="009E487B" w:rsidP="00B52188">
            <w:pPr>
              <w:rPr>
                <w:sz w:val="20"/>
                <w:szCs w:val="20"/>
              </w:rPr>
            </w:pPr>
          </w:p>
        </w:tc>
        <w:tc>
          <w:tcPr>
            <w:tcW w:w="1417" w:type="dxa"/>
          </w:tcPr>
          <w:p w14:paraId="55E8383B" w14:textId="77777777" w:rsidR="009E487B" w:rsidRPr="00990774" w:rsidRDefault="009E487B" w:rsidP="00B52188">
            <w:pPr>
              <w:rPr>
                <w:color w:val="000000" w:themeColor="text1"/>
                <w:sz w:val="20"/>
                <w:szCs w:val="20"/>
              </w:rPr>
            </w:pPr>
          </w:p>
        </w:tc>
        <w:tc>
          <w:tcPr>
            <w:tcW w:w="993" w:type="dxa"/>
          </w:tcPr>
          <w:p w14:paraId="48C201EE" w14:textId="77777777" w:rsidR="009E487B" w:rsidRPr="00990774" w:rsidRDefault="009E487B" w:rsidP="00B52188">
            <w:pPr>
              <w:rPr>
                <w:color w:val="000000" w:themeColor="text1"/>
                <w:sz w:val="20"/>
                <w:szCs w:val="20"/>
              </w:rPr>
            </w:pPr>
          </w:p>
        </w:tc>
        <w:tc>
          <w:tcPr>
            <w:tcW w:w="2126" w:type="dxa"/>
            <w:tcBorders>
              <w:bottom w:val="single" w:sz="8" w:space="0" w:color="4472C4" w:themeColor="accent5"/>
            </w:tcBorders>
          </w:tcPr>
          <w:p w14:paraId="55D0E0C6" w14:textId="7C0D4F4B" w:rsidR="009E487B" w:rsidRDefault="00602C59" w:rsidP="00B52188">
            <w:pPr>
              <w:rPr>
                <w:b/>
                <w:bCs/>
                <w:sz w:val="20"/>
                <w:szCs w:val="20"/>
              </w:rPr>
            </w:pPr>
            <w:r w:rsidRPr="00602C59">
              <w:rPr>
                <w:sz w:val="20"/>
                <w:szCs w:val="20"/>
              </w:rPr>
              <w:t xml:space="preserve">Kvalitātes kontroles pārbaudītāja loma nav pārskatāma </w:t>
            </w:r>
            <w:r>
              <w:rPr>
                <w:sz w:val="20"/>
                <w:szCs w:val="20"/>
              </w:rPr>
              <w:t>firmas</w:t>
            </w:r>
            <w:r w:rsidRPr="00602C59">
              <w:rPr>
                <w:sz w:val="20"/>
                <w:szCs w:val="20"/>
              </w:rPr>
              <w:t xml:space="preserve"> revīzijas uzdevumā</w:t>
            </w:r>
            <w:r>
              <w:rPr>
                <w:sz w:val="20"/>
                <w:szCs w:val="20"/>
              </w:rPr>
              <w:t>.</w:t>
            </w:r>
          </w:p>
        </w:tc>
        <w:tc>
          <w:tcPr>
            <w:tcW w:w="1417" w:type="dxa"/>
          </w:tcPr>
          <w:p w14:paraId="1D71289A" w14:textId="77777777" w:rsidR="006C4BE2" w:rsidRDefault="006C4BE2" w:rsidP="006C4BE2">
            <w:pPr>
              <w:rPr>
                <w:sz w:val="20"/>
                <w:szCs w:val="20"/>
              </w:rPr>
            </w:pPr>
            <w:r w:rsidRPr="006C4BE2">
              <w:rPr>
                <w:sz w:val="20"/>
                <w:szCs w:val="20"/>
              </w:rPr>
              <w:t>Regulas 537/2014 8.pants</w:t>
            </w:r>
          </w:p>
          <w:p w14:paraId="30595A92" w14:textId="77777777" w:rsidR="006C4BE2" w:rsidRPr="006C4BE2" w:rsidRDefault="006C4BE2" w:rsidP="006C4BE2">
            <w:pPr>
              <w:rPr>
                <w:sz w:val="20"/>
                <w:szCs w:val="20"/>
              </w:rPr>
            </w:pPr>
          </w:p>
          <w:p w14:paraId="494BF98D" w14:textId="7E88CE23" w:rsidR="006C4BE2" w:rsidRPr="006C4BE2" w:rsidRDefault="006C4BE2" w:rsidP="006C4BE2">
            <w:pPr>
              <w:rPr>
                <w:sz w:val="20"/>
                <w:szCs w:val="20"/>
              </w:rPr>
            </w:pPr>
            <w:r w:rsidRPr="006C4BE2">
              <w:rPr>
                <w:sz w:val="20"/>
                <w:szCs w:val="20"/>
              </w:rPr>
              <w:t>2.Starptautiskā kvalitātes vadības standarta 30.punkts.</w:t>
            </w:r>
          </w:p>
        </w:tc>
        <w:tc>
          <w:tcPr>
            <w:tcW w:w="1701" w:type="dxa"/>
          </w:tcPr>
          <w:p w14:paraId="02B1661A" w14:textId="42F8BBB2" w:rsidR="009E487B" w:rsidRPr="00D51319" w:rsidRDefault="00B767C7" w:rsidP="00D51319">
            <w:pPr>
              <w:rPr>
                <w:sz w:val="20"/>
                <w:szCs w:val="20"/>
              </w:rPr>
            </w:pPr>
            <w:r w:rsidRPr="00B767C7">
              <w:rPr>
                <w:sz w:val="20"/>
                <w:szCs w:val="20"/>
              </w:rPr>
              <w:t xml:space="preserve">Pārskatīt </w:t>
            </w:r>
            <w:r>
              <w:rPr>
                <w:sz w:val="20"/>
                <w:szCs w:val="20"/>
              </w:rPr>
              <w:t>prakses</w:t>
            </w:r>
            <w:r w:rsidRPr="00B767C7">
              <w:rPr>
                <w:sz w:val="20"/>
                <w:szCs w:val="20"/>
              </w:rPr>
              <w:t xml:space="preserve"> politiku attiecībā uz kvalitātes kontroles pārbaudītāja iesaistes dokumentēšanu, nodrošinot, ka revīzijas lietā ir skaidri pārskatāma šī loma un veiktās darbības.</w:t>
            </w:r>
          </w:p>
        </w:tc>
        <w:tc>
          <w:tcPr>
            <w:tcW w:w="1276" w:type="dxa"/>
          </w:tcPr>
          <w:p w14:paraId="6AA698AF" w14:textId="77777777" w:rsidR="009E487B" w:rsidRDefault="009E487B" w:rsidP="00B52188">
            <w:pPr>
              <w:rPr>
                <w:color w:val="000000" w:themeColor="text1"/>
                <w:sz w:val="20"/>
                <w:szCs w:val="20"/>
              </w:rPr>
            </w:pPr>
          </w:p>
        </w:tc>
      </w:tr>
      <w:bookmarkEnd w:id="0"/>
    </w:tbl>
    <w:p w14:paraId="408EEA0D" w14:textId="0AC55AF2" w:rsidR="00B0481C" w:rsidRDefault="00B0481C">
      <w:pPr>
        <w:rPr>
          <w:sz w:val="20"/>
        </w:rPr>
      </w:pPr>
    </w:p>
    <w:p w14:paraId="503EAA83" w14:textId="3D4981D5" w:rsidR="009958C8" w:rsidRPr="00667408" w:rsidRDefault="00F70F3A">
      <w:pPr>
        <w:rPr>
          <w:sz w:val="20"/>
        </w:rPr>
      </w:pPr>
      <w:r>
        <w:t>Apkopojums sagatavots un apstiprināts 202</w:t>
      </w:r>
      <w:r w:rsidR="00C0102E">
        <w:t>6</w:t>
      </w:r>
      <w:r>
        <w:t>.</w:t>
      </w:r>
      <w:r w:rsidR="00C47E25">
        <w:t xml:space="preserve"> </w:t>
      </w:r>
      <w:r>
        <w:t>gada</w:t>
      </w:r>
      <w:r w:rsidR="00C47E25">
        <w:t xml:space="preserve"> </w:t>
      </w:r>
      <w:r w:rsidR="00D231F6">
        <w:t>2</w:t>
      </w:r>
      <w:r w:rsidRPr="00EE320D">
        <w:t>.</w:t>
      </w:r>
      <w:r w:rsidR="00C47E25">
        <w:t xml:space="preserve"> </w:t>
      </w:r>
      <w:r w:rsidR="00127B53">
        <w:t>aprīlī</w:t>
      </w:r>
      <w:r w:rsidR="00CC1214">
        <w:t>.</w:t>
      </w:r>
    </w:p>
    <w:sectPr w:rsidR="009958C8" w:rsidRPr="00667408" w:rsidSect="00AC2312">
      <w:headerReference w:type="default" r:id="rId8"/>
      <w:footerReference w:type="default" r:id="rId9"/>
      <w:footerReference w:type="first" r:id="rId10"/>
      <w:pgSz w:w="16838" w:h="11906" w:orient="landscape"/>
      <w:pgMar w:top="1021" w:right="851" w:bottom="1021" w:left="851" w:header="6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C7D3F" w14:textId="77777777" w:rsidR="00042B3B" w:rsidRDefault="00042B3B" w:rsidP="000F5A0D">
      <w:r>
        <w:separator/>
      </w:r>
    </w:p>
  </w:endnote>
  <w:endnote w:type="continuationSeparator" w:id="0">
    <w:p w14:paraId="3ACCFC95" w14:textId="77777777" w:rsidR="00042B3B" w:rsidRDefault="00042B3B" w:rsidP="000F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48973"/>
      <w:docPartObj>
        <w:docPartGallery w:val="Page Numbers (Bottom of Page)"/>
        <w:docPartUnique/>
      </w:docPartObj>
    </w:sdtPr>
    <w:sdtEndPr>
      <w:rPr>
        <w:noProof/>
      </w:rPr>
    </w:sdtEndPr>
    <w:sdtContent>
      <w:p w14:paraId="73A9EFE1" w14:textId="6ED60434" w:rsidR="00B633AD" w:rsidRDefault="00B633AD" w:rsidP="00AC23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47317"/>
      <w:docPartObj>
        <w:docPartGallery w:val="Page Numbers (Bottom of Page)"/>
        <w:docPartUnique/>
      </w:docPartObj>
    </w:sdtPr>
    <w:sdtEndPr>
      <w:rPr>
        <w:noProof/>
      </w:rPr>
    </w:sdtEndPr>
    <w:sdtContent>
      <w:p w14:paraId="01558FC0" w14:textId="055E7652" w:rsidR="00B633AD" w:rsidRDefault="00B633AD" w:rsidP="007B75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9593" w14:textId="77777777" w:rsidR="00042B3B" w:rsidRDefault="00042B3B" w:rsidP="000F5A0D">
      <w:r>
        <w:separator/>
      </w:r>
    </w:p>
  </w:footnote>
  <w:footnote w:type="continuationSeparator" w:id="0">
    <w:p w14:paraId="4D4E90B5" w14:textId="77777777" w:rsidR="00042B3B" w:rsidRDefault="00042B3B" w:rsidP="000F5A0D">
      <w:r>
        <w:continuationSeparator/>
      </w:r>
    </w:p>
  </w:footnote>
  <w:footnote w:id="1">
    <w:p w14:paraId="36D83370" w14:textId="361552C3" w:rsidR="001E35DD" w:rsidRPr="00EE1D19" w:rsidRDefault="001E35DD" w:rsidP="00061BE4">
      <w:pPr>
        <w:pStyle w:val="FootnoteText"/>
        <w:ind w:left="-284" w:right="139"/>
        <w:jc w:val="both"/>
        <w:rPr>
          <w:i/>
          <w:color w:val="000000" w:themeColor="text1"/>
          <w:sz w:val="18"/>
          <w:szCs w:val="18"/>
        </w:rPr>
      </w:pPr>
      <w:r w:rsidRPr="00EE1D19">
        <w:rPr>
          <w:rStyle w:val="FootnoteReference"/>
          <w:i/>
          <w:color w:val="000000" w:themeColor="text1"/>
          <w:sz w:val="18"/>
          <w:szCs w:val="18"/>
        </w:rPr>
        <w:footnoteRef/>
      </w:r>
      <w:r w:rsidRPr="00EE1D19">
        <w:rPr>
          <w:i/>
          <w:color w:val="000000" w:themeColor="text1"/>
          <w:sz w:val="18"/>
          <w:szCs w:val="18"/>
        </w:rPr>
        <w:t xml:space="preserve"> Revīzijas pakalpojumu kvalitātes kontroles prasību ievērošanas pārbaužu (inspekciju) rezultātu apkopojums </w:t>
      </w:r>
      <w:r w:rsidRPr="00EE1D19">
        <w:rPr>
          <w:bCs/>
          <w:i/>
          <w:color w:val="000000" w:themeColor="text1"/>
          <w:sz w:val="18"/>
          <w:szCs w:val="18"/>
        </w:rPr>
        <w:t xml:space="preserve">sagatavots </w:t>
      </w:r>
      <w:r w:rsidRPr="00EE1D19">
        <w:rPr>
          <w:i/>
          <w:iCs/>
          <w:color w:val="000000" w:themeColor="text1"/>
          <w:sz w:val="18"/>
          <w:szCs w:val="18"/>
        </w:rPr>
        <w:t xml:space="preserve">saskaņā ar Ministru kabineta </w:t>
      </w:r>
      <w:r w:rsidR="00F1224F" w:rsidRPr="00EE1D19">
        <w:rPr>
          <w:i/>
          <w:iCs/>
          <w:color w:val="000000" w:themeColor="text1"/>
          <w:sz w:val="18"/>
          <w:szCs w:val="18"/>
        </w:rPr>
        <w:t xml:space="preserve">2017. gada 7. marta </w:t>
      </w:r>
      <w:r w:rsidRPr="00EE1D19">
        <w:rPr>
          <w:i/>
          <w:iCs/>
          <w:color w:val="000000" w:themeColor="text1"/>
          <w:sz w:val="18"/>
          <w:szCs w:val="18"/>
        </w:rPr>
        <w:t>noteikumu Nr.</w:t>
      </w:r>
      <w:r w:rsidR="00BA6BD1" w:rsidRPr="00EE1D19">
        <w:rPr>
          <w:i/>
          <w:iCs/>
          <w:color w:val="000000" w:themeColor="text1"/>
          <w:sz w:val="18"/>
          <w:szCs w:val="18"/>
        </w:rPr>
        <w:t xml:space="preserve"> </w:t>
      </w:r>
      <w:r w:rsidRPr="00EE1D19">
        <w:rPr>
          <w:i/>
          <w:iCs/>
          <w:color w:val="000000" w:themeColor="text1"/>
          <w:sz w:val="18"/>
          <w:szCs w:val="18"/>
        </w:rPr>
        <w:t>136</w:t>
      </w:r>
      <w:r w:rsidR="00BA6BD1" w:rsidRPr="00EE1D19">
        <w:rPr>
          <w:i/>
          <w:iCs/>
          <w:color w:val="000000" w:themeColor="text1"/>
          <w:sz w:val="18"/>
          <w:szCs w:val="18"/>
        </w:rPr>
        <w:t xml:space="preserve"> </w:t>
      </w:r>
      <w:r w:rsidRPr="00EE1D19">
        <w:rPr>
          <w:i/>
          <w:iCs/>
          <w:color w:val="000000" w:themeColor="text1"/>
          <w:sz w:val="18"/>
          <w:szCs w:val="18"/>
        </w:rPr>
        <w:t>“Noteikumi par revīzijas pakalpojumu kvalitātes kontroles prasību ievērošanas pārbaudi un pilnvaroto pārstāvju kvalifikācijas prasībām” 27.</w:t>
      </w:r>
      <w:r w:rsidR="00BA6BD1" w:rsidRPr="00EE1D19">
        <w:rPr>
          <w:i/>
          <w:iCs/>
          <w:color w:val="000000" w:themeColor="text1"/>
          <w:sz w:val="18"/>
          <w:szCs w:val="18"/>
        </w:rPr>
        <w:t xml:space="preserve"> </w:t>
      </w:r>
      <w:r w:rsidRPr="00EE1D19">
        <w:rPr>
          <w:i/>
          <w:iCs/>
          <w:color w:val="000000" w:themeColor="text1"/>
          <w:sz w:val="18"/>
          <w:szCs w:val="18"/>
        </w:rPr>
        <w:t>punktā un Eiropas Parlamenta un Padomes regulas (ES) Nr.</w:t>
      </w:r>
      <w:r w:rsidR="00BA6BD1" w:rsidRPr="00EE1D19">
        <w:rPr>
          <w:i/>
          <w:iCs/>
          <w:color w:val="000000" w:themeColor="text1"/>
          <w:sz w:val="18"/>
          <w:szCs w:val="18"/>
        </w:rPr>
        <w:t xml:space="preserve"> </w:t>
      </w:r>
      <w:r w:rsidRPr="00EE1D19">
        <w:rPr>
          <w:i/>
          <w:iCs/>
          <w:color w:val="000000" w:themeColor="text1"/>
          <w:sz w:val="18"/>
          <w:szCs w:val="18"/>
        </w:rPr>
        <w:t>537/2014 (2014.</w:t>
      </w:r>
      <w:r w:rsidR="00BA6BD1" w:rsidRPr="00EE1D19">
        <w:rPr>
          <w:i/>
          <w:iCs/>
          <w:color w:val="000000" w:themeColor="text1"/>
          <w:sz w:val="18"/>
          <w:szCs w:val="18"/>
        </w:rPr>
        <w:t xml:space="preserve"> </w:t>
      </w:r>
      <w:r w:rsidRPr="00EE1D19">
        <w:rPr>
          <w:i/>
          <w:iCs/>
          <w:color w:val="000000" w:themeColor="text1"/>
          <w:sz w:val="18"/>
          <w:szCs w:val="18"/>
        </w:rPr>
        <w:t>gada 16.</w:t>
      </w:r>
      <w:r w:rsidR="00BA6BD1" w:rsidRPr="00EE1D19">
        <w:rPr>
          <w:i/>
          <w:iCs/>
          <w:color w:val="000000" w:themeColor="text1"/>
          <w:sz w:val="18"/>
          <w:szCs w:val="18"/>
        </w:rPr>
        <w:t xml:space="preserve"> </w:t>
      </w:r>
      <w:r w:rsidRPr="00EE1D19">
        <w:rPr>
          <w:i/>
          <w:iCs/>
          <w:color w:val="000000" w:themeColor="text1"/>
          <w:sz w:val="18"/>
          <w:szCs w:val="18"/>
        </w:rPr>
        <w:t xml:space="preserve">aprīlis) par īpašām prasībām attiecībā uz obligātajām revīzijām sabiedriskas nozīmes struktūrās un ar ko atceļ Komisijas Lēmumu 2005/909/EK </w:t>
      </w:r>
      <w:r w:rsidRPr="00EE1D19">
        <w:rPr>
          <w:i/>
          <w:color w:val="000000" w:themeColor="text1"/>
          <w:sz w:val="18"/>
          <w:szCs w:val="18"/>
        </w:rPr>
        <w:t>28.panta “d” apakšpunktā noteiktajām prasībām</w:t>
      </w:r>
      <w:r w:rsidRPr="00EE1D19">
        <w:rPr>
          <w:i/>
          <w:iCs/>
          <w:color w:val="000000" w:themeColor="text1"/>
          <w:sz w:val="18"/>
          <w:szCs w:val="18"/>
        </w:rPr>
        <w:t>.</w:t>
      </w:r>
    </w:p>
  </w:footnote>
  <w:footnote w:id="2">
    <w:p w14:paraId="1F3A1DB1" w14:textId="411AB1B9" w:rsidR="001E35DD" w:rsidRPr="00EE1D19" w:rsidRDefault="001E35DD" w:rsidP="00061BE4">
      <w:pPr>
        <w:ind w:left="-284" w:right="139"/>
        <w:jc w:val="both"/>
        <w:rPr>
          <w:i/>
          <w:color w:val="000000" w:themeColor="text1"/>
          <w:sz w:val="18"/>
          <w:szCs w:val="18"/>
        </w:rPr>
      </w:pPr>
      <w:r w:rsidRPr="00EE1D19">
        <w:rPr>
          <w:rStyle w:val="FootnoteReference"/>
          <w:i/>
          <w:color w:val="000000" w:themeColor="text1"/>
          <w:sz w:val="18"/>
          <w:szCs w:val="18"/>
        </w:rPr>
        <w:footnoteRef/>
      </w:r>
      <w:r w:rsidRPr="00EE1D19">
        <w:rPr>
          <w:i/>
          <w:color w:val="000000" w:themeColor="text1"/>
          <w:sz w:val="18"/>
          <w:szCs w:val="18"/>
        </w:rPr>
        <w:t xml:space="preserve"> Apkopojuma publiskojamajā daļā netiek norādīts pārbaudāmās zvērinātu revidentu komercsabiedrības pilns nosaukums, jo saskaņā ar Revīzijas pakalpojumu likuma 37.</w:t>
      </w:r>
      <w:r w:rsidR="006B4CF6" w:rsidRPr="00EE1D19">
        <w:rPr>
          <w:i/>
          <w:color w:val="000000" w:themeColor="text1"/>
          <w:sz w:val="18"/>
          <w:szCs w:val="18"/>
        </w:rPr>
        <w:t xml:space="preserve"> </w:t>
      </w:r>
      <w:r w:rsidRPr="00EE1D19">
        <w:rPr>
          <w:i/>
          <w:color w:val="000000" w:themeColor="text1"/>
          <w:sz w:val="18"/>
          <w:szCs w:val="18"/>
        </w:rPr>
        <w:t>panta piekto daļu Finanšu ministrijas pilnvarotajām personām savā darbībā ir jāievēro konfidencialitātes prasības, kā arī</w:t>
      </w:r>
      <w:r w:rsidR="002948E8" w:rsidRPr="00EE1D19">
        <w:rPr>
          <w:i/>
          <w:color w:val="000000" w:themeColor="text1"/>
          <w:sz w:val="18"/>
          <w:szCs w:val="18"/>
        </w:rPr>
        <w:t>,</w:t>
      </w:r>
      <w:r w:rsidRPr="00EE1D19">
        <w:rPr>
          <w:i/>
          <w:color w:val="000000" w:themeColor="text1"/>
          <w:sz w:val="18"/>
          <w:szCs w:val="18"/>
        </w:rPr>
        <w:t xml:space="preserve"> īstenojot Finanšu ministrijas kā kompetentās iestādes funkcijas, ir jāievēro ES Regulas Nr.</w:t>
      </w:r>
      <w:r w:rsidR="006B4CF6" w:rsidRPr="00EE1D19">
        <w:rPr>
          <w:i/>
          <w:color w:val="000000" w:themeColor="text1"/>
          <w:sz w:val="18"/>
          <w:szCs w:val="18"/>
        </w:rPr>
        <w:t xml:space="preserve"> </w:t>
      </w:r>
      <w:r w:rsidRPr="00EE1D19">
        <w:rPr>
          <w:i/>
          <w:color w:val="000000" w:themeColor="text1"/>
          <w:sz w:val="18"/>
          <w:szCs w:val="18"/>
        </w:rPr>
        <w:t>537/2014 21.</w:t>
      </w:r>
      <w:r w:rsidR="006B4CF6" w:rsidRPr="00EE1D19">
        <w:rPr>
          <w:i/>
          <w:color w:val="000000" w:themeColor="text1"/>
          <w:sz w:val="18"/>
          <w:szCs w:val="18"/>
        </w:rPr>
        <w:t xml:space="preserve"> </w:t>
      </w:r>
      <w:r w:rsidRPr="00EE1D19">
        <w:rPr>
          <w:i/>
          <w:color w:val="000000" w:themeColor="text1"/>
          <w:sz w:val="18"/>
          <w:szCs w:val="18"/>
        </w:rPr>
        <w:t>pantā noteiktie neatkarības nosacījumi un šīs regulas 22.</w:t>
      </w:r>
      <w:r w:rsidR="006B4CF6" w:rsidRPr="00EE1D19">
        <w:rPr>
          <w:i/>
          <w:color w:val="000000" w:themeColor="text1"/>
          <w:sz w:val="18"/>
          <w:szCs w:val="18"/>
        </w:rPr>
        <w:t xml:space="preserve"> </w:t>
      </w:r>
      <w:r w:rsidRPr="00EE1D19">
        <w:rPr>
          <w:i/>
          <w:color w:val="000000" w:themeColor="text1"/>
          <w:sz w:val="18"/>
          <w:szCs w:val="18"/>
        </w:rPr>
        <w:t>pantā minētās dienesta noslēpuma ievērošanas prasības. Līdz ar to apkopojuma nepubliskojamajā daļā attiecīgajā kolonnā norādītais konkrētais pārbaudāmās zvērinātu revidentu komercsabiedrības pilns nosaukums netiek atspoguļots un ir pieejams tikai Finanšu ministrijas rīcībā.</w:t>
      </w:r>
    </w:p>
    <w:p w14:paraId="53C1E7AD" w14:textId="3820D58F" w:rsidR="001E35DD" w:rsidRPr="00EE1D19" w:rsidRDefault="001E35DD" w:rsidP="00061BE4">
      <w:pPr>
        <w:pStyle w:val="FootnoteText"/>
        <w:ind w:left="-284" w:right="139"/>
        <w:jc w:val="both"/>
        <w:rPr>
          <w:bCs/>
          <w:i/>
          <w:color w:val="000000" w:themeColor="text1"/>
          <w:sz w:val="18"/>
          <w:szCs w:val="18"/>
        </w:rPr>
      </w:pPr>
      <w:r w:rsidRPr="00EE1D19">
        <w:rPr>
          <w:i/>
          <w:color w:val="000000" w:themeColor="text1"/>
          <w:sz w:val="18"/>
          <w:szCs w:val="18"/>
        </w:rPr>
        <w:t xml:space="preserve">Savukārt, SNS revīzijas komiteja, lai izpildītu Finanšu instrumentu tirgus likuma </w:t>
      </w:r>
      <w:r w:rsidRPr="00EE1D19">
        <w:rPr>
          <w:bCs/>
          <w:i/>
          <w:color w:val="000000" w:themeColor="text1"/>
          <w:sz w:val="18"/>
          <w:szCs w:val="18"/>
        </w:rPr>
        <w:t>55.</w:t>
      </w:r>
      <w:r w:rsidRPr="00EE1D19">
        <w:rPr>
          <w:bCs/>
          <w:i/>
          <w:color w:val="000000" w:themeColor="text1"/>
          <w:sz w:val="18"/>
          <w:szCs w:val="18"/>
          <w:vertAlign w:val="superscript"/>
        </w:rPr>
        <w:t>3</w:t>
      </w:r>
      <w:r w:rsidRPr="00EE1D19">
        <w:rPr>
          <w:bCs/>
          <w:i/>
          <w:color w:val="000000" w:themeColor="text1"/>
          <w:sz w:val="18"/>
          <w:szCs w:val="18"/>
        </w:rPr>
        <w:t xml:space="preserve"> panta pirmās daļas 3.</w:t>
      </w:r>
      <w:r w:rsidR="006B4CF6" w:rsidRPr="00EE1D19">
        <w:rPr>
          <w:bCs/>
          <w:i/>
          <w:color w:val="000000" w:themeColor="text1"/>
          <w:sz w:val="18"/>
          <w:szCs w:val="18"/>
        </w:rPr>
        <w:t xml:space="preserve"> </w:t>
      </w:r>
      <w:r w:rsidRPr="00EE1D19">
        <w:rPr>
          <w:bCs/>
          <w:i/>
          <w:color w:val="000000" w:themeColor="text1"/>
          <w:sz w:val="18"/>
          <w:szCs w:val="18"/>
        </w:rPr>
        <w:t>punktā tai noteikto uzdevumu, var sazināties ar Finanšu ministriju kā kompetento iestādi, lai saņemtu šajā punktā minēto informāciju par sava SNS iecelto zvērināto revidentu un zvērinātu revidentu komercsabiedrību.</w:t>
      </w:r>
    </w:p>
  </w:footnote>
  <w:footnote w:id="3">
    <w:p w14:paraId="6BE6E728" w14:textId="34DA44D6" w:rsidR="001E35DD" w:rsidRPr="00EE1D19" w:rsidRDefault="001E35DD" w:rsidP="00061BE4">
      <w:pPr>
        <w:pStyle w:val="FootnoteText"/>
        <w:ind w:left="-284" w:right="139"/>
        <w:jc w:val="both"/>
        <w:rPr>
          <w:i/>
          <w:color w:val="000000" w:themeColor="text1"/>
          <w:sz w:val="18"/>
          <w:szCs w:val="18"/>
        </w:rPr>
      </w:pPr>
      <w:r w:rsidRPr="00EE1D19">
        <w:rPr>
          <w:rStyle w:val="FootnoteReference"/>
          <w:i/>
          <w:color w:val="000000" w:themeColor="text1"/>
          <w:sz w:val="18"/>
          <w:szCs w:val="18"/>
        </w:rPr>
        <w:footnoteRef/>
      </w:r>
      <w:r w:rsidRPr="00EE1D19">
        <w:rPr>
          <w:i/>
          <w:color w:val="000000" w:themeColor="text1"/>
          <w:sz w:val="18"/>
          <w:szCs w:val="18"/>
        </w:rPr>
        <w:t xml:space="preserve"> Kategoriju skaidrojumi ir noteikti </w:t>
      </w:r>
      <w:r w:rsidRPr="00EE1D19">
        <w:rPr>
          <w:i/>
          <w:iCs/>
          <w:color w:val="000000" w:themeColor="text1"/>
          <w:sz w:val="18"/>
          <w:szCs w:val="18"/>
        </w:rPr>
        <w:t>Ministru kabineta 2017.</w:t>
      </w:r>
      <w:r w:rsidR="006B4CF6" w:rsidRPr="00EE1D19">
        <w:rPr>
          <w:i/>
          <w:iCs/>
          <w:color w:val="000000" w:themeColor="text1"/>
          <w:sz w:val="18"/>
          <w:szCs w:val="18"/>
        </w:rPr>
        <w:t xml:space="preserve"> </w:t>
      </w:r>
      <w:r w:rsidRPr="00EE1D19">
        <w:rPr>
          <w:i/>
          <w:iCs/>
          <w:color w:val="000000" w:themeColor="text1"/>
          <w:sz w:val="18"/>
          <w:szCs w:val="18"/>
        </w:rPr>
        <w:t>gada 7.</w:t>
      </w:r>
      <w:r w:rsidR="006B4CF6" w:rsidRPr="00EE1D19">
        <w:rPr>
          <w:i/>
          <w:iCs/>
          <w:color w:val="000000" w:themeColor="text1"/>
          <w:sz w:val="18"/>
          <w:szCs w:val="18"/>
        </w:rPr>
        <w:t xml:space="preserve"> </w:t>
      </w:r>
      <w:r w:rsidRPr="00EE1D19">
        <w:rPr>
          <w:i/>
          <w:iCs/>
          <w:color w:val="000000" w:themeColor="text1"/>
          <w:sz w:val="18"/>
          <w:szCs w:val="18"/>
        </w:rPr>
        <w:t>marta noteikumu Nr.</w:t>
      </w:r>
      <w:r w:rsidR="006B4CF6" w:rsidRPr="00EE1D19">
        <w:rPr>
          <w:i/>
          <w:iCs/>
          <w:color w:val="000000" w:themeColor="text1"/>
          <w:sz w:val="18"/>
          <w:szCs w:val="18"/>
        </w:rPr>
        <w:t xml:space="preserve"> </w:t>
      </w:r>
      <w:r w:rsidRPr="00EE1D19">
        <w:rPr>
          <w:i/>
          <w:iCs/>
          <w:color w:val="000000" w:themeColor="text1"/>
          <w:sz w:val="18"/>
          <w:szCs w:val="18"/>
        </w:rPr>
        <w:t>136 “Noteikumi par revīzijas pakalpojumu kvalitātes kontroles prasību ievērošanas pārbaudi un pilnvaroto pārstāvju kvalifikācijas prasībām” 7.</w:t>
      </w:r>
      <w:r w:rsidR="006B4CF6" w:rsidRPr="00EE1D19">
        <w:rPr>
          <w:i/>
          <w:iCs/>
          <w:color w:val="000000" w:themeColor="text1"/>
          <w:sz w:val="18"/>
          <w:szCs w:val="18"/>
        </w:rPr>
        <w:t xml:space="preserve"> </w:t>
      </w:r>
      <w:r w:rsidRPr="00EE1D19">
        <w:rPr>
          <w:i/>
          <w:iCs/>
          <w:color w:val="000000" w:themeColor="text1"/>
          <w:sz w:val="18"/>
          <w:szCs w:val="18"/>
        </w:rPr>
        <w:t>punktā.</w:t>
      </w:r>
    </w:p>
  </w:footnote>
  <w:footnote w:id="4">
    <w:p w14:paraId="2500D840" w14:textId="35388F68" w:rsidR="001E35DD" w:rsidRPr="00EE1D19" w:rsidRDefault="001E35DD" w:rsidP="009216CD">
      <w:pPr>
        <w:pStyle w:val="FootnoteText"/>
        <w:ind w:left="-284"/>
        <w:jc w:val="both"/>
        <w:rPr>
          <w:i/>
          <w:color w:val="000000" w:themeColor="text1"/>
          <w:sz w:val="18"/>
          <w:szCs w:val="18"/>
        </w:rPr>
      </w:pPr>
      <w:r w:rsidRPr="00EE1D19">
        <w:rPr>
          <w:rStyle w:val="FootnoteReference"/>
          <w:i/>
          <w:color w:val="000000" w:themeColor="text1"/>
          <w:sz w:val="18"/>
          <w:szCs w:val="18"/>
        </w:rPr>
        <w:footnoteRef/>
      </w:r>
      <w:r w:rsidRPr="00EE1D19">
        <w:rPr>
          <w:i/>
          <w:color w:val="000000" w:themeColor="text1"/>
          <w:sz w:val="18"/>
          <w:szCs w:val="18"/>
        </w:rPr>
        <w:t xml:space="preserve"> SNS - </w:t>
      </w:r>
      <w:r w:rsidRPr="00EE1D19">
        <w:rPr>
          <w:i/>
          <w:iCs/>
          <w:color w:val="000000" w:themeColor="text1"/>
          <w:sz w:val="18"/>
          <w:szCs w:val="18"/>
        </w:rPr>
        <w:t>sabiedriskas nozīmes struktūra (termina definējums ietverts Revīzijas pakalpojumu likuma 1.</w:t>
      </w:r>
      <w:r w:rsidR="006B4CF6" w:rsidRPr="00EE1D19">
        <w:rPr>
          <w:i/>
          <w:iCs/>
          <w:color w:val="000000" w:themeColor="text1"/>
          <w:sz w:val="18"/>
          <w:szCs w:val="18"/>
        </w:rPr>
        <w:t xml:space="preserve"> </w:t>
      </w:r>
      <w:r w:rsidRPr="00EE1D19">
        <w:rPr>
          <w:i/>
          <w:iCs/>
          <w:color w:val="000000" w:themeColor="text1"/>
          <w:sz w:val="18"/>
          <w:szCs w:val="18"/>
        </w:rPr>
        <w:t xml:space="preserve">panta pirmās </w:t>
      </w:r>
      <w:r w:rsidRPr="00AB5CC1">
        <w:rPr>
          <w:i/>
          <w:iCs/>
          <w:color w:val="000000" w:themeColor="text1"/>
          <w:sz w:val="18"/>
          <w:szCs w:val="18"/>
        </w:rPr>
        <w:t xml:space="preserve">daļas </w:t>
      </w:r>
      <w:r w:rsidR="00950E89" w:rsidRPr="00AB5CC1">
        <w:rPr>
          <w:i/>
          <w:iCs/>
          <w:color w:val="000000" w:themeColor="text1"/>
          <w:sz w:val="18"/>
          <w:szCs w:val="18"/>
        </w:rPr>
        <w:t>(1</w:t>
      </w:r>
      <w:r w:rsidR="00950E89" w:rsidRPr="00AB5CC1">
        <w:rPr>
          <w:i/>
          <w:iCs/>
          <w:color w:val="000000" w:themeColor="text1"/>
          <w:sz w:val="18"/>
          <w:szCs w:val="18"/>
          <w:vertAlign w:val="superscript"/>
        </w:rPr>
        <w:t>1</w:t>
      </w:r>
      <w:r w:rsidR="00950E89" w:rsidRPr="00AB5CC1">
        <w:rPr>
          <w:i/>
          <w:iCs/>
          <w:color w:val="000000" w:themeColor="text1"/>
          <w:sz w:val="18"/>
          <w:szCs w:val="18"/>
        </w:rPr>
        <w:t>)</w:t>
      </w:r>
      <w:r w:rsidRPr="00AB5CC1">
        <w:rPr>
          <w:i/>
          <w:iCs/>
          <w:color w:val="000000" w:themeColor="text1"/>
          <w:sz w:val="18"/>
          <w:szCs w:val="18"/>
        </w:rPr>
        <w:t>.</w:t>
      </w:r>
      <w:r w:rsidR="006B4CF6" w:rsidRPr="00EE1D19">
        <w:rPr>
          <w:i/>
          <w:iCs/>
          <w:color w:val="000000" w:themeColor="text1"/>
          <w:sz w:val="18"/>
          <w:szCs w:val="18"/>
        </w:rPr>
        <w:t xml:space="preserve"> </w:t>
      </w:r>
      <w:r w:rsidRPr="00EE1D19">
        <w:rPr>
          <w:i/>
          <w:iCs/>
          <w:color w:val="000000" w:themeColor="text1"/>
          <w:sz w:val="18"/>
          <w:szCs w:val="18"/>
        </w:rPr>
        <w:t>punktā).</w:t>
      </w:r>
    </w:p>
  </w:footnote>
  <w:footnote w:id="5">
    <w:p w14:paraId="07971F0E" w14:textId="701A8069" w:rsidR="003F7CE6" w:rsidRPr="00535CC1" w:rsidRDefault="003F7CE6">
      <w:pPr>
        <w:pStyle w:val="FootnoteText"/>
        <w:rPr>
          <w:i/>
          <w:iCs/>
          <w:sz w:val="18"/>
          <w:szCs w:val="18"/>
        </w:rPr>
      </w:pPr>
      <w:r>
        <w:rPr>
          <w:rStyle w:val="FootnoteReference"/>
        </w:rPr>
        <w:footnoteRef/>
      </w:r>
      <w:r>
        <w:t xml:space="preserve"> </w:t>
      </w:r>
      <w:r w:rsidR="00535CC1" w:rsidRPr="00535CC1">
        <w:rPr>
          <w:i/>
          <w:iCs/>
        </w:rPr>
        <w:t xml:space="preserve">Ētikas kodekss - </w:t>
      </w:r>
      <w:r w:rsidRPr="00535CC1">
        <w:rPr>
          <w:i/>
          <w:iCs/>
          <w:sz w:val="18"/>
          <w:szCs w:val="18"/>
        </w:rPr>
        <w:t xml:space="preserve">Starptautiskais </w:t>
      </w:r>
      <w:r w:rsidR="001518FC" w:rsidRPr="00535CC1">
        <w:rPr>
          <w:i/>
          <w:iCs/>
          <w:sz w:val="18"/>
          <w:szCs w:val="18"/>
        </w:rPr>
        <w:t>profesionālo grāmatvežu ētikas kodekss</w:t>
      </w:r>
      <w:r w:rsidR="001876DC">
        <w:rPr>
          <w:i/>
          <w:iCs/>
          <w:sz w:val="18"/>
          <w:szCs w:val="18"/>
        </w:rPr>
        <w:t>;</w:t>
      </w:r>
    </w:p>
  </w:footnote>
  <w:footnote w:id="6">
    <w:p w14:paraId="69A4B096" w14:textId="77777777" w:rsidR="00535CC1" w:rsidRPr="00535CC1" w:rsidRDefault="00390458" w:rsidP="00535CC1">
      <w:pPr>
        <w:pStyle w:val="FootnoteText"/>
      </w:pPr>
      <w:r w:rsidRPr="00535CC1">
        <w:rPr>
          <w:rStyle w:val="FootnoteReference"/>
          <w:i/>
          <w:iCs/>
        </w:rPr>
        <w:footnoteRef/>
      </w:r>
      <w:r w:rsidRPr="00535CC1">
        <w:rPr>
          <w:i/>
          <w:iCs/>
        </w:rPr>
        <w:t xml:space="preserve"> </w:t>
      </w:r>
      <w:r w:rsidR="00535CC1" w:rsidRPr="00535CC1">
        <w:rPr>
          <w:i/>
          <w:iCs/>
          <w:sz w:val="18"/>
          <w:szCs w:val="18"/>
        </w:rPr>
        <w:t>VID EDS - Valsts ieņēmumu dienesta Elektroniskās deklarēšanas sistēma</w:t>
      </w:r>
    </w:p>
    <w:p w14:paraId="77EB73DB" w14:textId="6E175483" w:rsidR="00390458" w:rsidRDefault="00390458">
      <w:pPr>
        <w:pStyle w:val="FootnoteText"/>
      </w:pPr>
    </w:p>
  </w:footnote>
  <w:footnote w:id="7">
    <w:p w14:paraId="584A0861" w14:textId="0A520289" w:rsidR="00D46D5F" w:rsidRDefault="00D46D5F">
      <w:pPr>
        <w:pStyle w:val="FootnoteText"/>
      </w:pPr>
      <w:r>
        <w:rPr>
          <w:rStyle w:val="FootnoteReference"/>
        </w:rPr>
        <w:footnoteRef/>
      </w:r>
      <w:r>
        <w:t xml:space="preserve"> </w:t>
      </w:r>
      <w:r w:rsidRPr="00D46D5F">
        <w:t>Ministru kabineta 2024.gada 29.oktobra noteikum</w:t>
      </w:r>
      <w:r>
        <w:t>i</w:t>
      </w:r>
      <w:r w:rsidRPr="00D46D5F">
        <w:t xml:space="preserve"> Nr.668 “Zvērinātu revidentu un zvērinātu revidentu komercsabiedrību darba organizācijas noteikumi ” (turpmāk –</w:t>
      </w:r>
      <w:r>
        <w:t xml:space="preserve"> Ministru kabineta </w:t>
      </w:r>
      <w:r w:rsidR="00E7140B">
        <w:t>noteikumi Nr.668).</w:t>
      </w:r>
    </w:p>
  </w:footnote>
  <w:footnote w:id="8">
    <w:p w14:paraId="290C5A4C" w14:textId="5B7A3DC2" w:rsidR="00AA66C5" w:rsidRDefault="00AA66C5">
      <w:pPr>
        <w:pStyle w:val="FootnoteText"/>
      </w:pPr>
      <w:r>
        <w:rPr>
          <w:rStyle w:val="FootnoteReference"/>
        </w:rPr>
        <w:footnoteRef/>
      </w:r>
      <w:r>
        <w:t xml:space="preserve"> </w:t>
      </w:r>
      <w:r w:rsidR="00462D68" w:rsidRPr="00462D68">
        <w:rPr>
          <w:i/>
          <w:iCs/>
          <w:sz w:val="18"/>
          <w:szCs w:val="18"/>
        </w:rPr>
        <w:t>SRS – Starptautisk</w:t>
      </w:r>
      <w:r w:rsidR="002F7985">
        <w:rPr>
          <w:i/>
          <w:iCs/>
          <w:sz w:val="18"/>
          <w:szCs w:val="18"/>
        </w:rPr>
        <w:t>ie</w:t>
      </w:r>
      <w:r w:rsidR="00462D68" w:rsidRPr="00462D68">
        <w:rPr>
          <w:i/>
          <w:iCs/>
          <w:sz w:val="18"/>
          <w:szCs w:val="18"/>
        </w:rPr>
        <w:t xml:space="preserve"> revīzijas standart</w:t>
      </w:r>
      <w:r w:rsidR="002F7985">
        <w:rPr>
          <w:i/>
          <w:iCs/>
          <w:sz w:val="18"/>
          <w:szCs w:val="18"/>
        </w:rPr>
        <w:t>i</w:t>
      </w:r>
    </w:p>
  </w:footnote>
  <w:footnote w:id="9">
    <w:p w14:paraId="20BF3F9C" w14:textId="4C0E5828" w:rsidR="002C6FF1" w:rsidRDefault="002C6FF1">
      <w:pPr>
        <w:pStyle w:val="FootnoteText"/>
      </w:pPr>
      <w:r>
        <w:rPr>
          <w:rStyle w:val="FootnoteReference"/>
        </w:rPr>
        <w:footnoteRef/>
      </w:r>
      <w:r>
        <w:t xml:space="preserve"> </w:t>
      </w:r>
      <w:r w:rsidRPr="002C6FF1">
        <w:t>Ministru kabineta 20</w:t>
      </w:r>
      <w:r w:rsidR="00CA4F09">
        <w:t>18</w:t>
      </w:r>
      <w:r w:rsidRPr="002C6FF1">
        <w:t xml:space="preserve">.gada </w:t>
      </w:r>
      <w:r w:rsidR="00CA4F09">
        <w:t>4</w:t>
      </w:r>
      <w:r w:rsidRPr="002C6FF1">
        <w:t>.</w:t>
      </w:r>
      <w:r w:rsidR="00CA4F09">
        <w:t>septembra</w:t>
      </w:r>
      <w:r w:rsidRPr="002C6FF1">
        <w:t xml:space="preserve"> noteikumi Nr.</w:t>
      </w:r>
      <w:r w:rsidR="00CA4F09">
        <w:t>55</w:t>
      </w:r>
      <w:r w:rsidRPr="002C6FF1">
        <w:t>8 “</w:t>
      </w:r>
      <w:r w:rsidR="00B710A6" w:rsidRPr="00B710A6">
        <w:t>Dokumentu izstrādāšanas un noformēšanas kārtība</w:t>
      </w:r>
      <w:r w:rsidRPr="002C6FF1">
        <w:t xml:space="preserve">” </w:t>
      </w:r>
    </w:p>
  </w:footnote>
  <w:footnote w:id="10">
    <w:p w14:paraId="6EDD787C" w14:textId="6F41F0F2" w:rsidR="0073316C" w:rsidRDefault="0073316C">
      <w:pPr>
        <w:pStyle w:val="FootnoteText"/>
      </w:pPr>
      <w:r>
        <w:rPr>
          <w:rStyle w:val="FootnoteReference"/>
        </w:rPr>
        <w:footnoteRef/>
      </w:r>
      <w:r>
        <w:t xml:space="preserve"> </w:t>
      </w:r>
      <w:r w:rsidRPr="0073316C">
        <w:rPr>
          <w:i/>
          <w:iCs/>
          <w:sz w:val="18"/>
          <w:szCs w:val="18"/>
        </w:rPr>
        <w:t>PVN – pievienotās vērtības nodoklis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E0D5" w14:textId="578CC3FE" w:rsidR="003513B8" w:rsidRDefault="003513B8">
    <w:pPr>
      <w:pStyle w:val="Header"/>
    </w:pPr>
  </w:p>
  <w:p w14:paraId="660503F4" w14:textId="77777777" w:rsidR="003513B8" w:rsidRDefault="00351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75729"/>
    <w:multiLevelType w:val="hybridMultilevel"/>
    <w:tmpl w:val="77461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05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47"/>
    <w:rsid w:val="00000560"/>
    <w:rsid w:val="00000BFC"/>
    <w:rsid w:val="00002A01"/>
    <w:rsid w:val="0000314E"/>
    <w:rsid w:val="000128F8"/>
    <w:rsid w:val="00015E74"/>
    <w:rsid w:val="00016537"/>
    <w:rsid w:val="00016595"/>
    <w:rsid w:val="00016AC0"/>
    <w:rsid w:val="00016CA8"/>
    <w:rsid w:val="00024357"/>
    <w:rsid w:val="000247F9"/>
    <w:rsid w:val="00027B42"/>
    <w:rsid w:val="00031D9F"/>
    <w:rsid w:val="00033B1C"/>
    <w:rsid w:val="00034BCC"/>
    <w:rsid w:val="00041230"/>
    <w:rsid w:val="00042B3B"/>
    <w:rsid w:val="0004372F"/>
    <w:rsid w:val="00044461"/>
    <w:rsid w:val="00045447"/>
    <w:rsid w:val="00045CFF"/>
    <w:rsid w:val="00045F30"/>
    <w:rsid w:val="0004667D"/>
    <w:rsid w:val="00051052"/>
    <w:rsid w:val="000516FB"/>
    <w:rsid w:val="00051E68"/>
    <w:rsid w:val="000600C7"/>
    <w:rsid w:val="00061BE4"/>
    <w:rsid w:val="00067D01"/>
    <w:rsid w:val="000700B2"/>
    <w:rsid w:val="0007401A"/>
    <w:rsid w:val="000755C4"/>
    <w:rsid w:val="00080019"/>
    <w:rsid w:val="00080884"/>
    <w:rsid w:val="000827A1"/>
    <w:rsid w:val="00087986"/>
    <w:rsid w:val="00090F67"/>
    <w:rsid w:val="000941E7"/>
    <w:rsid w:val="00094FE9"/>
    <w:rsid w:val="00095C91"/>
    <w:rsid w:val="00096F04"/>
    <w:rsid w:val="000A2FAF"/>
    <w:rsid w:val="000A35B2"/>
    <w:rsid w:val="000A5A2C"/>
    <w:rsid w:val="000A70FE"/>
    <w:rsid w:val="000B02EC"/>
    <w:rsid w:val="000B088F"/>
    <w:rsid w:val="000B1CE7"/>
    <w:rsid w:val="000B2FFB"/>
    <w:rsid w:val="000B331A"/>
    <w:rsid w:val="000B3503"/>
    <w:rsid w:val="000B3857"/>
    <w:rsid w:val="000C4F27"/>
    <w:rsid w:val="000C5249"/>
    <w:rsid w:val="000C6A76"/>
    <w:rsid w:val="000C776F"/>
    <w:rsid w:val="000D2C25"/>
    <w:rsid w:val="000D612B"/>
    <w:rsid w:val="000E74F4"/>
    <w:rsid w:val="000F091D"/>
    <w:rsid w:val="000F3626"/>
    <w:rsid w:val="000F5A0D"/>
    <w:rsid w:val="000F5CA0"/>
    <w:rsid w:val="000F63D0"/>
    <w:rsid w:val="00100309"/>
    <w:rsid w:val="0010053A"/>
    <w:rsid w:val="00102651"/>
    <w:rsid w:val="00105927"/>
    <w:rsid w:val="00107A6D"/>
    <w:rsid w:val="00110994"/>
    <w:rsid w:val="00111CC7"/>
    <w:rsid w:val="00112141"/>
    <w:rsid w:val="00112F65"/>
    <w:rsid w:val="00114432"/>
    <w:rsid w:val="001170F2"/>
    <w:rsid w:val="0012015A"/>
    <w:rsid w:val="001205A3"/>
    <w:rsid w:val="001253F3"/>
    <w:rsid w:val="00125912"/>
    <w:rsid w:val="001262E0"/>
    <w:rsid w:val="00127B53"/>
    <w:rsid w:val="00131351"/>
    <w:rsid w:val="001316C1"/>
    <w:rsid w:val="001317A4"/>
    <w:rsid w:val="00131DB2"/>
    <w:rsid w:val="00133E4F"/>
    <w:rsid w:val="00135282"/>
    <w:rsid w:val="00135704"/>
    <w:rsid w:val="00136452"/>
    <w:rsid w:val="00136B9E"/>
    <w:rsid w:val="00140D06"/>
    <w:rsid w:val="00141647"/>
    <w:rsid w:val="00141873"/>
    <w:rsid w:val="001421C9"/>
    <w:rsid w:val="00145900"/>
    <w:rsid w:val="001463E7"/>
    <w:rsid w:val="0015064B"/>
    <w:rsid w:val="00151778"/>
    <w:rsid w:val="001518FC"/>
    <w:rsid w:val="0015279C"/>
    <w:rsid w:val="00155721"/>
    <w:rsid w:val="00162B0B"/>
    <w:rsid w:val="0016587D"/>
    <w:rsid w:val="0016787F"/>
    <w:rsid w:val="00173894"/>
    <w:rsid w:val="00173E57"/>
    <w:rsid w:val="00174232"/>
    <w:rsid w:val="0017579A"/>
    <w:rsid w:val="00177F04"/>
    <w:rsid w:val="00186C51"/>
    <w:rsid w:val="001876DC"/>
    <w:rsid w:val="00187DC9"/>
    <w:rsid w:val="001924DC"/>
    <w:rsid w:val="00192D14"/>
    <w:rsid w:val="00196366"/>
    <w:rsid w:val="001A0CDE"/>
    <w:rsid w:val="001A1DC4"/>
    <w:rsid w:val="001B3013"/>
    <w:rsid w:val="001B3810"/>
    <w:rsid w:val="001B5956"/>
    <w:rsid w:val="001B72A3"/>
    <w:rsid w:val="001C268E"/>
    <w:rsid w:val="001C4A54"/>
    <w:rsid w:val="001C6270"/>
    <w:rsid w:val="001D018D"/>
    <w:rsid w:val="001D114B"/>
    <w:rsid w:val="001E2D5B"/>
    <w:rsid w:val="001E35DD"/>
    <w:rsid w:val="001F23F1"/>
    <w:rsid w:val="001F2547"/>
    <w:rsid w:val="001F2E2F"/>
    <w:rsid w:val="001F4812"/>
    <w:rsid w:val="001F784D"/>
    <w:rsid w:val="00203B21"/>
    <w:rsid w:val="0020412D"/>
    <w:rsid w:val="002054FC"/>
    <w:rsid w:val="002056C0"/>
    <w:rsid w:val="00207139"/>
    <w:rsid w:val="00207FAC"/>
    <w:rsid w:val="002119E6"/>
    <w:rsid w:val="00213A03"/>
    <w:rsid w:val="0021495A"/>
    <w:rsid w:val="00215960"/>
    <w:rsid w:val="00223A73"/>
    <w:rsid w:val="002255A1"/>
    <w:rsid w:val="0022779E"/>
    <w:rsid w:val="0022797A"/>
    <w:rsid w:val="002300F5"/>
    <w:rsid w:val="00232E75"/>
    <w:rsid w:val="002408C3"/>
    <w:rsid w:val="002444BC"/>
    <w:rsid w:val="002507EF"/>
    <w:rsid w:val="00251784"/>
    <w:rsid w:val="00252A3A"/>
    <w:rsid w:val="00263A45"/>
    <w:rsid w:val="00264E9B"/>
    <w:rsid w:val="00266B71"/>
    <w:rsid w:val="00266DBB"/>
    <w:rsid w:val="00266E4B"/>
    <w:rsid w:val="002703AE"/>
    <w:rsid w:val="002761FC"/>
    <w:rsid w:val="00277E65"/>
    <w:rsid w:val="00280101"/>
    <w:rsid w:val="002806B6"/>
    <w:rsid w:val="00284EA9"/>
    <w:rsid w:val="00285293"/>
    <w:rsid w:val="00287BF4"/>
    <w:rsid w:val="002921C4"/>
    <w:rsid w:val="002948E8"/>
    <w:rsid w:val="002A00A0"/>
    <w:rsid w:val="002A0657"/>
    <w:rsid w:val="002A417F"/>
    <w:rsid w:val="002A5947"/>
    <w:rsid w:val="002A6CEF"/>
    <w:rsid w:val="002A73C7"/>
    <w:rsid w:val="002B1D40"/>
    <w:rsid w:val="002B24E6"/>
    <w:rsid w:val="002C29F0"/>
    <w:rsid w:val="002C3F9F"/>
    <w:rsid w:val="002C6FF1"/>
    <w:rsid w:val="002D1BA4"/>
    <w:rsid w:val="002D2698"/>
    <w:rsid w:val="002D2FD1"/>
    <w:rsid w:val="002D46AF"/>
    <w:rsid w:val="002D7A3B"/>
    <w:rsid w:val="002E11C2"/>
    <w:rsid w:val="002E129E"/>
    <w:rsid w:val="002E16F7"/>
    <w:rsid w:val="002E5B4E"/>
    <w:rsid w:val="002E6074"/>
    <w:rsid w:val="002E7E46"/>
    <w:rsid w:val="002F022F"/>
    <w:rsid w:val="002F1507"/>
    <w:rsid w:val="002F1E20"/>
    <w:rsid w:val="002F414C"/>
    <w:rsid w:val="002F7985"/>
    <w:rsid w:val="002F7D22"/>
    <w:rsid w:val="00300411"/>
    <w:rsid w:val="00300B93"/>
    <w:rsid w:val="00301020"/>
    <w:rsid w:val="0030482F"/>
    <w:rsid w:val="0030737F"/>
    <w:rsid w:val="00307F83"/>
    <w:rsid w:val="003116CB"/>
    <w:rsid w:val="003119F4"/>
    <w:rsid w:val="003129C8"/>
    <w:rsid w:val="00315146"/>
    <w:rsid w:val="0032237A"/>
    <w:rsid w:val="003224AC"/>
    <w:rsid w:val="003339D4"/>
    <w:rsid w:val="00333CEC"/>
    <w:rsid w:val="0034258A"/>
    <w:rsid w:val="003426D3"/>
    <w:rsid w:val="00342CE1"/>
    <w:rsid w:val="00346835"/>
    <w:rsid w:val="00346C3E"/>
    <w:rsid w:val="00350BAB"/>
    <w:rsid w:val="003513B8"/>
    <w:rsid w:val="00352A5F"/>
    <w:rsid w:val="00353A3C"/>
    <w:rsid w:val="0036322F"/>
    <w:rsid w:val="003644D4"/>
    <w:rsid w:val="00365011"/>
    <w:rsid w:val="0036513A"/>
    <w:rsid w:val="00376BA1"/>
    <w:rsid w:val="00376C7A"/>
    <w:rsid w:val="003779C5"/>
    <w:rsid w:val="00380EB8"/>
    <w:rsid w:val="00385C8D"/>
    <w:rsid w:val="00386BC0"/>
    <w:rsid w:val="00390458"/>
    <w:rsid w:val="00393216"/>
    <w:rsid w:val="003A0897"/>
    <w:rsid w:val="003A3259"/>
    <w:rsid w:val="003A3407"/>
    <w:rsid w:val="003A3EC3"/>
    <w:rsid w:val="003B334E"/>
    <w:rsid w:val="003B488D"/>
    <w:rsid w:val="003B5856"/>
    <w:rsid w:val="003C0ADC"/>
    <w:rsid w:val="003C5891"/>
    <w:rsid w:val="003D1961"/>
    <w:rsid w:val="003D4F7C"/>
    <w:rsid w:val="003D6333"/>
    <w:rsid w:val="003E0D4D"/>
    <w:rsid w:val="003E37CA"/>
    <w:rsid w:val="003E3CD2"/>
    <w:rsid w:val="003E40E2"/>
    <w:rsid w:val="003E5B50"/>
    <w:rsid w:val="003E7B5B"/>
    <w:rsid w:val="003F13A8"/>
    <w:rsid w:val="003F1BE2"/>
    <w:rsid w:val="003F7CE6"/>
    <w:rsid w:val="004023EE"/>
    <w:rsid w:val="00405016"/>
    <w:rsid w:val="00405AA6"/>
    <w:rsid w:val="004067C7"/>
    <w:rsid w:val="00407B2F"/>
    <w:rsid w:val="0041193B"/>
    <w:rsid w:val="00412A58"/>
    <w:rsid w:val="00414D01"/>
    <w:rsid w:val="00415068"/>
    <w:rsid w:val="00425D0C"/>
    <w:rsid w:val="00426A13"/>
    <w:rsid w:val="00427114"/>
    <w:rsid w:val="004276A1"/>
    <w:rsid w:val="0043106D"/>
    <w:rsid w:val="00450972"/>
    <w:rsid w:val="00455960"/>
    <w:rsid w:val="004578C0"/>
    <w:rsid w:val="004615ED"/>
    <w:rsid w:val="00461858"/>
    <w:rsid w:val="0046263B"/>
    <w:rsid w:val="00462D68"/>
    <w:rsid w:val="004702FA"/>
    <w:rsid w:val="00470415"/>
    <w:rsid w:val="00471FDE"/>
    <w:rsid w:val="004748C2"/>
    <w:rsid w:val="00474DE1"/>
    <w:rsid w:val="00477C10"/>
    <w:rsid w:val="00481559"/>
    <w:rsid w:val="00481922"/>
    <w:rsid w:val="0048314B"/>
    <w:rsid w:val="00485C98"/>
    <w:rsid w:val="00486C34"/>
    <w:rsid w:val="004918C5"/>
    <w:rsid w:val="00493007"/>
    <w:rsid w:val="004A4963"/>
    <w:rsid w:val="004A798E"/>
    <w:rsid w:val="004A7EB0"/>
    <w:rsid w:val="004B3DF4"/>
    <w:rsid w:val="004B5039"/>
    <w:rsid w:val="004C0626"/>
    <w:rsid w:val="004C5A7A"/>
    <w:rsid w:val="004C6247"/>
    <w:rsid w:val="004C7303"/>
    <w:rsid w:val="004D2E11"/>
    <w:rsid w:val="004E205A"/>
    <w:rsid w:val="004E2675"/>
    <w:rsid w:val="004E471A"/>
    <w:rsid w:val="004E6F9A"/>
    <w:rsid w:val="004F0652"/>
    <w:rsid w:val="004F45DB"/>
    <w:rsid w:val="00501727"/>
    <w:rsid w:val="00501904"/>
    <w:rsid w:val="005024B8"/>
    <w:rsid w:val="00504A2B"/>
    <w:rsid w:val="005052AB"/>
    <w:rsid w:val="00505DFD"/>
    <w:rsid w:val="00510D01"/>
    <w:rsid w:val="00510EF4"/>
    <w:rsid w:val="00512881"/>
    <w:rsid w:val="00513D8F"/>
    <w:rsid w:val="00521715"/>
    <w:rsid w:val="00524645"/>
    <w:rsid w:val="00525958"/>
    <w:rsid w:val="00526C2F"/>
    <w:rsid w:val="00530723"/>
    <w:rsid w:val="0053131A"/>
    <w:rsid w:val="00533048"/>
    <w:rsid w:val="00533E9C"/>
    <w:rsid w:val="0053545C"/>
    <w:rsid w:val="00535C82"/>
    <w:rsid w:val="00535CC1"/>
    <w:rsid w:val="00537398"/>
    <w:rsid w:val="005408F3"/>
    <w:rsid w:val="00540B41"/>
    <w:rsid w:val="00543EB0"/>
    <w:rsid w:val="00544993"/>
    <w:rsid w:val="005522B2"/>
    <w:rsid w:val="005550C2"/>
    <w:rsid w:val="00557194"/>
    <w:rsid w:val="00563CFA"/>
    <w:rsid w:val="00564883"/>
    <w:rsid w:val="00565047"/>
    <w:rsid w:val="005664E1"/>
    <w:rsid w:val="00566A14"/>
    <w:rsid w:val="005742EC"/>
    <w:rsid w:val="00574336"/>
    <w:rsid w:val="00576470"/>
    <w:rsid w:val="00580DFC"/>
    <w:rsid w:val="00583776"/>
    <w:rsid w:val="00591935"/>
    <w:rsid w:val="00592D6D"/>
    <w:rsid w:val="005945DA"/>
    <w:rsid w:val="005A1512"/>
    <w:rsid w:val="005A1AC9"/>
    <w:rsid w:val="005B25C3"/>
    <w:rsid w:val="005B3573"/>
    <w:rsid w:val="005B4423"/>
    <w:rsid w:val="005B5731"/>
    <w:rsid w:val="005B67B0"/>
    <w:rsid w:val="005C1567"/>
    <w:rsid w:val="005C1F2E"/>
    <w:rsid w:val="005C22EF"/>
    <w:rsid w:val="005C4B98"/>
    <w:rsid w:val="005C774B"/>
    <w:rsid w:val="005D0B4B"/>
    <w:rsid w:val="005D2BD6"/>
    <w:rsid w:val="005D6946"/>
    <w:rsid w:val="005E6146"/>
    <w:rsid w:val="005F2305"/>
    <w:rsid w:val="005F46E2"/>
    <w:rsid w:val="005F6D88"/>
    <w:rsid w:val="005F6E1E"/>
    <w:rsid w:val="005F7EE1"/>
    <w:rsid w:val="00600282"/>
    <w:rsid w:val="006002A0"/>
    <w:rsid w:val="00602C59"/>
    <w:rsid w:val="00604293"/>
    <w:rsid w:val="0060446A"/>
    <w:rsid w:val="0061258C"/>
    <w:rsid w:val="00614DFD"/>
    <w:rsid w:val="00624598"/>
    <w:rsid w:val="006249FE"/>
    <w:rsid w:val="00624D6F"/>
    <w:rsid w:val="006251C2"/>
    <w:rsid w:val="0063017D"/>
    <w:rsid w:val="00631830"/>
    <w:rsid w:val="00635610"/>
    <w:rsid w:val="006365E8"/>
    <w:rsid w:val="006367C4"/>
    <w:rsid w:val="00637933"/>
    <w:rsid w:val="00642F61"/>
    <w:rsid w:val="00643A3A"/>
    <w:rsid w:val="006454B6"/>
    <w:rsid w:val="006462D8"/>
    <w:rsid w:val="00651101"/>
    <w:rsid w:val="00653142"/>
    <w:rsid w:val="00653F04"/>
    <w:rsid w:val="00662D74"/>
    <w:rsid w:val="00667408"/>
    <w:rsid w:val="006729FC"/>
    <w:rsid w:val="0067306E"/>
    <w:rsid w:val="0067383E"/>
    <w:rsid w:val="00676899"/>
    <w:rsid w:val="006852AA"/>
    <w:rsid w:val="00685A92"/>
    <w:rsid w:val="00685E56"/>
    <w:rsid w:val="00687CA0"/>
    <w:rsid w:val="006A43CA"/>
    <w:rsid w:val="006A6364"/>
    <w:rsid w:val="006A6D09"/>
    <w:rsid w:val="006A7837"/>
    <w:rsid w:val="006A7913"/>
    <w:rsid w:val="006B16AB"/>
    <w:rsid w:val="006B1F2D"/>
    <w:rsid w:val="006B4CF6"/>
    <w:rsid w:val="006B7176"/>
    <w:rsid w:val="006C284A"/>
    <w:rsid w:val="006C4BE2"/>
    <w:rsid w:val="006C4D12"/>
    <w:rsid w:val="006C5B3C"/>
    <w:rsid w:val="006D1C13"/>
    <w:rsid w:val="006D1F00"/>
    <w:rsid w:val="006D3A38"/>
    <w:rsid w:val="006D3ADD"/>
    <w:rsid w:val="006D3BE0"/>
    <w:rsid w:val="006D4E3F"/>
    <w:rsid w:val="006D6F9A"/>
    <w:rsid w:val="006E0018"/>
    <w:rsid w:val="006E22D8"/>
    <w:rsid w:val="006E2869"/>
    <w:rsid w:val="006E6363"/>
    <w:rsid w:val="006E776E"/>
    <w:rsid w:val="006F28E1"/>
    <w:rsid w:val="006F42DD"/>
    <w:rsid w:val="006F518C"/>
    <w:rsid w:val="00702BF3"/>
    <w:rsid w:val="007036B4"/>
    <w:rsid w:val="00703A86"/>
    <w:rsid w:val="007051B2"/>
    <w:rsid w:val="00705C06"/>
    <w:rsid w:val="00707150"/>
    <w:rsid w:val="00707ED6"/>
    <w:rsid w:val="00712093"/>
    <w:rsid w:val="00713847"/>
    <w:rsid w:val="00716682"/>
    <w:rsid w:val="00716FCB"/>
    <w:rsid w:val="00720B86"/>
    <w:rsid w:val="00722117"/>
    <w:rsid w:val="00727934"/>
    <w:rsid w:val="00727FD9"/>
    <w:rsid w:val="00732023"/>
    <w:rsid w:val="0073316C"/>
    <w:rsid w:val="00733BCB"/>
    <w:rsid w:val="0073595E"/>
    <w:rsid w:val="00737923"/>
    <w:rsid w:val="00740074"/>
    <w:rsid w:val="0074416D"/>
    <w:rsid w:val="007457C5"/>
    <w:rsid w:val="0074614F"/>
    <w:rsid w:val="00746924"/>
    <w:rsid w:val="00751CEC"/>
    <w:rsid w:val="00753F50"/>
    <w:rsid w:val="00755332"/>
    <w:rsid w:val="00757DF4"/>
    <w:rsid w:val="00764A63"/>
    <w:rsid w:val="00764F0D"/>
    <w:rsid w:val="00774B83"/>
    <w:rsid w:val="00775742"/>
    <w:rsid w:val="0077739F"/>
    <w:rsid w:val="00777B25"/>
    <w:rsid w:val="007810E4"/>
    <w:rsid w:val="00786438"/>
    <w:rsid w:val="007938CD"/>
    <w:rsid w:val="00797732"/>
    <w:rsid w:val="007A382B"/>
    <w:rsid w:val="007A3A91"/>
    <w:rsid w:val="007A506F"/>
    <w:rsid w:val="007B09DE"/>
    <w:rsid w:val="007B2751"/>
    <w:rsid w:val="007B4057"/>
    <w:rsid w:val="007B758A"/>
    <w:rsid w:val="007B7BBB"/>
    <w:rsid w:val="007C56F3"/>
    <w:rsid w:val="007C7593"/>
    <w:rsid w:val="007D0871"/>
    <w:rsid w:val="007D08DB"/>
    <w:rsid w:val="007D170E"/>
    <w:rsid w:val="007D246F"/>
    <w:rsid w:val="007D24D7"/>
    <w:rsid w:val="007D430F"/>
    <w:rsid w:val="007D5ED0"/>
    <w:rsid w:val="007E35A9"/>
    <w:rsid w:val="007E3747"/>
    <w:rsid w:val="007E64AB"/>
    <w:rsid w:val="007E71A1"/>
    <w:rsid w:val="007F47D5"/>
    <w:rsid w:val="007F4B3F"/>
    <w:rsid w:val="007F58B0"/>
    <w:rsid w:val="007F5FC2"/>
    <w:rsid w:val="007F73FE"/>
    <w:rsid w:val="00800AB4"/>
    <w:rsid w:val="008036EC"/>
    <w:rsid w:val="0080483A"/>
    <w:rsid w:val="00807724"/>
    <w:rsid w:val="0081303E"/>
    <w:rsid w:val="00814870"/>
    <w:rsid w:val="00816522"/>
    <w:rsid w:val="00821848"/>
    <w:rsid w:val="00822CFD"/>
    <w:rsid w:val="00822E16"/>
    <w:rsid w:val="00825EB8"/>
    <w:rsid w:val="00831B05"/>
    <w:rsid w:val="00832F6B"/>
    <w:rsid w:val="00833998"/>
    <w:rsid w:val="008373C0"/>
    <w:rsid w:val="00841036"/>
    <w:rsid w:val="00846693"/>
    <w:rsid w:val="008516BF"/>
    <w:rsid w:val="008521BA"/>
    <w:rsid w:val="00857A55"/>
    <w:rsid w:val="0086212B"/>
    <w:rsid w:val="008621B1"/>
    <w:rsid w:val="00872B89"/>
    <w:rsid w:val="00873241"/>
    <w:rsid w:val="008737EB"/>
    <w:rsid w:val="0087554A"/>
    <w:rsid w:val="008834C2"/>
    <w:rsid w:val="00884088"/>
    <w:rsid w:val="00885495"/>
    <w:rsid w:val="00885D8E"/>
    <w:rsid w:val="0089151C"/>
    <w:rsid w:val="008945E4"/>
    <w:rsid w:val="008A512A"/>
    <w:rsid w:val="008A5D80"/>
    <w:rsid w:val="008A7632"/>
    <w:rsid w:val="008B158A"/>
    <w:rsid w:val="008B38E0"/>
    <w:rsid w:val="008B3CB1"/>
    <w:rsid w:val="008B4209"/>
    <w:rsid w:val="008B562C"/>
    <w:rsid w:val="008C0C78"/>
    <w:rsid w:val="008C301E"/>
    <w:rsid w:val="008C4E2A"/>
    <w:rsid w:val="008C7583"/>
    <w:rsid w:val="008C7852"/>
    <w:rsid w:val="008D1AEC"/>
    <w:rsid w:val="008D30E6"/>
    <w:rsid w:val="008D41C9"/>
    <w:rsid w:val="008D7E09"/>
    <w:rsid w:val="008E1146"/>
    <w:rsid w:val="008E403C"/>
    <w:rsid w:val="008E5A5F"/>
    <w:rsid w:val="008E5B58"/>
    <w:rsid w:val="008E6B1D"/>
    <w:rsid w:val="008F10BC"/>
    <w:rsid w:val="008F140B"/>
    <w:rsid w:val="008F1DDB"/>
    <w:rsid w:val="008F1E4B"/>
    <w:rsid w:val="008F2D6C"/>
    <w:rsid w:val="008F3A82"/>
    <w:rsid w:val="008F73AD"/>
    <w:rsid w:val="00900933"/>
    <w:rsid w:val="00904B98"/>
    <w:rsid w:val="009074EC"/>
    <w:rsid w:val="00911675"/>
    <w:rsid w:val="00913BEB"/>
    <w:rsid w:val="00914507"/>
    <w:rsid w:val="00917186"/>
    <w:rsid w:val="00921151"/>
    <w:rsid w:val="009216CD"/>
    <w:rsid w:val="009268E7"/>
    <w:rsid w:val="00932720"/>
    <w:rsid w:val="00936488"/>
    <w:rsid w:val="00941216"/>
    <w:rsid w:val="00950E89"/>
    <w:rsid w:val="00954EE6"/>
    <w:rsid w:val="00957249"/>
    <w:rsid w:val="00963913"/>
    <w:rsid w:val="00963CF7"/>
    <w:rsid w:val="009644C3"/>
    <w:rsid w:val="009662C8"/>
    <w:rsid w:val="00967953"/>
    <w:rsid w:val="0097067D"/>
    <w:rsid w:val="009725DF"/>
    <w:rsid w:val="00974516"/>
    <w:rsid w:val="00975C05"/>
    <w:rsid w:val="009819DE"/>
    <w:rsid w:val="00985F3C"/>
    <w:rsid w:val="00990774"/>
    <w:rsid w:val="0099325F"/>
    <w:rsid w:val="009937E7"/>
    <w:rsid w:val="009958C8"/>
    <w:rsid w:val="00996A4E"/>
    <w:rsid w:val="00996A92"/>
    <w:rsid w:val="009A0285"/>
    <w:rsid w:val="009A2BCC"/>
    <w:rsid w:val="009A6D51"/>
    <w:rsid w:val="009B1F27"/>
    <w:rsid w:val="009B30A7"/>
    <w:rsid w:val="009B42EF"/>
    <w:rsid w:val="009C0C94"/>
    <w:rsid w:val="009C1309"/>
    <w:rsid w:val="009C335E"/>
    <w:rsid w:val="009C3AE2"/>
    <w:rsid w:val="009C4E35"/>
    <w:rsid w:val="009C6F52"/>
    <w:rsid w:val="009D2048"/>
    <w:rsid w:val="009D241B"/>
    <w:rsid w:val="009D6EC5"/>
    <w:rsid w:val="009E023F"/>
    <w:rsid w:val="009E2746"/>
    <w:rsid w:val="009E3919"/>
    <w:rsid w:val="009E4281"/>
    <w:rsid w:val="009E487B"/>
    <w:rsid w:val="009E6296"/>
    <w:rsid w:val="009F0142"/>
    <w:rsid w:val="009F0244"/>
    <w:rsid w:val="009F0342"/>
    <w:rsid w:val="009F0990"/>
    <w:rsid w:val="009F1916"/>
    <w:rsid w:val="009F2038"/>
    <w:rsid w:val="009F7F21"/>
    <w:rsid w:val="00A00B62"/>
    <w:rsid w:val="00A04F3E"/>
    <w:rsid w:val="00A05CC8"/>
    <w:rsid w:val="00A103E4"/>
    <w:rsid w:val="00A11826"/>
    <w:rsid w:val="00A16299"/>
    <w:rsid w:val="00A16812"/>
    <w:rsid w:val="00A2010A"/>
    <w:rsid w:val="00A24425"/>
    <w:rsid w:val="00A25EEA"/>
    <w:rsid w:val="00A3161E"/>
    <w:rsid w:val="00A330E7"/>
    <w:rsid w:val="00A34CBD"/>
    <w:rsid w:val="00A34F94"/>
    <w:rsid w:val="00A40483"/>
    <w:rsid w:val="00A41491"/>
    <w:rsid w:val="00A50D5F"/>
    <w:rsid w:val="00A531E1"/>
    <w:rsid w:val="00A5430C"/>
    <w:rsid w:val="00A54695"/>
    <w:rsid w:val="00A67D4E"/>
    <w:rsid w:val="00A70876"/>
    <w:rsid w:val="00A71369"/>
    <w:rsid w:val="00A72ED2"/>
    <w:rsid w:val="00A73859"/>
    <w:rsid w:val="00A75515"/>
    <w:rsid w:val="00A77270"/>
    <w:rsid w:val="00A772B5"/>
    <w:rsid w:val="00A77F95"/>
    <w:rsid w:val="00A77F98"/>
    <w:rsid w:val="00A85160"/>
    <w:rsid w:val="00A85CA1"/>
    <w:rsid w:val="00A86695"/>
    <w:rsid w:val="00A87E45"/>
    <w:rsid w:val="00A9127B"/>
    <w:rsid w:val="00A92E07"/>
    <w:rsid w:val="00A94486"/>
    <w:rsid w:val="00AA0C00"/>
    <w:rsid w:val="00AA0FAA"/>
    <w:rsid w:val="00AA137D"/>
    <w:rsid w:val="00AA66C5"/>
    <w:rsid w:val="00AA77D4"/>
    <w:rsid w:val="00AB3A7D"/>
    <w:rsid w:val="00AB5358"/>
    <w:rsid w:val="00AB57A0"/>
    <w:rsid w:val="00AB5993"/>
    <w:rsid w:val="00AB5CC1"/>
    <w:rsid w:val="00AB6E69"/>
    <w:rsid w:val="00AB74B2"/>
    <w:rsid w:val="00AC1D9C"/>
    <w:rsid w:val="00AC2312"/>
    <w:rsid w:val="00AD3EF8"/>
    <w:rsid w:val="00AD7231"/>
    <w:rsid w:val="00AE01EC"/>
    <w:rsid w:val="00AE0871"/>
    <w:rsid w:val="00AE112A"/>
    <w:rsid w:val="00AE1A2F"/>
    <w:rsid w:val="00AE1FCE"/>
    <w:rsid w:val="00AE5054"/>
    <w:rsid w:val="00AE5805"/>
    <w:rsid w:val="00AE63F1"/>
    <w:rsid w:val="00AF155D"/>
    <w:rsid w:val="00AF189E"/>
    <w:rsid w:val="00AF4C21"/>
    <w:rsid w:val="00AF6500"/>
    <w:rsid w:val="00AF65C3"/>
    <w:rsid w:val="00B039D4"/>
    <w:rsid w:val="00B0481C"/>
    <w:rsid w:val="00B06454"/>
    <w:rsid w:val="00B133B2"/>
    <w:rsid w:val="00B144E3"/>
    <w:rsid w:val="00B20AA8"/>
    <w:rsid w:val="00B21F21"/>
    <w:rsid w:val="00B2465B"/>
    <w:rsid w:val="00B2640B"/>
    <w:rsid w:val="00B27BB8"/>
    <w:rsid w:val="00B3037F"/>
    <w:rsid w:val="00B304E7"/>
    <w:rsid w:val="00B31BE7"/>
    <w:rsid w:val="00B4074D"/>
    <w:rsid w:val="00B40CF6"/>
    <w:rsid w:val="00B42FEB"/>
    <w:rsid w:val="00B43A08"/>
    <w:rsid w:val="00B47A0C"/>
    <w:rsid w:val="00B5180F"/>
    <w:rsid w:val="00B52188"/>
    <w:rsid w:val="00B547D4"/>
    <w:rsid w:val="00B57E5B"/>
    <w:rsid w:val="00B60905"/>
    <w:rsid w:val="00B6271D"/>
    <w:rsid w:val="00B633AD"/>
    <w:rsid w:val="00B64906"/>
    <w:rsid w:val="00B64B99"/>
    <w:rsid w:val="00B66D4A"/>
    <w:rsid w:val="00B70DDB"/>
    <w:rsid w:val="00B710A6"/>
    <w:rsid w:val="00B75FF3"/>
    <w:rsid w:val="00B767C7"/>
    <w:rsid w:val="00B95826"/>
    <w:rsid w:val="00B963F6"/>
    <w:rsid w:val="00BA0366"/>
    <w:rsid w:val="00BA07DA"/>
    <w:rsid w:val="00BA2B1A"/>
    <w:rsid w:val="00BA3D80"/>
    <w:rsid w:val="00BA6546"/>
    <w:rsid w:val="00BA6BD1"/>
    <w:rsid w:val="00BB1374"/>
    <w:rsid w:val="00BB1EDF"/>
    <w:rsid w:val="00BB59CF"/>
    <w:rsid w:val="00BC0BCF"/>
    <w:rsid w:val="00BC54C3"/>
    <w:rsid w:val="00BD0526"/>
    <w:rsid w:val="00BD071B"/>
    <w:rsid w:val="00BF1A0A"/>
    <w:rsid w:val="00BF242A"/>
    <w:rsid w:val="00BF29AB"/>
    <w:rsid w:val="00C0038C"/>
    <w:rsid w:val="00C0102E"/>
    <w:rsid w:val="00C072A1"/>
    <w:rsid w:val="00C13AFC"/>
    <w:rsid w:val="00C2474E"/>
    <w:rsid w:val="00C24E0A"/>
    <w:rsid w:val="00C257AE"/>
    <w:rsid w:val="00C3156A"/>
    <w:rsid w:val="00C33693"/>
    <w:rsid w:val="00C365F9"/>
    <w:rsid w:val="00C36A35"/>
    <w:rsid w:val="00C40F9B"/>
    <w:rsid w:val="00C47E25"/>
    <w:rsid w:val="00C51CB0"/>
    <w:rsid w:val="00C52510"/>
    <w:rsid w:val="00C53C09"/>
    <w:rsid w:val="00C540DD"/>
    <w:rsid w:val="00C5542D"/>
    <w:rsid w:val="00C619F6"/>
    <w:rsid w:val="00C61B0D"/>
    <w:rsid w:val="00C62E58"/>
    <w:rsid w:val="00C641F2"/>
    <w:rsid w:val="00C6679B"/>
    <w:rsid w:val="00C80408"/>
    <w:rsid w:val="00C8190D"/>
    <w:rsid w:val="00C822D8"/>
    <w:rsid w:val="00C867FB"/>
    <w:rsid w:val="00C87EEF"/>
    <w:rsid w:val="00C92AD0"/>
    <w:rsid w:val="00C95535"/>
    <w:rsid w:val="00C95A17"/>
    <w:rsid w:val="00CA0B3E"/>
    <w:rsid w:val="00CA2C2E"/>
    <w:rsid w:val="00CA485C"/>
    <w:rsid w:val="00CA4F09"/>
    <w:rsid w:val="00CA71CA"/>
    <w:rsid w:val="00CA7EBE"/>
    <w:rsid w:val="00CB235B"/>
    <w:rsid w:val="00CB2675"/>
    <w:rsid w:val="00CB296E"/>
    <w:rsid w:val="00CB4BEF"/>
    <w:rsid w:val="00CB4DC9"/>
    <w:rsid w:val="00CB7A20"/>
    <w:rsid w:val="00CC042D"/>
    <w:rsid w:val="00CC1214"/>
    <w:rsid w:val="00CC2D07"/>
    <w:rsid w:val="00CC4083"/>
    <w:rsid w:val="00CD3184"/>
    <w:rsid w:val="00CD368E"/>
    <w:rsid w:val="00CD4596"/>
    <w:rsid w:val="00CD74C2"/>
    <w:rsid w:val="00CD7DDA"/>
    <w:rsid w:val="00CE2530"/>
    <w:rsid w:val="00CE56DF"/>
    <w:rsid w:val="00CE7353"/>
    <w:rsid w:val="00CE7DBA"/>
    <w:rsid w:val="00CF1414"/>
    <w:rsid w:val="00CF2D98"/>
    <w:rsid w:val="00CF2F12"/>
    <w:rsid w:val="00CF3C71"/>
    <w:rsid w:val="00CF4AAA"/>
    <w:rsid w:val="00CF56BB"/>
    <w:rsid w:val="00CF6F11"/>
    <w:rsid w:val="00CF7233"/>
    <w:rsid w:val="00CF7455"/>
    <w:rsid w:val="00D0131F"/>
    <w:rsid w:val="00D01D34"/>
    <w:rsid w:val="00D0516B"/>
    <w:rsid w:val="00D0565B"/>
    <w:rsid w:val="00D05A28"/>
    <w:rsid w:val="00D115B3"/>
    <w:rsid w:val="00D1390C"/>
    <w:rsid w:val="00D14FAD"/>
    <w:rsid w:val="00D16EB5"/>
    <w:rsid w:val="00D231F6"/>
    <w:rsid w:val="00D32225"/>
    <w:rsid w:val="00D3396D"/>
    <w:rsid w:val="00D33B76"/>
    <w:rsid w:val="00D368E2"/>
    <w:rsid w:val="00D36F2D"/>
    <w:rsid w:val="00D37194"/>
    <w:rsid w:val="00D40375"/>
    <w:rsid w:val="00D411A0"/>
    <w:rsid w:val="00D42B57"/>
    <w:rsid w:val="00D44E92"/>
    <w:rsid w:val="00D45399"/>
    <w:rsid w:val="00D468D6"/>
    <w:rsid w:val="00D46D5F"/>
    <w:rsid w:val="00D47112"/>
    <w:rsid w:val="00D472BB"/>
    <w:rsid w:val="00D503B0"/>
    <w:rsid w:val="00D51319"/>
    <w:rsid w:val="00D522FC"/>
    <w:rsid w:val="00D5390E"/>
    <w:rsid w:val="00D601B9"/>
    <w:rsid w:val="00D66B03"/>
    <w:rsid w:val="00D66EF0"/>
    <w:rsid w:val="00D66F3B"/>
    <w:rsid w:val="00D6773F"/>
    <w:rsid w:val="00D71464"/>
    <w:rsid w:val="00D74006"/>
    <w:rsid w:val="00D7482A"/>
    <w:rsid w:val="00D76978"/>
    <w:rsid w:val="00D813AE"/>
    <w:rsid w:val="00D84E15"/>
    <w:rsid w:val="00D85949"/>
    <w:rsid w:val="00D860FA"/>
    <w:rsid w:val="00D9283E"/>
    <w:rsid w:val="00D940F8"/>
    <w:rsid w:val="00D95DBF"/>
    <w:rsid w:val="00D96426"/>
    <w:rsid w:val="00D97639"/>
    <w:rsid w:val="00DA08A7"/>
    <w:rsid w:val="00DA0F76"/>
    <w:rsid w:val="00DA13E5"/>
    <w:rsid w:val="00DA3735"/>
    <w:rsid w:val="00DA589A"/>
    <w:rsid w:val="00DA6538"/>
    <w:rsid w:val="00DA774B"/>
    <w:rsid w:val="00DB75BF"/>
    <w:rsid w:val="00DB75E3"/>
    <w:rsid w:val="00DC0B15"/>
    <w:rsid w:val="00DC370C"/>
    <w:rsid w:val="00DC3B9E"/>
    <w:rsid w:val="00DC4C6B"/>
    <w:rsid w:val="00DC7ACC"/>
    <w:rsid w:val="00DD16BC"/>
    <w:rsid w:val="00DD229E"/>
    <w:rsid w:val="00DD5817"/>
    <w:rsid w:val="00DD676B"/>
    <w:rsid w:val="00DD7ACF"/>
    <w:rsid w:val="00DE0890"/>
    <w:rsid w:val="00DE1B9C"/>
    <w:rsid w:val="00DE5A36"/>
    <w:rsid w:val="00DF561F"/>
    <w:rsid w:val="00DF6CAD"/>
    <w:rsid w:val="00DF773F"/>
    <w:rsid w:val="00E03C09"/>
    <w:rsid w:val="00E049BE"/>
    <w:rsid w:val="00E04D74"/>
    <w:rsid w:val="00E12CB7"/>
    <w:rsid w:val="00E1674B"/>
    <w:rsid w:val="00E16B38"/>
    <w:rsid w:val="00E17695"/>
    <w:rsid w:val="00E23CE9"/>
    <w:rsid w:val="00E23EC5"/>
    <w:rsid w:val="00E30AEC"/>
    <w:rsid w:val="00E30FBC"/>
    <w:rsid w:val="00E35FB5"/>
    <w:rsid w:val="00E36572"/>
    <w:rsid w:val="00E4191B"/>
    <w:rsid w:val="00E55A01"/>
    <w:rsid w:val="00E56589"/>
    <w:rsid w:val="00E635A2"/>
    <w:rsid w:val="00E663FA"/>
    <w:rsid w:val="00E67E62"/>
    <w:rsid w:val="00E70029"/>
    <w:rsid w:val="00E701F8"/>
    <w:rsid w:val="00E707E6"/>
    <w:rsid w:val="00E711E1"/>
    <w:rsid w:val="00E7140B"/>
    <w:rsid w:val="00E7220C"/>
    <w:rsid w:val="00E73AC9"/>
    <w:rsid w:val="00E8340D"/>
    <w:rsid w:val="00E838D8"/>
    <w:rsid w:val="00E83E68"/>
    <w:rsid w:val="00E90378"/>
    <w:rsid w:val="00E914C4"/>
    <w:rsid w:val="00E94CDA"/>
    <w:rsid w:val="00E953A9"/>
    <w:rsid w:val="00E957C5"/>
    <w:rsid w:val="00E95F96"/>
    <w:rsid w:val="00EA04E4"/>
    <w:rsid w:val="00EA0BFF"/>
    <w:rsid w:val="00EA2166"/>
    <w:rsid w:val="00EA6C28"/>
    <w:rsid w:val="00EB3871"/>
    <w:rsid w:val="00EC1BC5"/>
    <w:rsid w:val="00EC6A13"/>
    <w:rsid w:val="00EC6DAE"/>
    <w:rsid w:val="00EC7AFA"/>
    <w:rsid w:val="00EC7E0C"/>
    <w:rsid w:val="00ED755D"/>
    <w:rsid w:val="00EE0BDB"/>
    <w:rsid w:val="00EE0D8C"/>
    <w:rsid w:val="00EE1D19"/>
    <w:rsid w:val="00EE27CA"/>
    <w:rsid w:val="00EE320D"/>
    <w:rsid w:val="00EE45D1"/>
    <w:rsid w:val="00EE79DA"/>
    <w:rsid w:val="00EF3253"/>
    <w:rsid w:val="00F03868"/>
    <w:rsid w:val="00F043F2"/>
    <w:rsid w:val="00F04E9D"/>
    <w:rsid w:val="00F0655B"/>
    <w:rsid w:val="00F079FC"/>
    <w:rsid w:val="00F07B1B"/>
    <w:rsid w:val="00F10F54"/>
    <w:rsid w:val="00F1153E"/>
    <w:rsid w:val="00F11F88"/>
    <w:rsid w:val="00F1224F"/>
    <w:rsid w:val="00F229E8"/>
    <w:rsid w:val="00F23BBA"/>
    <w:rsid w:val="00F27F07"/>
    <w:rsid w:val="00F31932"/>
    <w:rsid w:val="00F329CF"/>
    <w:rsid w:val="00F332B3"/>
    <w:rsid w:val="00F33E98"/>
    <w:rsid w:val="00F34DA3"/>
    <w:rsid w:val="00F4030D"/>
    <w:rsid w:val="00F422B5"/>
    <w:rsid w:val="00F44259"/>
    <w:rsid w:val="00F45314"/>
    <w:rsid w:val="00F467E6"/>
    <w:rsid w:val="00F4754F"/>
    <w:rsid w:val="00F535D2"/>
    <w:rsid w:val="00F61A2D"/>
    <w:rsid w:val="00F622C1"/>
    <w:rsid w:val="00F63CAD"/>
    <w:rsid w:val="00F64D6F"/>
    <w:rsid w:val="00F67BA0"/>
    <w:rsid w:val="00F704E2"/>
    <w:rsid w:val="00F70F3A"/>
    <w:rsid w:val="00F71B92"/>
    <w:rsid w:val="00F7509D"/>
    <w:rsid w:val="00F7513C"/>
    <w:rsid w:val="00F769D6"/>
    <w:rsid w:val="00F80C21"/>
    <w:rsid w:val="00F81954"/>
    <w:rsid w:val="00F81C8B"/>
    <w:rsid w:val="00F827D5"/>
    <w:rsid w:val="00F8475B"/>
    <w:rsid w:val="00F9284A"/>
    <w:rsid w:val="00FA0B28"/>
    <w:rsid w:val="00FA3862"/>
    <w:rsid w:val="00FA47EC"/>
    <w:rsid w:val="00FA6610"/>
    <w:rsid w:val="00FA6D53"/>
    <w:rsid w:val="00FA7283"/>
    <w:rsid w:val="00FB4B10"/>
    <w:rsid w:val="00FB5E52"/>
    <w:rsid w:val="00FC11CA"/>
    <w:rsid w:val="00FC1272"/>
    <w:rsid w:val="00FC3DC8"/>
    <w:rsid w:val="00FC4BD7"/>
    <w:rsid w:val="00FC7B58"/>
    <w:rsid w:val="00FC7C4F"/>
    <w:rsid w:val="00FD20C1"/>
    <w:rsid w:val="00FD2D28"/>
    <w:rsid w:val="00FD38EB"/>
    <w:rsid w:val="00FD3956"/>
    <w:rsid w:val="00FD54B8"/>
    <w:rsid w:val="00FE55D8"/>
    <w:rsid w:val="00FE5B45"/>
    <w:rsid w:val="00FE6B8B"/>
    <w:rsid w:val="00FF0A69"/>
    <w:rsid w:val="00FF3F8B"/>
    <w:rsid w:val="00FF6F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AEDFC"/>
  <w15:chartTrackingRefBased/>
  <w15:docId w15:val="{08222EE8-C7AF-44E4-B899-2C534DB6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5A0D"/>
    <w:rPr>
      <w:sz w:val="20"/>
      <w:szCs w:val="20"/>
    </w:rPr>
  </w:style>
  <w:style w:type="character" w:customStyle="1" w:styleId="FootnoteTextChar">
    <w:name w:val="Footnote Text Char"/>
    <w:basedOn w:val="DefaultParagraphFont"/>
    <w:link w:val="FootnoteText"/>
    <w:uiPriority w:val="99"/>
    <w:semiHidden/>
    <w:rsid w:val="000F5A0D"/>
    <w:rPr>
      <w:sz w:val="20"/>
      <w:szCs w:val="20"/>
    </w:rPr>
  </w:style>
  <w:style w:type="character" w:styleId="FootnoteReference">
    <w:name w:val="footnote reference"/>
    <w:basedOn w:val="DefaultParagraphFont"/>
    <w:uiPriority w:val="99"/>
    <w:semiHidden/>
    <w:unhideWhenUsed/>
    <w:rsid w:val="000F5A0D"/>
    <w:rPr>
      <w:vertAlign w:val="superscript"/>
    </w:rPr>
  </w:style>
  <w:style w:type="paragraph" w:styleId="Header">
    <w:name w:val="header"/>
    <w:basedOn w:val="Normal"/>
    <w:link w:val="HeaderChar"/>
    <w:uiPriority w:val="99"/>
    <w:unhideWhenUsed/>
    <w:rsid w:val="00BA3D80"/>
    <w:pPr>
      <w:tabs>
        <w:tab w:val="center" w:pos="4153"/>
        <w:tab w:val="right" w:pos="8306"/>
      </w:tabs>
    </w:pPr>
  </w:style>
  <w:style w:type="character" w:customStyle="1" w:styleId="HeaderChar">
    <w:name w:val="Header Char"/>
    <w:basedOn w:val="DefaultParagraphFont"/>
    <w:link w:val="Header"/>
    <w:uiPriority w:val="99"/>
    <w:rsid w:val="00BA3D80"/>
  </w:style>
  <w:style w:type="paragraph" w:styleId="Footer">
    <w:name w:val="footer"/>
    <w:basedOn w:val="Normal"/>
    <w:link w:val="FooterChar"/>
    <w:uiPriority w:val="99"/>
    <w:unhideWhenUsed/>
    <w:rsid w:val="00BA3D80"/>
    <w:pPr>
      <w:tabs>
        <w:tab w:val="center" w:pos="4153"/>
        <w:tab w:val="right" w:pos="8306"/>
      </w:tabs>
    </w:pPr>
  </w:style>
  <w:style w:type="character" w:customStyle="1" w:styleId="FooterChar">
    <w:name w:val="Footer Char"/>
    <w:basedOn w:val="DefaultParagraphFont"/>
    <w:link w:val="Footer"/>
    <w:uiPriority w:val="99"/>
    <w:rsid w:val="00BA3D80"/>
  </w:style>
  <w:style w:type="paragraph" w:styleId="NormalWeb">
    <w:name w:val="Normal (Web)"/>
    <w:basedOn w:val="Normal"/>
    <w:uiPriority w:val="99"/>
    <w:rsid w:val="00BA3D80"/>
    <w:pPr>
      <w:spacing w:before="100" w:beforeAutospacing="1" w:after="100" w:afterAutospacing="1"/>
    </w:pPr>
    <w:rPr>
      <w:rFonts w:eastAsia="Times New Roman"/>
      <w:lang w:eastAsia="lv-LV"/>
    </w:rPr>
  </w:style>
  <w:style w:type="paragraph" w:styleId="BalloonText">
    <w:name w:val="Balloon Text"/>
    <w:basedOn w:val="Normal"/>
    <w:link w:val="BalloonTextChar"/>
    <w:uiPriority w:val="99"/>
    <w:semiHidden/>
    <w:unhideWhenUsed/>
    <w:rsid w:val="00FA0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28"/>
    <w:rPr>
      <w:rFonts w:ascii="Segoe UI" w:hAnsi="Segoe UI" w:cs="Segoe UI"/>
      <w:sz w:val="18"/>
      <w:szCs w:val="18"/>
    </w:rPr>
  </w:style>
  <w:style w:type="character" w:styleId="CommentReference">
    <w:name w:val="annotation reference"/>
    <w:basedOn w:val="DefaultParagraphFont"/>
    <w:uiPriority w:val="99"/>
    <w:semiHidden/>
    <w:unhideWhenUsed/>
    <w:rsid w:val="004A7EB0"/>
    <w:rPr>
      <w:sz w:val="16"/>
      <w:szCs w:val="16"/>
    </w:rPr>
  </w:style>
  <w:style w:type="paragraph" w:styleId="CommentText">
    <w:name w:val="annotation text"/>
    <w:basedOn w:val="Normal"/>
    <w:link w:val="CommentTextChar"/>
    <w:uiPriority w:val="99"/>
    <w:unhideWhenUsed/>
    <w:rsid w:val="004A7EB0"/>
    <w:rPr>
      <w:sz w:val="20"/>
      <w:szCs w:val="20"/>
    </w:rPr>
  </w:style>
  <w:style w:type="character" w:customStyle="1" w:styleId="CommentTextChar">
    <w:name w:val="Comment Text Char"/>
    <w:basedOn w:val="DefaultParagraphFont"/>
    <w:link w:val="CommentText"/>
    <w:uiPriority w:val="99"/>
    <w:rsid w:val="004A7EB0"/>
    <w:rPr>
      <w:sz w:val="20"/>
      <w:szCs w:val="20"/>
    </w:rPr>
  </w:style>
  <w:style w:type="paragraph" w:styleId="CommentSubject">
    <w:name w:val="annotation subject"/>
    <w:basedOn w:val="CommentText"/>
    <w:next w:val="CommentText"/>
    <w:link w:val="CommentSubjectChar"/>
    <w:uiPriority w:val="99"/>
    <w:semiHidden/>
    <w:unhideWhenUsed/>
    <w:rsid w:val="004A7EB0"/>
    <w:rPr>
      <w:b/>
      <w:bCs/>
    </w:rPr>
  </w:style>
  <w:style w:type="character" w:customStyle="1" w:styleId="CommentSubjectChar">
    <w:name w:val="Comment Subject Char"/>
    <w:basedOn w:val="CommentTextChar"/>
    <w:link w:val="CommentSubject"/>
    <w:uiPriority w:val="99"/>
    <w:semiHidden/>
    <w:rsid w:val="004A7EB0"/>
    <w:rPr>
      <w:b/>
      <w:bCs/>
      <w:sz w:val="20"/>
      <w:szCs w:val="20"/>
    </w:rPr>
  </w:style>
  <w:style w:type="paragraph" w:styleId="EndnoteText">
    <w:name w:val="endnote text"/>
    <w:basedOn w:val="Normal"/>
    <w:link w:val="EndnoteTextChar"/>
    <w:uiPriority w:val="99"/>
    <w:semiHidden/>
    <w:unhideWhenUsed/>
    <w:rsid w:val="009216CD"/>
    <w:rPr>
      <w:sz w:val="20"/>
      <w:szCs w:val="20"/>
    </w:rPr>
  </w:style>
  <w:style w:type="character" w:customStyle="1" w:styleId="EndnoteTextChar">
    <w:name w:val="Endnote Text Char"/>
    <w:basedOn w:val="DefaultParagraphFont"/>
    <w:link w:val="EndnoteText"/>
    <w:uiPriority w:val="99"/>
    <w:semiHidden/>
    <w:rsid w:val="009216CD"/>
    <w:rPr>
      <w:sz w:val="20"/>
      <w:szCs w:val="20"/>
    </w:rPr>
  </w:style>
  <w:style w:type="character" w:styleId="EndnoteReference">
    <w:name w:val="endnote reference"/>
    <w:basedOn w:val="DefaultParagraphFont"/>
    <w:uiPriority w:val="99"/>
    <w:semiHidden/>
    <w:unhideWhenUsed/>
    <w:rsid w:val="009216CD"/>
    <w:rPr>
      <w:vertAlign w:val="superscript"/>
    </w:rPr>
  </w:style>
  <w:style w:type="paragraph" w:customStyle="1" w:styleId="naisf">
    <w:name w:val="naisf"/>
    <w:basedOn w:val="Normal"/>
    <w:rsid w:val="00757DF4"/>
    <w:pPr>
      <w:spacing w:before="100" w:beforeAutospacing="1" w:after="100" w:afterAutospacing="1"/>
    </w:pPr>
    <w:rPr>
      <w:rFonts w:eastAsia="Times New Roman"/>
      <w:lang w:eastAsia="lv-LV"/>
    </w:rPr>
  </w:style>
  <w:style w:type="paragraph" w:styleId="ListParagraph">
    <w:name w:val="List Paragraph"/>
    <w:basedOn w:val="Normal"/>
    <w:uiPriority w:val="34"/>
    <w:qFormat/>
    <w:rsid w:val="001C4A54"/>
    <w:pPr>
      <w:ind w:left="720"/>
      <w:contextualSpacing/>
    </w:pPr>
  </w:style>
  <w:style w:type="paragraph" w:styleId="Revision">
    <w:name w:val="Revision"/>
    <w:hidden/>
    <w:uiPriority w:val="99"/>
    <w:semiHidden/>
    <w:rsid w:val="00B633AD"/>
  </w:style>
  <w:style w:type="character" w:styleId="Hyperlink">
    <w:name w:val="Hyperlink"/>
    <w:basedOn w:val="DefaultParagraphFont"/>
    <w:uiPriority w:val="99"/>
    <w:unhideWhenUsed/>
    <w:rsid w:val="00027B42"/>
    <w:rPr>
      <w:color w:val="0563C1" w:themeColor="hyperlink"/>
      <w:u w:val="single"/>
    </w:rPr>
  </w:style>
  <w:style w:type="character" w:styleId="UnresolvedMention">
    <w:name w:val="Unresolved Mention"/>
    <w:basedOn w:val="DefaultParagraphFont"/>
    <w:uiPriority w:val="99"/>
    <w:semiHidden/>
    <w:unhideWhenUsed/>
    <w:rsid w:val="00027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CF6AC-3A93-40C4-9B49-62779A0CDAF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1731</Words>
  <Characters>12568</Characters>
  <Application>Microsoft Office Word</Application>
  <DocSecurity>0</DocSecurity>
  <Lines>1396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Liene Maldupe</cp:lastModifiedBy>
  <cp:revision>2</cp:revision>
  <cp:lastPrinted>2026-04-01T12:00:00Z</cp:lastPrinted>
  <dcterms:created xsi:type="dcterms:W3CDTF">2026-04-02T07:32:00Z</dcterms:created>
  <dcterms:modified xsi:type="dcterms:W3CDTF">2026-04-02T07:32:00Z</dcterms:modified>
</cp:coreProperties>
</file>