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D157" w14:textId="4AC07969" w:rsidR="001470C3" w:rsidRPr="0032370A" w:rsidRDefault="0032370A" w:rsidP="0032370A">
      <w:pPr>
        <w:pStyle w:val="Heading4"/>
        <w:jc w:val="center"/>
        <w:rPr>
          <w:sz w:val="28"/>
          <w:szCs w:val="28"/>
        </w:rPr>
      </w:pPr>
      <w:r w:rsidRPr="0032370A">
        <w:rPr>
          <w:sz w:val="28"/>
          <w:szCs w:val="28"/>
        </w:rPr>
        <w:t>Informācija par piemaksām,</w:t>
      </w:r>
      <w:r>
        <w:rPr>
          <w:sz w:val="28"/>
          <w:szCs w:val="28"/>
        </w:rPr>
        <w:t xml:space="preserve"> </w:t>
      </w:r>
      <w:r w:rsidRPr="0032370A">
        <w:rPr>
          <w:sz w:val="28"/>
          <w:szCs w:val="28"/>
        </w:rPr>
        <w:t>prēmijām un naudas balvām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8"/>
        <w:gridCol w:w="3685"/>
        <w:gridCol w:w="3685"/>
        <w:gridCol w:w="5590"/>
      </w:tblGrid>
      <w:tr w:rsidR="008A23D0" w14:paraId="6D84CBC9" w14:textId="77777777" w:rsidTr="00CA7527">
        <w:tc>
          <w:tcPr>
            <w:tcW w:w="354" w:type="pct"/>
          </w:tcPr>
          <w:p w14:paraId="7F2C5CE3" w14:textId="1DAC1248" w:rsidR="008A23D0" w:rsidRPr="0032370A" w:rsidRDefault="008A23D0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color w:val="1C1C1C"/>
                <w:lang w:eastAsia="lv-LV"/>
              </w:rPr>
            </w:pPr>
            <w:r w:rsidRPr="0032370A">
              <w:rPr>
                <w:rFonts w:eastAsia="Times New Roman"/>
                <w:b/>
                <w:bCs/>
                <w:lang w:eastAsia="lv-LV"/>
              </w:rPr>
              <w:t>Nr. p. k</w:t>
            </w:r>
            <w:r w:rsidR="0032370A">
              <w:rPr>
                <w:rFonts w:eastAsia="Times New Roman"/>
                <w:b/>
                <w:bCs/>
                <w:lang w:eastAsia="lv-LV"/>
              </w:rPr>
              <w:t>.</w:t>
            </w:r>
          </w:p>
        </w:tc>
        <w:tc>
          <w:tcPr>
            <w:tcW w:w="1321" w:type="pct"/>
          </w:tcPr>
          <w:p w14:paraId="63F46C8B" w14:textId="31143338" w:rsidR="008A23D0" w:rsidRPr="0032370A" w:rsidRDefault="008A23D0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color w:val="1C1C1C"/>
                <w:lang w:eastAsia="lv-LV"/>
              </w:rPr>
            </w:pPr>
            <w:r w:rsidRPr="0032370A">
              <w:rPr>
                <w:rFonts w:eastAsia="Times New Roman"/>
                <w:b/>
                <w:bCs/>
                <w:lang w:eastAsia="lv-LV"/>
              </w:rPr>
              <w:t>Piemaksas vai prēmijas veids, naudas balva</w:t>
            </w:r>
          </w:p>
        </w:tc>
        <w:tc>
          <w:tcPr>
            <w:tcW w:w="1321" w:type="pct"/>
          </w:tcPr>
          <w:p w14:paraId="32F508E8" w14:textId="1C8646B3" w:rsidR="008A23D0" w:rsidRPr="0032370A" w:rsidRDefault="008A23D0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color w:val="1C1C1C"/>
                <w:lang w:eastAsia="lv-LV"/>
              </w:rPr>
            </w:pPr>
            <w:r w:rsidRPr="0032370A">
              <w:rPr>
                <w:rFonts w:eastAsia="Times New Roman"/>
                <w:b/>
                <w:bCs/>
                <w:lang w:eastAsia="lv-LV"/>
              </w:rPr>
              <w:t>Piemaksas, prēmijas vai naudas balvas apmērs</w:t>
            </w:r>
            <w:r w:rsidR="0032370A">
              <w:rPr>
                <w:rFonts w:eastAsia="Times New Roman"/>
                <w:b/>
                <w:bCs/>
                <w:lang w:eastAsia="lv-LV"/>
              </w:rPr>
              <w:t xml:space="preserve"> </w:t>
            </w:r>
            <w:r w:rsidRPr="0032370A">
              <w:rPr>
                <w:rFonts w:eastAsia="Times New Roman"/>
                <w:lang w:eastAsia="lv-LV"/>
              </w:rPr>
              <w:t>(</w:t>
            </w:r>
            <w:proofErr w:type="spellStart"/>
            <w:r w:rsidRPr="0032370A">
              <w:rPr>
                <w:rFonts w:eastAsia="Times New Roman"/>
                <w:i/>
                <w:iCs/>
                <w:lang w:eastAsia="lv-LV"/>
              </w:rPr>
              <w:t>euro</w:t>
            </w:r>
            <w:proofErr w:type="spellEnd"/>
            <w:r w:rsidRPr="0032370A">
              <w:rPr>
                <w:rFonts w:eastAsia="Times New Roman"/>
                <w:lang w:eastAsia="lv-LV"/>
              </w:rPr>
              <w:t> vai %)</w:t>
            </w:r>
          </w:p>
        </w:tc>
        <w:tc>
          <w:tcPr>
            <w:tcW w:w="2004" w:type="pct"/>
          </w:tcPr>
          <w:p w14:paraId="7D638225" w14:textId="366C1DBB" w:rsidR="008A23D0" w:rsidRPr="0032370A" w:rsidRDefault="008A23D0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color w:val="1C1C1C"/>
                <w:lang w:eastAsia="lv-LV"/>
              </w:rPr>
            </w:pPr>
            <w:r w:rsidRPr="0032370A">
              <w:rPr>
                <w:rFonts w:eastAsia="Times New Roman"/>
                <w:b/>
                <w:bCs/>
                <w:lang w:eastAsia="lv-LV"/>
              </w:rPr>
              <w:t>Piešķiršanas pamatojums vai kritēriji</w:t>
            </w:r>
          </w:p>
        </w:tc>
      </w:tr>
      <w:tr w:rsidR="008A23D0" w14:paraId="3840B0A9" w14:textId="77777777" w:rsidTr="00CA7527">
        <w:tc>
          <w:tcPr>
            <w:tcW w:w="354" w:type="pct"/>
          </w:tcPr>
          <w:p w14:paraId="1A8AD216" w14:textId="3F942FCC" w:rsidR="008A23D0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t>1.</w:t>
            </w:r>
          </w:p>
        </w:tc>
        <w:tc>
          <w:tcPr>
            <w:tcW w:w="1321" w:type="pct"/>
          </w:tcPr>
          <w:p w14:paraId="5AAA5767" w14:textId="5FA0541B" w:rsidR="008A23D0" w:rsidRDefault="008A23D0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 w:rsidRPr="001470C3">
              <w:rPr>
                <w:rFonts w:ascii="RobustaTLPro-Medium" w:eastAsia="Times New Roman" w:hAnsi="RobustaTLPro-Medium"/>
                <w:lang w:eastAsia="lv-LV"/>
              </w:rPr>
              <w:t>Prēmija </w:t>
            </w:r>
            <w:r w:rsidRPr="001470C3">
              <w:rPr>
                <w:rFonts w:eastAsia="Times New Roman"/>
                <w:lang w:eastAsia="lv-LV"/>
              </w:rPr>
              <w:t xml:space="preserve"> saskaņā ar darbinieka/ierēdņa darba izpildes </w:t>
            </w:r>
            <w:r>
              <w:rPr>
                <w:rFonts w:eastAsia="Times New Roman"/>
                <w:lang w:eastAsia="lv-LV"/>
              </w:rPr>
              <w:t xml:space="preserve">ikgadējo </w:t>
            </w:r>
            <w:r w:rsidRPr="001470C3">
              <w:rPr>
                <w:rFonts w:eastAsia="Times New Roman"/>
                <w:lang w:eastAsia="lv-LV"/>
              </w:rPr>
              <w:t xml:space="preserve">novērtējumu </w:t>
            </w:r>
            <w:r w:rsidR="00080A86">
              <w:rPr>
                <w:rFonts w:eastAsia="Times New Roman"/>
                <w:lang w:eastAsia="lv-LV"/>
              </w:rPr>
              <w:t>(</w:t>
            </w:r>
            <w:r w:rsidR="00961321">
              <w:rPr>
                <w:rFonts w:eastAsia="Times New Roman"/>
                <w:lang w:eastAsia="lv-LV"/>
              </w:rPr>
              <w:t xml:space="preserve">par 2025.gada darba </w:t>
            </w:r>
            <w:r w:rsidR="00080A86">
              <w:rPr>
                <w:rFonts w:eastAsia="Times New Roman"/>
                <w:lang w:eastAsia="lv-LV"/>
              </w:rPr>
              <w:t xml:space="preserve">izpildes </w:t>
            </w:r>
            <w:r w:rsidR="00961321">
              <w:rPr>
                <w:rFonts w:eastAsia="Times New Roman"/>
                <w:lang w:eastAsia="lv-LV"/>
              </w:rPr>
              <w:t>rezultātiem</w:t>
            </w:r>
            <w:r w:rsidR="00080A86">
              <w:rPr>
                <w:rFonts w:eastAsia="Times New Roman"/>
                <w:lang w:eastAsia="lv-LV"/>
              </w:rPr>
              <w:t>)</w:t>
            </w:r>
            <w:r w:rsidR="00961321">
              <w:rPr>
                <w:rFonts w:eastAsia="Times New Roman"/>
                <w:lang w:eastAsia="lv-LV"/>
              </w:rPr>
              <w:t>.</w:t>
            </w:r>
          </w:p>
        </w:tc>
        <w:tc>
          <w:tcPr>
            <w:tcW w:w="1321" w:type="pct"/>
          </w:tcPr>
          <w:p w14:paraId="1741FE1D" w14:textId="6A44C8C4" w:rsidR="008A23D0" w:rsidRPr="001470C3" w:rsidRDefault="00FF53C2" w:rsidP="0032370A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1) </w:t>
            </w:r>
            <w:r w:rsidR="008A23D0" w:rsidRPr="001470C3">
              <w:rPr>
                <w:rFonts w:eastAsia="Times New Roman"/>
                <w:lang w:eastAsia="lv-LV"/>
              </w:rPr>
              <w:t>75 % no mēneša algas, ja darba izpildes novērtējums ir "teicami";</w:t>
            </w:r>
          </w:p>
          <w:p w14:paraId="59BE5B4D" w14:textId="26539193" w:rsidR="008A23D0" w:rsidRPr="001470C3" w:rsidRDefault="00FF53C2" w:rsidP="0032370A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2) </w:t>
            </w:r>
            <w:r w:rsidR="008A23D0" w:rsidRPr="001470C3">
              <w:rPr>
                <w:rFonts w:eastAsia="Times New Roman"/>
                <w:lang w:eastAsia="lv-LV"/>
              </w:rPr>
              <w:t>65 % no mēneša algas, ja novērtējums ir "ļoti labi";</w:t>
            </w:r>
          </w:p>
          <w:p w14:paraId="53E7FA36" w14:textId="2C318E7B" w:rsidR="008A23D0" w:rsidRDefault="00FF53C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3) </w:t>
            </w:r>
            <w:r w:rsidR="008A23D0" w:rsidRPr="001470C3">
              <w:rPr>
                <w:rFonts w:eastAsia="Times New Roman"/>
                <w:lang w:eastAsia="lv-LV"/>
              </w:rPr>
              <w:t>55 % no mēneša algas, ja novērtējums ir "labi".</w:t>
            </w:r>
          </w:p>
        </w:tc>
        <w:tc>
          <w:tcPr>
            <w:tcW w:w="2004" w:type="pct"/>
          </w:tcPr>
          <w:p w14:paraId="63245A8A" w14:textId="0433D84F" w:rsidR="008A23D0" w:rsidRDefault="008A23D0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Valsts un pašvaldību institūciju amatpersonu un darbinieku atlīdzības likuma (turpmāk –VPIADAL) 16.panta otrā daļā;</w:t>
            </w:r>
          </w:p>
          <w:p w14:paraId="04B24225" w14:textId="21466C47" w:rsidR="008A23D0" w:rsidRPr="001470C3" w:rsidRDefault="008330CA" w:rsidP="0032370A">
            <w:pPr>
              <w:rPr>
                <w:rFonts w:eastAsia="Times New Roman"/>
                <w:lang w:eastAsia="lv-LV"/>
              </w:rPr>
            </w:pPr>
            <w:r>
              <w:rPr>
                <w:bCs/>
              </w:rPr>
              <w:t xml:space="preserve">Ministru kabineta 2022.gada 21.jūnija </w:t>
            </w:r>
            <w:r w:rsidR="008A23D0">
              <w:rPr>
                <w:bCs/>
              </w:rPr>
              <w:t>noteikumi Nr.361</w:t>
            </w:r>
            <w:r>
              <w:rPr>
                <w:bCs/>
              </w:rPr>
              <w:t xml:space="preserve"> “Noteikumi par valsts institūciju amatpersonu un darbinieku darba samaksu un tās noteikšanas kārtību, kā arī par profesijām un specifiskajām jomām, kurām piemērojams tirgus koeficients”</w:t>
            </w:r>
            <w:r w:rsidR="008A23D0">
              <w:rPr>
                <w:bCs/>
              </w:rPr>
              <w:t>, 25.punkts</w:t>
            </w:r>
          </w:p>
          <w:p w14:paraId="0576C3C3" w14:textId="77777777" w:rsidR="008A23D0" w:rsidRDefault="008A23D0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</w:p>
        </w:tc>
      </w:tr>
      <w:tr w:rsidR="008A23D0" w14:paraId="67572F49" w14:textId="77777777" w:rsidTr="00CA7527">
        <w:tc>
          <w:tcPr>
            <w:tcW w:w="354" w:type="pct"/>
          </w:tcPr>
          <w:p w14:paraId="24C60C4D" w14:textId="4F945A0F" w:rsidR="008A23D0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t>2.</w:t>
            </w:r>
          </w:p>
        </w:tc>
        <w:tc>
          <w:tcPr>
            <w:tcW w:w="1321" w:type="pct"/>
          </w:tcPr>
          <w:p w14:paraId="5CD2B5B2" w14:textId="2C80C0D1" w:rsidR="008A23D0" w:rsidRDefault="008A23D0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 w:rsidRPr="001470C3">
              <w:rPr>
                <w:rFonts w:ascii="RobustaTLPro-Medium" w:eastAsia="Times New Roman" w:hAnsi="RobustaTLPro-Medium"/>
                <w:lang w:eastAsia="lv-LV"/>
              </w:rPr>
              <w:t>Piemaksa</w:t>
            </w:r>
            <w:r w:rsidRPr="001470C3">
              <w:rPr>
                <w:rFonts w:eastAsia="Times New Roman"/>
                <w:lang w:eastAsia="lv-LV"/>
              </w:rPr>
              <w:t> </w:t>
            </w:r>
            <w:r>
              <w:rPr>
                <w:rFonts w:eastAsia="Times New Roman"/>
                <w:lang w:eastAsia="lv-LV"/>
              </w:rPr>
              <w:t>par nozīmīgu ieguldījumu ministrijas stratēģisko mērķu sasniegšanā</w:t>
            </w:r>
          </w:p>
        </w:tc>
        <w:tc>
          <w:tcPr>
            <w:tcW w:w="1321" w:type="pct"/>
          </w:tcPr>
          <w:p w14:paraId="1A9151B2" w14:textId="169E447D" w:rsidR="008A23D0" w:rsidRDefault="008A23D0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 xml:space="preserve">Līdz </w:t>
            </w:r>
            <w:r w:rsidR="00961321">
              <w:rPr>
                <w:rFonts w:eastAsia="Times New Roman"/>
                <w:lang w:eastAsia="lv-LV"/>
              </w:rPr>
              <w:t>2</w:t>
            </w:r>
            <w:r w:rsidRPr="001470C3">
              <w:rPr>
                <w:rFonts w:eastAsia="Times New Roman"/>
                <w:lang w:eastAsia="lv-LV"/>
              </w:rPr>
              <w:t>0% no mēneša algas</w:t>
            </w:r>
          </w:p>
        </w:tc>
        <w:tc>
          <w:tcPr>
            <w:tcW w:w="2004" w:type="pct"/>
          </w:tcPr>
          <w:p w14:paraId="2CDFE633" w14:textId="77777777" w:rsidR="008A23D0" w:rsidRPr="009763D0" w:rsidRDefault="008A23D0" w:rsidP="0032370A">
            <w:pPr>
              <w:rPr>
                <w:bCs/>
                <w:sz w:val="8"/>
                <w:szCs w:val="8"/>
              </w:rPr>
            </w:pPr>
            <w:r w:rsidRPr="001470C3">
              <w:rPr>
                <w:rFonts w:eastAsia="Times New Roman"/>
                <w:lang w:eastAsia="lv-LV"/>
              </w:rPr>
              <w:t>VPIADAL</w:t>
            </w:r>
            <w:r>
              <w:t xml:space="preserve">  14. panta divpadsmitā un 12. </w:t>
            </w:r>
            <w:r w:rsidRPr="006D3D4B">
              <w:rPr>
                <w:vertAlign w:val="superscript"/>
              </w:rPr>
              <w:t>2</w:t>
            </w:r>
            <w:r>
              <w:t xml:space="preserve"> daļa.</w:t>
            </w:r>
          </w:p>
          <w:p w14:paraId="248F052D" w14:textId="77777777" w:rsidR="008A23D0" w:rsidRPr="009763D0" w:rsidRDefault="008A23D0" w:rsidP="0032370A">
            <w:pPr>
              <w:rPr>
                <w:u w:val="single"/>
              </w:rPr>
            </w:pPr>
            <w:r w:rsidRPr="009763D0">
              <w:rPr>
                <w:u w:val="single"/>
              </w:rPr>
              <w:t xml:space="preserve">Darba izpildes kvalitātes kritēriji (svars </w:t>
            </w:r>
            <w:r>
              <w:rPr>
                <w:u w:val="single"/>
              </w:rPr>
              <w:t>4</w:t>
            </w:r>
            <w:r w:rsidRPr="009763D0">
              <w:rPr>
                <w:u w:val="single"/>
              </w:rPr>
              <w:t>0):</w:t>
            </w:r>
          </w:p>
          <w:p w14:paraId="4E7ACC50" w14:textId="36D40AB4" w:rsidR="008A23D0" w:rsidRDefault="008A23D0" w:rsidP="0032370A">
            <w:r>
              <w:t>1</w:t>
            </w:r>
            <w:r w:rsidRPr="009763D0">
              <w:t>) uzdevumus izpilda augstā kvalitātē (nav bijuši nepieciešami būtiski labojumi, kolēģu līdzdalība izpildes procesā);</w:t>
            </w:r>
          </w:p>
          <w:p w14:paraId="26458BD9" w14:textId="77777777" w:rsidR="008A23D0" w:rsidRPr="009763D0" w:rsidRDefault="008A23D0" w:rsidP="0032370A">
            <w:r>
              <w:t>2</w:t>
            </w:r>
            <w:r w:rsidRPr="009763D0">
              <w:t>) efektīva laika plānošana uzdevumu izpildei, optimāls darba laika patēriņš;</w:t>
            </w:r>
          </w:p>
          <w:p w14:paraId="5512D401" w14:textId="77777777" w:rsidR="008A23D0" w:rsidRPr="009763D0" w:rsidRDefault="008A23D0" w:rsidP="0032370A">
            <w:pPr>
              <w:spacing w:after="120"/>
            </w:pPr>
            <w:r>
              <w:t>3</w:t>
            </w:r>
            <w:r w:rsidRPr="009763D0">
              <w:t xml:space="preserve">) konstruktīva sadarbība, nodrošinot uzdevumu izpildi </w:t>
            </w:r>
          </w:p>
          <w:p w14:paraId="4E5C11D7" w14:textId="77777777" w:rsidR="008A23D0" w:rsidRPr="009763D0" w:rsidRDefault="008A23D0" w:rsidP="0032370A">
            <w:pPr>
              <w:rPr>
                <w:u w:val="single"/>
              </w:rPr>
            </w:pPr>
            <w:r w:rsidRPr="009763D0">
              <w:rPr>
                <w:u w:val="single"/>
              </w:rPr>
              <w:t>Person</w:t>
            </w:r>
            <w:r>
              <w:rPr>
                <w:u w:val="single"/>
              </w:rPr>
              <w:t>īg</w:t>
            </w:r>
            <w:r w:rsidRPr="009763D0">
              <w:rPr>
                <w:u w:val="single"/>
              </w:rPr>
              <w:t xml:space="preserve">ā ieguldījuma kritēriji (svars </w:t>
            </w:r>
            <w:r>
              <w:rPr>
                <w:u w:val="single"/>
              </w:rPr>
              <w:t>6</w:t>
            </w:r>
            <w:r w:rsidRPr="009763D0">
              <w:rPr>
                <w:u w:val="single"/>
              </w:rPr>
              <w:t>0):</w:t>
            </w:r>
          </w:p>
          <w:p w14:paraId="3D253907" w14:textId="77777777" w:rsidR="008A23D0" w:rsidRPr="009763D0" w:rsidRDefault="008A23D0" w:rsidP="0032370A">
            <w:r w:rsidRPr="009763D0">
              <w:t>1) piedalās procesu vadības sistēmas pilnveidošanā, t.sk. risku pārvaldības ieviešanā;</w:t>
            </w:r>
          </w:p>
          <w:p w14:paraId="580985CD" w14:textId="77777777" w:rsidR="008A23D0" w:rsidRPr="009763D0" w:rsidRDefault="008A23D0" w:rsidP="0032370A">
            <w:r w:rsidRPr="009763D0">
              <w:t>2) iepriekšējā ceturksnī bijusi vai plānota paaugstināta intensitāte īsā laika termiņā;</w:t>
            </w:r>
          </w:p>
          <w:p w14:paraId="005EF586" w14:textId="77777777" w:rsidR="008A23D0" w:rsidRPr="009763D0" w:rsidRDefault="008A23D0" w:rsidP="0032370A">
            <w:r w:rsidRPr="009763D0">
              <w:t>3) piedalās darbinieku attīstīšanā, konsultēšanā, dalās savās zināšanās ar padotajiem vai kolēģiem;</w:t>
            </w:r>
          </w:p>
          <w:p w14:paraId="55FDC64F" w14:textId="77777777" w:rsidR="008A23D0" w:rsidRPr="009763D0" w:rsidRDefault="008A23D0" w:rsidP="0032370A">
            <w:r w:rsidRPr="009763D0">
              <w:lastRenderedPageBreak/>
              <w:t>4) izrāda iniciatīvu, piedāvā jaunus risinājumus;</w:t>
            </w:r>
          </w:p>
          <w:p w14:paraId="7FAB735A" w14:textId="25B4AB66" w:rsidR="008A23D0" w:rsidRPr="009763D0" w:rsidRDefault="008A23D0" w:rsidP="0032370A">
            <w:r w:rsidRPr="009763D0">
              <w:t>5) patstāvīgi pieņem lēmumus mērķa sasniegšanai atbilstoši amata atbildībai, nav nepieciešama pastāvīga vadītāja iesaiste.</w:t>
            </w:r>
          </w:p>
          <w:p w14:paraId="53F7DFF2" w14:textId="77777777" w:rsidR="008A23D0" w:rsidRDefault="008A23D0" w:rsidP="0032370A">
            <w:pPr>
              <w:rPr>
                <w:rFonts w:eastAsia="Times New Roman"/>
                <w:color w:val="1C1C1C"/>
                <w:lang w:eastAsia="lv-LV"/>
              </w:rPr>
            </w:pPr>
          </w:p>
        </w:tc>
      </w:tr>
      <w:tr w:rsidR="008A23D0" w14:paraId="26BFB79B" w14:textId="77777777" w:rsidTr="00CA7527">
        <w:tc>
          <w:tcPr>
            <w:tcW w:w="354" w:type="pct"/>
          </w:tcPr>
          <w:p w14:paraId="16BE04B3" w14:textId="57B7AAB7" w:rsidR="008A23D0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lastRenderedPageBreak/>
              <w:t>3.</w:t>
            </w:r>
          </w:p>
        </w:tc>
        <w:tc>
          <w:tcPr>
            <w:tcW w:w="1321" w:type="pct"/>
          </w:tcPr>
          <w:p w14:paraId="12C70033" w14:textId="5B3829CD" w:rsidR="008A23D0" w:rsidRDefault="008A23D0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 w:rsidRPr="001470C3">
              <w:rPr>
                <w:rFonts w:ascii="RobustaTLPro-Medium" w:eastAsia="Times New Roman" w:hAnsi="RobustaTLPro-Medium"/>
                <w:lang w:eastAsia="lv-LV"/>
              </w:rPr>
              <w:t>Piemaksa</w:t>
            </w:r>
            <w:r w:rsidRPr="001470C3">
              <w:rPr>
                <w:rFonts w:eastAsia="Times New Roman"/>
                <w:lang w:eastAsia="lv-LV"/>
              </w:rPr>
              <w:t xml:space="preserve">, ja darbinieks/ierēdnis papildus saviem tiešajiem amata (darba, dienesta) pienākumiem aizvieto prombūtnē esošu ierēdni/darbinieku vai pilda </w:t>
            </w:r>
            <w:r>
              <w:rPr>
                <w:rFonts w:eastAsia="Times New Roman"/>
                <w:lang w:eastAsia="lv-LV"/>
              </w:rPr>
              <w:t xml:space="preserve">vēl citus </w:t>
            </w:r>
            <w:r w:rsidRPr="001470C3">
              <w:rPr>
                <w:rFonts w:eastAsia="Times New Roman"/>
                <w:lang w:eastAsia="lv-LV"/>
              </w:rPr>
              <w:t>pienākumus</w:t>
            </w:r>
          </w:p>
        </w:tc>
        <w:tc>
          <w:tcPr>
            <w:tcW w:w="1321" w:type="pct"/>
          </w:tcPr>
          <w:p w14:paraId="775F6EB4" w14:textId="79450F07" w:rsidR="008A23D0" w:rsidRDefault="008A23D0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 xml:space="preserve">Līdz </w:t>
            </w:r>
            <w:r w:rsidR="00961321">
              <w:rPr>
                <w:rFonts w:eastAsia="Times New Roman"/>
                <w:lang w:eastAsia="lv-LV"/>
              </w:rPr>
              <w:t>2</w:t>
            </w:r>
            <w:r w:rsidRPr="001470C3">
              <w:rPr>
                <w:rFonts w:eastAsia="Times New Roman"/>
                <w:lang w:eastAsia="lv-LV"/>
              </w:rPr>
              <w:t>0% no mēnešalgas</w:t>
            </w:r>
          </w:p>
        </w:tc>
        <w:tc>
          <w:tcPr>
            <w:tcW w:w="2004" w:type="pct"/>
          </w:tcPr>
          <w:p w14:paraId="024FC64C" w14:textId="77777777" w:rsidR="002262E7" w:rsidRPr="001470C3" w:rsidRDefault="002262E7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VPIADAL 14.panta pirmā daļa.</w:t>
            </w:r>
          </w:p>
          <w:p w14:paraId="2326E8DA" w14:textId="77777777" w:rsidR="008A23D0" w:rsidRDefault="008A23D0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</w:p>
        </w:tc>
      </w:tr>
      <w:tr w:rsidR="002262E7" w14:paraId="5A5EA318" w14:textId="77777777" w:rsidTr="00CA7527">
        <w:tc>
          <w:tcPr>
            <w:tcW w:w="354" w:type="pct"/>
          </w:tcPr>
          <w:p w14:paraId="23F388EE" w14:textId="77777777" w:rsidR="002262E7" w:rsidRDefault="002262E7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</w:p>
        </w:tc>
        <w:tc>
          <w:tcPr>
            <w:tcW w:w="4646" w:type="pct"/>
            <w:gridSpan w:val="3"/>
          </w:tcPr>
          <w:p w14:paraId="0458B684" w14:textId="7C44BF02" w:rsidR="002262E7" w:rsidRDefault="002262E7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 w:rsidRPr="00FE40D3">
              <w:rPr>
                <w:b/>
                <w:bCs/>
                <w:i/>
                <w:iCs/>
              </w:rPr>
              <w:t xml:space="preserve">Ja vienlaikus piemēro no šīs tabulas 2. un 3. minētajām piemaksām, to kopsumma nepārsniedz </w:t>
            </w:r>
            <w:r w:rsidR="009A1D22">
              <w:rPr>
                <w:b/>
                <w:bCs/>
                <w:i/>
                <w:iCs/>
              </w:rPr>
              <w:t>2</w:t>
            </w:r>
            <w:r w:rsidRPr="00FE40D3">
              <w:rPr>
                <w:b/>
                <w:bCs/>
                <w:i/>
                <w:iCs/>
              </w:rPr>
              <w:t xml:space="preserve">0%. </w:t>
            </w:r>
            <w:r w:rsidRPr="001470C3">
              <w:rPr>
                <w:rFonts w:eastAsia="Times New Roman"/>
                <w:b/>
                <w:bCs/>
                <w:i/>
                <w:iCs/>
                <w:lang w:eastAsia="lv-LV"/>
              </w:rPr>
              <w:t>VPIADAL</w:t>
            </w:r>
            <w:r w:rsidRPr="00FE40D3">
              <w:rPr>
                <w:b/>
                <w:bCs/>
                <w:i/>
                <w:iCs/>
              </w:rPr>
              <w:t xml:space="preserve"> 14. panta trīspadsmitā daļa</w:t>
            </w:r>
          </w:p>
        </w:tc>
      </w:tr>
      <w:tr w:rsidR="002262E7" w14:paraId="413471D4" w14:textId="77777777" w:rsidTr="00CA7527">
        <w:tc>
          <w:tcPr>
            <w:tcW w:w="354" w:type="pct"/>
          </w:tcPr>
          <w:p w14:paraId="614148DB" w14:textId="4105E143" w:rsidR="002262E7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t>4.</w:t>
            </w:r>
          </w:p>
        </w:tc>
        <w:tc>
          <w:tcPr>
            <w:tcW w:w="1321" w:type="pct"/>
          </w:tcPr>
          <w:p w14:paraId="2094E336" w14:textId="3764C1C7" w:rsidR="002262E7" w:rsidRDefault="002262E7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t>Piemaksa par virsstundu darbu</w:t>
            </w:r>
          </w:p>
        </w:tc>
        <w:tc>
          <w:tcPr>
            <w:tcW w:w="1321" w:type="pct"/>
          </w:tcPr>
          <w:p w14:paraId="0ADD4671" w14:textId="155DB7DC" w:rsidR="002262E7" w:rsidRDefault="009A1D2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t>75</w:t>
            </w:r>
            <w:r w:rsidR="002262E7">
              <w:t xml:space="preserve"> % no noteiktās stundas algas likmes kompensē piešķirot apmaksātu atpūtas laiku atbilstoši nostrādāto virsstundu skaitam, </w:t>
            </w:r>
          </w:p>
        </w:tc>
        <w:tc>
          <w:tcPr>
            <w:tcW w:w="2004" w:type="pct"/>
          </w:tcPr>
          <w:p w14:paraId="7B35275F" w14:textId="6595184B" w:rsidR="002262E7" w:rsidRDefault="002262E7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 w:rsidRPr="001470C3">
              <w:rPr>
                <w:rFonts w:eastAsia="Times New Roman"/>
                <w:b/>
                <w:bCs/>
                <w:i/>
                <w:iCs/>
                <w:lang w:eastAsia="lv-LV"/>
              </w:rPr>
              <w:t>VPIADAL</w:t>
            </w:r>
            <w:r>
              <w:t xml:space="preserve"> 14. panta 5.</w:t>
            </w:r>
            <w:r w:rsidRPr="0047030E">
              <w:rPr>
                <w:vertAlign w:val="superscript"/>
              </w:rPr>
              <w:t>1</w:t>
            </w:r>
            <w:r>
              <w:t>daļa, sestā daļa</w:t>
            </w:r>
          </w:p>
        </w:tc>
      </w:tr>
      <w:tr w:rsidR="002262E7" w14:paraId="7B14DA7D" w14:textId="77777777" w:rsidTr="00CA7527">
        <w:tc>
          <w:tcPr>
            <w:tcW w:w="354" w:type="pct"/>
          </w:tcPr>
          <w:p w14:paraId="08ABCCF8" w14:textId="1CE5C8A7" w:rsidR="002262E7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t>5.</w:t>
            </w:r>
          </w:p>
        </w:tc>
        <w:tc>
          <w:tcPr>
            <w:tcW w:w="1321" w:type="pct"/>
          </w:tcPr>
          <w:p w14:paraId="41E30AF4" w14:textId="51A7149F" w:rsidR="002262E7" w:rsidRDefault="002262E7" w:rsidP="0032370A">
            <w:pPr>
              <w:spacing w:before="100" w:beforeAutospacing="1" w:after="100" w:afterAutospacing="1"/>
              <w:outlineLvl w:val="3"/>
            </w:pPr>
            <w:r w:rsidRPr="001470C3">
              <w:rPr>
                <w:rFonts w:eastAsia="Times New Roman"/>
                <w:lang w:eastAsia="lv-LV"/>
              </w:rPr>
              <w:t>Naudas balva</w:t>
            </w:r>
          </w:p>
        </w:tc>
        <w:tc>
          <w:tcPr>
            <w:tcW w:w="1321" w:type="pct"/>
          </w:tcPr>
          <w:p w14:paraId="3E2809B5" w14:textId="30B8335B" w:rsidR="002262E7" w:rsidRDefault="002262E7" w:rsidP="0032370A">
            <w:pPr>
              <w:spacing w:before="100" w:beforeAutospacing="1" w:after="100" w:afterAutospacing="1"/>
              <w:outlineLvl w:val="3"/>
            </w:pPr>
            <w:r w:rsidRPr="001470C3">
              <w:rPr>
                <w:rFonts w:eastAsia="Times New Roman"/>
                <w:lang w:eastAsia="lv-LV"/>
              </w:rPr>
              <w:t xml:space="preserve">Līdz </w:t>
            </w:r>
            <w:r w:rsidR="009A1D22">
              <w:rPr>
                <w:rFonts w:eastAsia="Times New Roman"/>
                <w:lang w:eastAsia="lv-LV"/>
              </w:rPr>
              <w:t xml:space="preserve">50% no </w:t>
            </w:r>
            <w:r w:rsidRPr="001470C3">
              <w:rPr>
                <w:rFonts w:eastAsia="Times New Roman"/>
                <w:lang w:eastAsia="lv-LV"/>
              </w:rPr>
              <w:t>mēneša algas apmēram vienreiz gadā</w:t>
            </w:r>
          </w:p>
        </w:tc>
        <w:tc>
          <w:tcPr>
            <w:tcW w:w="2004" w:type="pct"/>
          </w:tcPr>
          <w:p w14:paraId="32EC2770" w14:textId="4900FBE3" w:rsidR="002262E7" w:rsidRDefault="002262E7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VPIADAL  3.panta ceturtās daļas 5.punkts.</w:t>
            </w:r>
          </w:p>
          <w:p w14:paraId="21094125" w14:textId="3ACDE86E" w:rsidR="002262E7" w:rsidRPr="001470C3" w:rsidRDefault="008330CA" w:rsidP="0032370A">
            <w:pPr>
              <w:spacing w:before="100" w:beforeAutospacing="1" w:after="100" w:afterAutospacing="1"/>
              <w:rPr>
                <w:rFonts w:eastAsia="Times New Roman"/>
                <w:b/>
                <w:bCs/>
                <w:i/>
                <w:iCs/>
                <w:lang w:eastAsia="lv-LV"/>
              </w:rPr>
            </w:pPr>
            <w:r>
              <w:rPr>
                <w:rFonts w:eastAsia="Times New Roman"/>
                <w:b/>
                <w:bCs/>
                <w:i/>
                <w:iCs/>
                <w:lang w:eastAsia="lv-LV"/>
              </w:rPr>
              <w:t xml:space="preserve">                                                            </w:t>
            </w:r>
          </w:p>
        </w:tc>
      </w:tr>
      <w:tr w:rsidR="002262E7" w14:paraId="0ACA8FBC" w14:textId="77777777" w:rsidTr="00CA7527">
        <w:tc>
          <w:tcPr>
            <w:tcW w:w="354" w:type="pct"/>
          </w:tcPr>
          <w:p w14:paraId="0F07A3B4" w14:textId="1EDF5255" w:rsidR="002262E7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t>6.</w:t>
            </w:r>
          </w:p>
        </w:tc>
        <w:tc>
          <w:tcPr>
            <w:tcW w:w="1321" w:type="pct"/>
          </w:tcPr>
          <w:p w14:paraId="331FEFEE" w14:textId="5F0DE117" w:rsidR="002262E7" w:rsidRPr="001470C3" w:rsidRDefault="002262E7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Mācību izdevumu kompensācija</w:t>
            </w:r>
          </w:p>
        </w:tc>
        <w:tc>
          <w:tcPr>
            <w:tcW w:w="1321" w:type="pct"/>
          </w:tcPr>
          <w:p w14:paraId="6B44587F" w14:textId="307627A3" w:rsidR="002262E7" w:rsidRPr="001470C3" w:rsidRDefault="002262E7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Līdz 30% no gada mācību maksas</w:t>
            </w:r>
          </w:p>
        </w:tc>
        <w:tc>
          <w:tcPr>
            <w:tcW w:w="2004" w:type="pct"/>
          </w:tcPr>
          <w:p w14:paraId="3803F493" w14:textId="69D42B9E" w:rsidR="002262E7" w:rsidRPr="001470C3" w:rsidRDefault="002262E7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VPIADAL 26.pants</w:t>
            </w:r>
          </w:p>
        </w:tc>
      </w:tr>
      <w:tr w:rsidR="002262E7" w14:paraId="268CC868" w14:textId="77777777" w:rsidTr="00CA7527">
        <w:tc>
          <w:tcPr>
            <w:tcW w:w="354" w:type="pct"/>
          </w:tcPr>
          <w:p w14:paraId="184D6B7B" w14:textId="04EDA5D4" w:rsidR="002262E7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t>7.</w:t>
            </w:r>
          </w:p>
        </w:tc>
        <w:tc>
          <w:tcPr>
            <w:tcW w:w="1321" w:type="pct"/>
          </w:tcPr>
          <w:p w14:paraId="6D211889" w14:textId="071BBA68" w:rsidR="002262E7" w:rsidRPr="001470C3" w:rsidRDefault="00994B8A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Kvalifikācijas celšanas izdevumi</w:t>
            </w:r>
          </w:p>
        </w:tc>
        <w:tc>
          <w:tcPr>
            <w:tcW w:w="1321" w:type="pct"/>
          </w:tcPr>
          <w:p w14:paraId="29B72B38" w14:textId="77777777" w:rsidR="002262E7" w:rsidRPr="001470C3" w:rsidRDefault="002262E7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</w:p>
        </w:tc>
        <w:tc>
          <w:tcPr>
            <w:tcW w:w="2004" w:type="pct"/>
          </w:tcPr>
          <w:p w14:paraId="7F1B2A08" w14:textId="77777777" w:rsidR="002262E7" w:rsidRDefault="00994B8A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VPIADAL 27.pants, NEVIS apstiprinātās mācību vajadzības</w:t>
            </w:r>
          </w:p>
          <w:p w14:paraId="2F5759B5" w14:textId="77777777" w:rsidR="00241BF9" w:rsidRDefault="00241BF9" w:rsidP="0032370A">
            <w:r>
              <w:t>Iestāde izvērtē ierēdņa kvalifikācijas paaugstināšanas nepieciešamību un nodrošina tam iespēju paaugstināt kvalifikāciju, kompensējot vai sedzot mācību izdevumus un saglabājot mēnešalgu un piemaksas, izņemot piemaksu par aizvietošanu.</w:t>
            </w:r>
          </w:p>
          <w:p w14:paraId="7301C919" w14:textId="40BFD24F" w:rsidR="00AF1B64" w:rsidRPr="001470C3" w:rsidRDefault="00AF1B64" w:rsidP="0032370A">
            <w:pPr>
              <w:rPr>
                <w:rFonts w:eastAsia="Times New Roman"/>
                <w:lang w:eastAsia="lv-LV"/>
              </w:rPr>
            </w:pPr>
            <w:r>
              <w:lastRenderedPageBreak/>
              <w:t xml:space="preserve">Ministru kabineta 2010. gada 21. jūnija noteikumu Nr. 565 "Noteikumi par valsts un pašvaldību institūciju amatpersonu un darbinieku sociālajām garantijām" IX nodaļā noteikta kārtība, kādā ierēdni </w:t>
            </w:r>
            <w:proofErr w:type="spellStart"/>
            <w:r>
              <w:t>nosūta</w:t>
            </w:r>
            <w:proofErr w:type="spellEnd"/>
            <w:r>
              <w:t xml:space="preserve"> paaugstināt kvalifikāciju mācību kursos, un ar ierēdņa kvalifikācijas paaugstināšanu saistīto izdevumu segšanas un atmaksāšanas nosacījumus un kārtību, kā arī gadījumus, kad ierēdnis neatmaksā ar tās kvalifikācijas paaugstināšanu saistītos izdevumus.</w:t>
            </w:r>
          </w:p>
        </w:tc>
      </w:tr>
      <w:tr w:rsidR="00994B8A" w14:paraId="66D9F229" w14:textId="77777777" w:rsidTr="00CA7527">
        <w:tc>
          <w:tcPr>
            <w:tcW w:w="354" w:type="pct"/>
          </w:tcPr>
          <w:p w14:paraId="05962B37" w14:textId="01DD88AC" w:rsidR="00994B8A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lastRenderedPageBreak/>
              <w:t>8.</w:t>
            </w:r>
          </w:p>
        </w:tc>
        <w:tc>
          <w:tcPr>
            <w:tcW w:w="1321" w:type="pct"/>
          </w:tcPr>
          <w:p w14:paraId="6D04A0DD" w14:textId="11D5FE31" w:rsidR="00994B8A" w:rsidRPr="001470C3" w:rsidRDefault="00994B8A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Pabalsts</w:t>
            </w:r>
            <w:r w:rsidR="00F05851">
              <w:rPr>
                <w:rFonts w:eastAsia="Times New Roman"/>
                <w:lang w:eastAsia="lv-LV"/>
              </w:rPr>
              <w:t xml:space="preserve"> </w:t>
            </w:r>
            <w:r w:rsidRPr="001470C3">
              <w:rPr>
                <w:rFonts w:eastAsia="Times New Roman"/>
                <w:lang w:eastAsia="lv-LV"/>
              </w:rPr>
              <w:t>darbiniekam/ierēdnim, kura apgādībā ir bērns invalīds līdz 18 gadu vecumam.</w:t>
            </w:r>
          </w:p>
        </w:tc>
        <w:tc>
          <w:tcPr>
            <w:tcW w:w="1321" w:type="pct"/>
          </w:tcPr>
          <w:p w14:paraId="659C2DDA" w14:textId="21536FE9" w:rsidR="00994B8A" w:rsidRPr="00164BDD" w:rsidRDefault="00164BDD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9A1D22">
              <w:rPr>
                <w:shd w:val="clear" w:color="auto" w:fill="FFFFFF"/>
              </w:rPr>
              <w:t>750 </w:t>
            </w:r>
            <w:proofErr w:type="spellStart"/>
            <w:r w:rsidRPr="009A1D22">
              <w:rPr>
                <w:i/>
                <w:iCs/>
                <w:shd w:val="clear" w:color="auto" w:fill="FFFFFF"/>
              </w:rPr>
              <w:t>euro</w:t>
            </w:r>
            <w:proofErr w:type="spellEnd"/>
            <w:r w:rsidRPr="009A1D22">
              <w:rPr>
                <w:shd w:val="clear" w:color="auto" w:fill="FFFFFF"/>
              </w:rPr>
              <w:t> apmērā reizi kalendāra gadā amatpersonai (darbiniekam) par katru apgādībā esošu bērnu ar invaliditāti līdz 18 gadu vecumam</w:t>
            </w:r>
          </w:p>
        </w:tc>
        <w:tc>
          <w:tcPr>
            <w:tcW w:w="2004" w:type="pct"/>
          </w:tcPr>
          <w:p w14:paraId="3397EFDE" w14:textId="29DEF253" w:rsidR="00994B8A" w:rsidRPr="001470C3" w:rsidRDefault="00994B8A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VPIADAL 3.panta ceturtās daļas 7.punkts</w:t>
            </w:r>
          </w:p>
        </w:tc>
      </w:tr>
      <w:tr w:rsidR="00994B8A" w14:paraId="27FD06A5" w14:textId="77777777" w:rsidTr="00CA7527">
        <w:tc>
          <w:tcPr>
            <w:tcW w:w="354" w:type="pct"/>
          </w:tcPr>
          <w:p w14:paraId="0569E95D" w14:textId="29CCF3CD" w:rsidR="00994B8A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t>9.</w:t>
            </w:r>
          </w:p>
        </w:tc>
        <w:tc>
          <w:tcPr>
            <w:tcW w:w="1321" w:type="pct"/>
          </w:tcPr>
          <w:p w14:paraId="4B2A4BDB" w14:textId="0E12B93B" w:rsidR="00994B8A" w:rsidRPr="001470C3" w:rsidRDefault="00994B8A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Atvaļinājuma pabalsts</w:t>
            </w:r>
          </w:p>
        </w:tc>
        <w:tc>
          <w:tcPr>
            <w:tcW w:w="1321" w:type="pct"/>
          </w:tcPr>
          <w:p w14:paraId="30ACFDCE" w14:textId="601B8189" w:rsidR="00994B8A" w:rsidRPr="001470C3" w:rsidRDefault="00994B8A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50 procentu apmērā no mēnešalgas</w:t>
            </w:r>
          </w:p>
        </w:tc>
        <w:tc>
          <w:tcPr>
            <w:tcW w:w="2004" w:type="pct"/>
          </w:tcPr>
          <w:p w14:paraId="5F8A6522" w14:textId="77777777" w:rsidR="00994B8A" w:rsidRPr="001470C3" w:rsidRDefault="00994B8A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VPIADAL 3.panta ceturtās daļas 8.punkts; ikgadējās darbības novērtējums</w:t>
            </w:r>
          </w:p>
          <w:p w14:paraId="5B56A237" w14:textId="77777777" w:rsidR="00994B8A" w:rsidRDefault="00994B8A" w:rsidP="0032370A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1470C3">
              <w:rPr>
                <w:rFonts w:ascii="RobustaTLPro-Medium" w:eastAsia="Times New Roman" w:hAnsi="RobustaTLPro-Medium"/>
                <w:lang w:eastAsia="lv-LV"/>
              </w:rPr>
              <w:t>Kritēriji: </w:t>
            </w:r>
            <w:r w:rsidRPr="001470C3">
              <w:rPr>
                <w:rFonts w:eastAsia="Times New Roman"/>
                <w:lang w:eastAsia="lv-LV"/>
              </w:rPr>
              <w:t xml:space="preserve">amata (darba) pienākumu izpildes novērtējums ir „labi”, „ļoti labi” vai „teicami” </w:t>
            </w:r>
            <w:r>
              <w:rPr>
                <w:rFonts w:eastAsia="Times New Roman"/>
                <w:lang w:eastAsia="lv-LV"/>
              </w:rPr>
              <w:t>.</w:t>
            </w:r>
          </w:p>
          <w:p w14:paraId="259A0228" w14:textId="77777777" w:rsidR="00994B8A" w:rsidRDefault="00994B8A" w:rsidP="0032370A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Darba ilgums ministrijā ne mazāk kā viens gads.</w:t>
            </w:r>
          </w:p>
          <w:p w14:paraId="77919B3A" w14:textId="78BCD873" w:rsidR="00994B8A" w:rsidRPr="001470C3" w:rsidRDefault="00994B8A" w:rsidP="0032370A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>
              <w:t xml:space="preserve">Izmaksā reizi kalendārā gadā, aizejot ikgadējā apmaksātajā atvaļinājumā. Pabalstu nepārceļ uz nākamo kalendāra gadu un, izbeidzot dienesta attiecības, neatlīdzina, ja kārtējais atvaļinājums nav izmantots. </w:t>
            </w:r>
          </w:p>
        </w:tc>
      </w:tr>
      <w:tr w:rsidR="00994B8A" w14:paraId="17E93836" w14:textId="77777777" w:rsidTr="00CA7527">
        <w:tc>
          <w:tcPr>
            <w:tcW w:w="354" w:type="pct"/>
          </w:tcPr>
          <w:p w14:paraId="4F9D08EA" w14:textId="18A43649" w:rsidR="00994B8A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t>10.</w:t>
            </w:r>
          </w:p>
        </w:tc>
        <w:tc>
          <w:tcPr>
            <w:tcW w:w="1321" w:type="pct"/>
          </w:tcPr>
          <w:p w14:paraId="566BD685" w14:textId="133537A1" w:rsidR="00994B8A" w:rsidRPr="001470C3" w:rsidRDefault="0058547F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>
              <w:t>Speciālo medicīniski optisko redzes korekcijas līdzekļu (briļļu) iegādes kompensācija</w:t>
            </w:r>
          </w:p>
        </w:tc>
        <w:tc>
          <w:tcPr>
            <w:tcW w:w="1321" w:type="pct"/>
          </w:tcPr>
          <w:p w14:paraId="0211912D" w14:textId="5791E0C5" w:rsidR="00994B8A" w:rsidRPr="001470C3" w:rsidRDefault="00994B8A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Līdz 130 </w:t>
            </w:r>
            <w:proofErr w:type="spellStart"/>
            <w:r w:rsidRPr="001470C3">
              <w:rPr>
                <w:rFonts w:eastAsia="Times New Roman"/>
                <w:i/>
                <w:iCs/>
                <w:lang w:eastAsia="lv-LV"/>
              </w:rPr>
              <w:t>euro</w:t>
            </w:r>
            <w:proofErr w:type="spellEnd"/>
            <w:r w:rsidRPr="001470C3">
              <w:rPr>
                <w:rFonts w:eastAsia="Times New Roman"/>
                <w:lang w:eastAsia="lv-LV"/>
              </w:rPr>
              <w:t> gadā</w:t>
            </w:r>
          </w:p>
        </w:tc>
        <w:tc>
          <w:tcPr>
            <w:tcW w:w="2004" w:type="pct"/>
          </w:tcPr>
          <w:p w14:paraId="76FB0B30" w14:textId="13770595" w:rsidR="00994B8A" w:rsidRPr="001470C3" w:rsidRDefault="00994B8A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 xml:space="preserve">MK noteikumi Nr.343 (10.08.02.) “Darba aizsardzības prasības, strādājot ar displeju”12.punkts. Ja </w:t>
            </w:r>
            <w:r w:rsidR="0058547F">
              <w:rPr>
                <w:rFonts w:eastAsia="Times New Roman"/>
                <w:lang w:eastAsia="lv-LV"/>
              </w:rPr>
              <w:t xml:space="preserve">obligātajā </w:t>
            </w:r>
            <w:r w:rsidRPr="001470C3">
              <w:rPr>
                <w:rFonts w:eastAsia="Times New Roman"/>
                <w:lang w:eastAsia="lv-LV"/>
              </w:rPr>
              <w:t xml:space="preserve">veselības pārbaudē konstatēts, ka nepieciešami amata </w:t>
            </w:r>
            <w:r w:rsidRPr="001470C3">
              <w:rPr>
                <w:rFonts w:eastAsia="Times New Roman"/>
                <w:lang w:eastAsia="lv-LV"/>
              </w:rPr>
              <w:lastRenderedPageBreak/>
              <w:t>pienākumu veikšanai piemēroti speciāli medicīniski optiski redzes korekcijas līdzekļi</w:t>
            </w:r>
          </w:p>
        </w:tc>
      </w:tr>
      <w:tr w:rsidR="00994B8A" w14:paraId="688C25DF" w14:textId="77777777" w:rsidTr="00CA7527">
        <w:tc>
          <w:tcPr>
            <w:tcW w:w="354" w:type="pct"/>
          </w:tcPr>
          <w:p w14:paraId="0EC1A62A" w14:textId="2CA12CD0" w:rsidR="00994B8A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lastRenderedPageBreak/>
              <w:t>11.</w:t>
            </w:r>
          </w:p>
        </w:tc>
        <w:tc>
          <w:tcPr>
            <w:tcW w:w="1321" w:type="pct"/>
          </w:tcPr>
          <w:p w14:paraId="36106264" w14:textId="66DEC397" w:rsidR="00994B8A" w:rsidRPr="001470C3" w:rsidRDefault="00994B8A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Veselības apdrošināšana</w:t>
            </w:r>
          </w:p>
        </w:tc>
        <w:tc>
          <w:tcPr>
            <w:tcW w:w="1321" w:type="pct"/>
          </w:tcPr>
          <w:p w14:paraId="2D9B5498" w14:textId="0B9D76C6" w:rsidR="00994B8A" w:rsidRPr="001470C3" w:rsidRDefault="00AF1B64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>
              <w:t>Saskaņā ar veselības apdrošināšanas līguma nosacījumiem</w:t>
            </w:r>
          </w:p>
        </w:tc>
        <w:tc>
          <w:tcPr>
            <w:tcW w:w="2004" w:type="pct"/>
          </w:tcPr>
          <w:p w14:paraId="70D0585A" w14:textId="328B554C" w:rsidR="00994B8A" w:rsidRPr="001470C3" w:rsidRDefault="002777D0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 xml:space="preserve">VPIADAL </w:t>
            </w:r>
            <w:r w:rsidR="00994B8A" w:rsidRPr="001470C3">
              <w:rPr>
                <w:rFonts w:eastAsia="Times New Roman"/>
                <w:lang w:eastAsia="lv-LV"/>
              </w:rPr>
              <w:t>37.pants;</w:t>
            </w:r>
          </w:p>
          <w:p w14:paraId="3B0922E3" w14:textId="03DA5F66" w:rsidR="00994B8A" w:rsidRPr="001470C3" w:rsidRDefault="00994B8A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Darbiniekiem, kuriem ir beidzies pārbaudes laiks (veikta darbinieka darbības novērtēšana).</w:t>
            </w:r>
          </w:p>
        </w:tc>
      </w:tr>
      <w:tr w:rsidR="00994B8A" w14:paraId="70533CD8" w14:textId="77777777" w:rsidTr="00CA7527">
        <w:tc>
          <w:tcPr>
            <w:tcW w:w="354" w:type="pct"/>
          </w:tcPr>
          <w:p w14:paraId="68AEE791" w14:textId="755DE628" w:rsidR="00994B8A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t>12.</w:t>
            </w:r>
          </w:p>
        </w:tc>
        <w:tc>
          <w:tcPr>
            <w:tcW w:w="1321" w:type="pct"/>
          </w:tcPr>
          <w:p w14:paraId="18F686C9" w14:textId="2136056F" w:rsidR="00994B8A" w:rsidRPr="001470C3" w:rsidRDefault="00994B8A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Pabalsts sakarā ar ģimenes locekļa vai apgādājamā nāvi</w:t>
            </w:r>
          </w:p>
        </w:tc>
        <w:tc>
          <w:tcPr>
            <w:tcW w:w="1321" w:type="pct"/>
          </w:tcPr>
          <w:p w14:paraId="449D9015" w14:textId="5169E3A2" w:rsidR="00994B8A" w:rsidRPr="001470C3" w:rsidRDefault="00E311DF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Vienas minimālās mēneša darba algas apmērā</w:t>
            </w:r>
          </w:p>
        </w:tc>
        <w:tc>
          <w:tcPr>
            <w:tcW w:w="2004" w:type="pct"/>
          </w:tcPr>
          <w:p w14:paraId="6BAD3EE8" w14:textId="100CF983" w:rsidR="00994B8A" w:rsidRPr="001470C3" w:rsidRDefault="00E311DF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VPIADAL 20.pants</w:t>
            </w:r>
          </w:p>
        </w:tc>
      </w:tr>
      <w:tr w:rsidR="00994B8A" w14:paraId="79ECFDFA" w14:textId="77777777" w:rsidTr="00CA7527">
        <w:tc>
          <w:tcPr>
            <w:tcW w:w="354" w:type="pct"/>
          </w:tcPr>
          <w:p w14:paraId="017A3FF5" w14:textId="5DB33169" w:rsidR="00994B8A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t>13.</w:t>
            </w:r>
          </w:p>
        </w:tc>
        <w:tc>
          <w:tcPr>
            <w:tcW w:w="1321" w:type="pct"/>
          </w:tcPr>
          <w:p w14:paraId="49F4575F" w14:textId="1F42D7D3" w:rsidR="00994B8A" w:rsidRPr="001470C3" w:rsidRDefault="00994B8A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Atlaišanas pabalsts</w:t>
            </w:r>
          </w:p>
        </w:tc>
        <w:tc>
          <w:tcPr>
            <w:tcW w:w="1321" w:type="pct"/>
          </w:tcPr>
          <w:p w14:paraId="3DC8A849" w14:textId="5CAE9A3A" w:rsidR="00994B8A" w:rsidRPr="001470C3" w:rsidRDefault="00E311DF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VPIADAL noteiktajā apmērā</w:t>
            </w:r>
          </w:p>
        </w:tc>
        <w:tc>
          <w:tcPr>
            <w:tcW w:w="2004" w:type="pct"/>
          </w:tcPr>
          <w:p w14:paraId="55ECD67B" w14:textId="5A6B9C2C" w:rsidR="00994B8A" w:rsidRPr="001470C3" w:rsidRDefault="00E311DF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 xml:space="preserve">VPIADAL </w:t>
            </w:r>
            <w:r>
              <w:t>17. panta pirmā, otrā, trešā, ceturtā daļa, 12.1 daļas 2. un 3. punkts, trīspadsmitā daļa.</w:t>
            </w:r>
          </w:p>
        </w:tc>
      </w:tr>
      <w:tr w:rsidR="00E311DF" w14:paraId="0123FE35" w14:textId="77777777" w:rsidTr="00CA7527">
        <w:tc>
          <w:tcPr>
            <w:tcW w:w="354" w:type="pct"/>
          </w:tcPr>
          <w:p w14:paraId="089806C2" w14:textId="68276103" w:rsidR="00E311DF" w:rsidRDefault="002E5BB2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color w:val="1C1C1C"/>
                <w:lang w:eastAsia="lv-LV"/>
              </w:rPr>
            </w:pPr>
            <w:r>
              <w:rPr>
                <w:rFonts w:eastAsia="Times New Roman"/>
                <w:color w:val="1C1C1C"/>
                <w:lang w:eastAsia="lv-LV"/>
              </w:rPr>
              <w:t>14.</w:t>
            </w:r>
          </w:p>
        </w:tc>
        <w:tc>
          <w:tcPr>
            <w:tcW w:w="1321" w:type="pct"/>
          </w:tcPr>
          <w:p w14:paraId="4B480543" w14:textId="33DCF50C" w:rsidR="00E311DF" w:rsidRPr="001470C3" w:rsidRDefault="00E311DF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Pabalsti un kompensācijas nozares padomniekiem (darba vieta Brisele</w:t>
            </w:r>
            <w:r>
              <w:rPr>
                <w:rFonts w:eastAsia="Times New Roman"/>
                <w:lang w:eastAsia="lv-LV"/>
              </w:rPr>
              <w:t>, Parīze)</w:t>
            </w:r>
          </w:p>
        </w:tc>
        <w:tc>
          <w:tcPr>
            <w:tcW w:w="1321" w:type="pct"/>
          </w:tcPr>
          <w:p w14:paraId="24FEAB71" w14:textId="455C9FED" w:rsidR="00E311DF" w:rsidRPr="001470C3" w:rsidRDefault="00E311DF" w:rsidP="0032370A">
            <w:pPr>
              <w:spacing w:before="100" w:beforeAutospacing="1" w:after="100" w:afterAutospacing="1"/>
              <w:outlineLvl w:val="3"/>
              <w:rPr>
                <w:rFonts w:eastAsia="Times New Roman"/>
                <w:lang w:eastAsia="lv-LV"/>
              </w:rPr>
            </w:pPr>
          </w:p>
        </w:tc>
        <w:tc>
          <w:tcPr>
            <w:tcW w:w="2004" w:type="pct"/>
          </w:tcPr>
          <w:p w14:paraId="5903C832" w14:textId="25848C40" w:rsidR="00E311DF" w:rsidRPr="001470C3" w:rsidRDefault="00E311DF" w:rsidP="0032370A">
            <w:pPr>
              <w:rPr>
                <w:rFonts w:eastAsia="Times New Roman"/>
                <w:lang w:eastAsia="lv-LV"/>
              </w:rPr>
            </w:pPr>
            <w:r w:rsidRPr="001470C3">
              <w:rPr>
                <w:rFonts w:eastAsia="Times New Roman"/>
                <w:lang w:eastAsia="lv-LV"/>
              </w:rPr>
              <w:t>VPIADAL, Diplomātiskā un konsulārā dienesta likums,  Ministru kabineta noteikumi Nr.602 (29.06.2010.)</w:t>
            </w:r>
          </w:p>
        </w:tc>
      </w:tr>
    </w:tbl>
    <w:p w14:paraId="0BD5EF46" w14:textId="77777777" w:rsidR="008A23D0" w:rsidRPr="001470C3" w:rsidRDefault="008A23D0" w:rsidP="003237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/>
          <w:color w:val="1C1C1C"/>
          <w:lang w:eastAsia="lv-LV"/>
        </w:rPr>
      </w:pPr>
    </w:p>
    <w:p w14:paraId="56FF1E52" w14:textId="77777777" w:rsidR="008D496A" w:rsidRDefault="008D496A" w:rsidP="0032370A"/>
    <w:sectPr w:rsidR="008D496A" w:rsidSect="00C802E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ustaTLPro-Mediu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2DBA"/>
    <w:multiLevelType w:val="multilevel"/>
    <w:tmpl w:val="E914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E58A3"/>
    <w:multiLevelType w:val="multilevel"/>
    <w:tmpl w:val="53DC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E4939"/>
    <w:multiLevelType w:val="multilevel"/>
    <w:tmpl w:val="9E16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8726B"/>
    <w:multiLevelType w:val="multilevel"/>
    <w:tmpl w:val="7208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533CE"/>
    <w:multiLevelType w:val="hybridMultilevel"/>
    <w:tmpl w:val="6F9C2C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F21D8"/>
    <w:multiLevelType w:val="multilevel"/>
    <w:tmpl w:val="4712DBF2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404691"/>
    <w:multiLevelType w:val="multilevel"/>
    <w:tmpl w:val="DE2A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0A254D"/>
    <w:multiLevelType w:val="multilevel"/>
    <w:tmpl w:val="5F24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527245">
    <w:abstractNumId w:val="0"/>
  </w:num>
  <w:num w:numId="2" w16cid:durableId="243144523">
    <w:abstractNumId w:val="3"/>
  </w:num>
  <w:num w:numId="3" w16cid:durableId="1223519239">
    <w:abstractNumId w:val="1"/>
  </w:num>
  <w:num w:numId="4" w16cid:durableId="1757439828">
    <w:abstractNumId w:val="6"/>
  </w:num>
  <w:num w:numId="5" w16cid:durableId="856623320">
    <w:abstractNumId w:val="7"/>
  </w:num>
  <w:num w:numId="6" w16cid:durableId="2144733558">
    <w:abstractNumId w:val="2"/>
  </w:num>
  <w:num w:numId="7" w16cid:durableId="1742099791">
    <w:abstractNumId w:val="4"/>
  </w:num>
  <w:num w:numId="8" w16cid:durableId="148182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5"/>
    <w:rsid w:val="00007AA6"/>
    <w:rsid w:val="00080A86"/>
    <w:rsid w:val="000E278B"/>
    <w:rsid w:val="001470C3"/>
    <w:rsid w:val="00162B39"/>
    <w:rsid w:val="00164BDD"/>
    <w:rsid w:val="0018193C"/>
    <w:rsid w:val="001C35AC"/>
    <w:rsid w:val="002262E7"/>
    <w:rsid w:val="00241BF9"/>
    <w:rsid w:val="002777D0"/>
    <w:rsid w:val="002E5BB2"/>
    <w:rsid w:val="0032370A"/>
    <w:rsid w:val="003A36D5"/>
    <w:rsid w:val="00452899"/>
    <w:rsid w:val="0047030E"/>
    <w:rsid w:val="00470C4A"/>
    <w:rsid w:val="005073FD"/>
    <w:rsid w:val="0058547F"/>
    <w:rsid w:val="00662F7E"/>
    <w:rsid w:val="006D3D4B"/>
    <w:rsid w:val="008330CA"/>
    <w:rsid w:val="00835C42"/>
    <w:rsid w:val="008A23D0"/>
    <w:rsid w:val="008D496A"/>
    <w:rsid w:val="00961321"/>
    <w:rsid w:val="00994B8A"/>
    <w:rsid w:val="009A1D22"/>
    <w:rsid w:val="00A14089"/>
    <w:rsid w:val="00AF1B64"/>
    <w:rsid w:val="00B73593"/>
    <w:rsid w:val="00BE2FC6"/>
    <w:rsid w:val="00C802EE"/>
    <w:rsid w:val="00CA7527"/>
    <w:rsid w:val="00E311DF"/>
    <w:rsid w:val="00F0221C"/>
    <w:rsid w:val="00F05851"/>
    <w:rsid w:val="00FE40D3"/>
    <w:rsid w:val="00FF53C2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544B"/>
  <w15:chartTrackingRefBased/>
  <w15:docId w15:val="{2EC27198-2227-4FCC-AA75-DF31D6E1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470C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470C3"/>
    <w:rPr>
      <w:rFonts w:eastAsia="Times New Roman"/>
      <w:b/>
      <w:bCs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470C3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character" w:styleId="Strong">
    <w:name w:val="Strong"/>
    <w:basedOn w:val="DefaultParagraphFont"/>
    <w:uiPriority w:val="22"/>
    <w:qFormat/>
    <w:rsid w:val="001470C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70C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470C3"/>
    <w:rPr>
      <w:i/>
      <w:iCs/>
    </w:rPr>
  </w:style>
  <w:style w:type="paragraph" w:styleId="ListParagraph">
    <w:name w:val="List Paragraph"/>
    <w:basedOn w:val="Normal"/>
    <w:uiPriority w:val="34"/>
    <w:qFormat/>
    <w:rsid w:val="00835C42"/>
    <w:pPr>
      <w:spacing w:after="0" w:line="240" w:lineRule="auto"/>
      <w:ind w:left="720"/>
      <w:contextualSpacing/>
    </w:pPr>
    <w:rPr>
      <w:rFonts w:eastAsia="Times New Roman"/>
      <w:sz w:val="28"/>
      <w:szCs w:val="20"/>
      <w:lang w:eastAsia="lv-LV"/>
    </w:rPr>
  </w:style>
  <w:style w:type="table" w:styleId="TableGrid">
    <w:name w:val="Table Grid"/>
    <w:basedOn w:val="TableNormal"/>
    <w:uiPriority w:val="39"/>
    <w:rsid w:val="008A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5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07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0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81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B5E7D93344A654A8FEA6D64BD09EFA3" ma:contentTypeVersion="15" ma:contentTypeDescription="Izveidot jaunu dokumentu." ma:contentTypeScope="" ma:versionID="9f69b2d2d96dce6f5f8612b2aa9ad67a">
  <xsd:schema xmlns:xsd="http://www.w3.org/2001/XMLSchema" xmlns:xs="http://www.w3.org/2001/XMLSchema" xmlns:p="http://schemas.microsoft.com/office/2006/metadata/properties" xmlns:ns1="http://schemas.microsoft.com/sharepoint/v3" xmlns:ns2="b99bf0c4-4503-4a3c-9d96-19981fcee4fa" xmlns:ns3="c5f3215d-01f7-4578-859e-d76708405c9e" targetNamespace="http://schemas.microsoft.com/office/2006/metadata/properties" ma:root="true" ma:fieldsID="904eccba8cbd8dc78608b477431fa0c4" ns1:_="" ns2:_="" ns3:_="">
    <xsd:import namespace="http://schemas.microsoft.com/sharepoint/v3"/>
    <xsd:import namespace="b99bf0c4-4503-4a3c-9d96-19981fcee4fa"/>
    <xsd:import namespace="c5f3215d-01f7-4578-859e-d76708405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bf0c4-4503-4a3c-9d96-19981fcee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20d572e-93f8-47b3-8c65-cc8b4da65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3215d-01f7-4578-859e-d76708405c9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3386a4-6131-440d-94cb-eb833da8b0e0}" ma:internalName="TaxCatchAll" ma:showField="CatchAllData" ma:web="c5f3215d-01f7-4578-859e-d76708405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f3215d-01f7-4578-859e-d76708405c9e" xsi:nil="true"/>
    <_ip_UnifiedCompliancePolicyUIAction xmlns="http://schemas.microsoft.com/sharepoint/v3" xsi:nil="true"/>
    <lcf76f155ced4ddcb4097134ff3c332f xmlns="b99bf0c4-4503-4a3c-9d96-19981fcee4f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E88307-5ADD-4DFC-BEF3-8C6F467E4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bf0c4-4503-4a3c-9d96-19981fcee4fa"/>
    <ds:schemaRef ds:uri="c5f3215d-01f7-4578-859e-d76708405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A8F85-5ED9-4F2F-997B-05F31DBA1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5C7E0-B5DE-4487-BAF5-2C1037BFE326}">
  <ds:schemaRefs>
    <ds:schemaRef ds:uri="http://schemas.microsoft.com/office/2006/metadata/properties"/>
    <ds:schemaRef ds:uri="http://schemas.microsoft.com/office/infopath/2007/PartnerControls"/>
    <ds:schemaRef ds:uri="c5f3215d-01f7-4578-859e-d76708405c9e"/>
    <ds:schemaRef ds:uri="http://schemas.microsoft.com/sharepoint/v3"/>
    <ds:schemaRef ds:uri="b99bf0c4-4503-4a3c-9d96-19981fcee4fa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663</Words>
  <Characters>4491</Characters>
  <Application>Microsoft Office Word</Application>
  <DocSecurity>0</DocSecurity>
  <Lines>172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Krišāne</dc:creator>
  <cp:keywords/>
  <dc:description/>
  <cp:lastModifiedBy>Agita Pudule</cp:lastModifiedBy>
  <cp:revision>6</cp:revision>
  <dcterms:created xsi:type="dcterms:W3CDTF">2023-01-02T10:01:00Z</dcterms:created>
  <dcterms:modified xsi:type="dcterms:W3CDTF">2026-04-10T14:01:00Z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0x0101008B5E7D93344A654A8FEA6D64BD09EFA3</vt:lpwstr>
  </property>
  <property fmtid="{D5CDD505-2E9C-101B-9397-08002B2CF9AE}" pid="3" name="MediaServiceImageTags">
    <vt:lpwstr/>
  </property>
</Properties>
</file>