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598C" w14:textId="51489F1A" w:rsidR="00E93257" w:rsidRPr="00A72166" w:rsidRDefault="00A72166" w:rsidP="00A72166">
      <w:pPr>
        <w:rPr>
          <w:rFonts w:asciiTheme="majorHAnsi" w:hAnsiTheme="majorHAnsi" w:cstheme="majorHAnsi"/>
          <w:color w:val="001B6C"/>
          <w:sz w:val="32"/>
          <w:szCs w:val="32"/>
        </w:rPr>
      </w:pPr>
      <w:r>
        <w:rPr>
          <w:rFonts w:asciiTheme="majorHAnsi" w:hAnsiTheme="majorHAnsi" w:cstheme="majorHAnsi"/>
          <w:b/>
          <w:noProof/>
          <w:color w:val="001B6C"/>
          <w:sz w:val="32"/>
          <w:szCs w:val="32"/>
        </w:rPr>
        <mc:AlternateContent>
          <mc:Choice Requires="wps">
            <w:drawing>
              <wp:anchor distT="0" distB="0" distL="114300" distR="114300" simplePos="0" relativeHeight="251676672" behindDoc="0" locked="0" layoutInCell="1" allowOverlap="1" wp14:anchorId="6A0C831B" wp14:editId="4AFD2AB5">
                <wp:simplePos x="0" y="0"/>
                <wp:positionH relativeFrom="column">
                  <wp:posOffset>-28975</wp:posOffset>
                </wp:positionH>
                <wp:positionV relativeFrom="paragraph">
                  <wp:posOffset>332533</wp:posOffset>
                </wp:positionV>
                <wp:extent cx="4051005" cy="0"/>
                <wp:effectExtent l="0" t="0" r="0" b="0"/>
                <wp:wrapNone/>
                <wp:docPr id="1568640060" name="Straight Connector 37"/>
                <wp:cNvGraphicFramePr/>
                <a:graphic xmlns:a="http://schemas.openxmlformats.org/drawingml/2006/main">
                  <a:graphicData uri="http://schemas.microsoft.com/office/word/2010/wordprocessingShape">
                    <wps:wsp>
                      <wps:cNvCnPr/>
                      <wps:spPr>
                        <a:xfrm>
                          <a:off x="0" y="0"/>
                          <a:ext cx="4051005" cy="0"/>
                        </a:xfrm>
                        <a:prstGeom prst="line">
                          <a:avLst/>
                        </a:prstGeom>
                        <a:ln w="9525">
                          <a:solidFill>
                            <a:srgbClr val="001B6C"/>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582504" id="Straight Connector 3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3pt,26.2pt" to="316.7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3QpwwEAAOwDAAAOAAAAZHJzL2Uyb0RvYy54bWysU9uK2zAQfS/0H4TeG8ths7QmzsJm2b6U&#10;dunlAxR5FAt0Q1Jj5+87kh0ntIWF0hdZ0pxzZs6MvH0YjSYnCFE529J6xSgBK1yn7LGlP74/v3tP&#10;SUzcdlw7Cy09Q6QPu7dvtoNvYO16pzsIBEVsbAbf0j4l31RVFD0YHlfOg8WgdMHwhMdwrLrAB1Q3&#10;ulozdl8NLnQ+OAEx4u3TFKS7oi8liPRFygiJ6JZibamsoayHvFa7LW+OgfteibkM/g9VGK4sJl2k&#10;nnji5GdQf0gZJYKLTqaVcKZyUioBxQO6qdlvbr713EPxgs2JfmlT/H+y4vNpb18CtmHwsYn+JWQX&#10;owwmf7E+MpZmnZdmwZiIwMs7tqkZ21AiLrHqSvQhpo/gDMmblmplsw/e8NOnmDAZQi+QfK0tGVr6&#10;YbPeFFR0WnXPSusci+F42OtATjyPkNWP9/s8NVS4geFJ24yGMvM5ydVS2aWzhinbV5BEdWhiPeXL&#10;rw2WJFwIsKmes2iL6EyTWNBCZK8TZ/y1qoVcv06efFwyO5sWslHWhb8JpPFSspzw2KQb33l7cN25&#10;DLsE8EmVPs7PP7/Z23OhX3/S3S8AAAD//wMAUEsDBBQABgAIAAAAIQDCQ2+q3QAAAAgBAAAPAAAA&#10;ZHJzL2Rvd25yZXYueG1sTI9Bb8IwDIXvk/YfIk/aDVIoq1DXFCEkOLDDBEycQ+O1ZY1TJQG6fz9P&#10;HLab7ff0/L1iMdhOXNGH1pGCyTgBgVQ501Kt4OOwHs1BhKjJ6M4RKvjGAIvy8aHQuXE32uF1H2vB&#10;IRRyraCJsc+lDFWDVoex65FY+3Te6sirr6Xx+sbhtpPTJMmk1S3xh0b3uGqw+tpfrIJlSNLJkbLt&#10;m2/Px81qOLxv52elnp+G5SuIiEP8M8MvPqNDyUwndyETRKdgNMvYqeBlOgPBepamPJzuB1kW8n+B&#10;8gcAAP//AwBQSwECLQAUAAYACAAAACEAtoM4kv4AAADhAQAAEwAAAAAAAAAAAAAAAAAAAAAAW0Nv&#10;bnRlbnRfVHlwZXNdLnhtbFBLAQItABQABgAIAAAAIQA4/SH/1gAAAJQBAAALAAAAAAAAAAAAAAAA&#10;AC8BAABfcmVscy8ucmVsc1BLAQItABQABgAIAAAAIQAv83QpwwEAAOwDAAAOAAAAAAAAAAAAAAAA&#10;AC4CAABkcnMvZTJvRG9jLnhtbFBLAQItABQABgAIAAAAIQDCQ2+q3QAAAAgBAAAPAAAAAAAAAAAA&#10;AAAAAB0EAABkcnMvZG93bnJldi54bWxQSwUGAAAAAAQABADzAAAAJwUAAAAA&#10;" strokecolor="#001b6c"/>
            </w:pict>
          </mc:Fallback>
        </mc:AlternateContent>
      </w:r>
      <w:r w:rsidR="00A1330A" w:rsidRPr="00A72166">
        <w:rPr>
          <w:rFonts w:asciiTheme="majorHAnsi" w:hAnsiTheme="majorHAnsi" w:cstheme="majorHAnsi"/>
          <w:b/>
          <w:color w:val="001B6C"/>
          <w:sz w:val="32"/>
          <w:szCs w:val="32"/>
        </w:rPr>
        <w:t>Nulles budžeta metodoloģija un procesa secība</w:t>
      </w:r>
    </w:p>
    <w:p w14:paraId="03583804" w14:textId="39FDBD51" w:rsidR="00E93257" w:rsidRPr="00A72166" w:rsidRDefault="00A1330A" w:rsidP="00A72166">
      <w:pPr>
        <w:rPr>
          <w:rFonts w:asciiTheme="majorHAnsi" w:hAnsiTheme="majorHAnsi" w:cstheme="majorHAnsi"/>
          <w:color w:val="001B6C"/>
          <w:sz w:val="24"/>
          <w:szCs w:val="24"/>
        </w:rPr>
      </w:pPr>
      <w:r w:rsidRPr="00A72166">
        <w:rPr>
          <w:rFonts w:asciiTheme="majorHAnsi" w:hAnsiTheme="majorHAnsi" w:cstheme="majorHAnsi"/>
          <w:color w:val="001B6C"/>
          <w:sz w:val="24"/>
          <w:szCs w:val="24"/>
        </w:rPr>
        <w:t xml:space="preserve">Praktisks apraksts publiskā sektora budžeta </w:t>
      </w:r>
      <w:r w:rsidR="00151108" w:rsidRPr="00A72166">
        <w:rPr>
          <w:rFonts w:asciiTheme="majorHAnsi" w:hAnsiTheme="majorHAnsi" w:cstheme="majorHAnsi"/>
          <w:color w:val="001B6C"/>
          <w:sz w:val="24"/>
          <w:szCs w:val="24"/>
        </w:rPr>
        <w:t>izvērtēšanai</w:t>
      </w:r>
    </w:p>
    <w:p w14:paraId="0392CECD" w14:textId="74756785" w:rsidR="00E93257" w:rsidRPr="00407FED" w:rsidRDefault="00224FD2" w:rsidP="00A72166">
      <w:pPr>
        <w:pStyle w:val="Heading1"/>
        <w:numPr>
          <w:ilvl w:val="0"/>
          <w:numId w:val="19"/>
        </w:numPr>
        <w:spacing w:after="240"/>
        <w:rPr>
          <w:rFonts w:ascii="Times New Roman" w:hAnsi="Times New Roman" w:cs="Times New Roman"/>
          <w:i/>
          <w:iCs/>
          <w:color w:val="001B6C"/>
        </w:rPr>
      </w:pPr>
      <w:r w:rsidRPr="00407FED">
        <w:rPr>
          <w:rFonts w:ascii="Times New Roman" w:hAnsi="Times New Roman" w:cs="Times New Roman"/>
          <w:i/>
          <w:iCs/>
          <w:color w:val="001B6C"/>
        </w:rPr>
        <w:t>P</w:t>
      </w:r>
      <w:r w:rsidR="00A1330A" w:rsidRPr="00407FED">
        <w:rPr>
          <w:rFonts w:ascii="Times New Roman" w:hAnsi="Times New Roman" w:cs="Times New Roman"/>
          <w:i/>
          <w:iCs/>
          <w:color w:val="001B6C"/>
        </w:rPr>
        <w:t>iemērošanas tvērums</w:t>
      </w:r>
    </w:p>
    <w:p w14:paraId="4122B7EC" w14:textId="77777777" w:rsidR="006C14B0" w:rsidRDefault="00224FD2" w:rsidP="00A47DD9">
      <w:pPr>
        <w:spacing w:after="0"/>
        <w:rPr>
          <w:rFonts w:ascii="Times New Roman" w:hAnsi="Times New Roman" w:cs="Times New Roman"/>
        </w:rPr>
      </w:pPr>
      <w:r w:rsidRPr="002C6E0E">
        <w:rPr>
          <w:rFonts w:ascii="Times New Roman" w:hAnsi="Times New Roman" w:cs="Times New Roman"/>
        </w:rPr>
        <w:t xml:space="preserve">Pielikuma </w:t>
      </w:r>
      <w:r w:rsidR="00A1330A" w:rsidRPr="002C6E0E">
        <w:rPr>
          <w:rFonts w:ascii="Times New Roman" w:hAnsi="Times New Roman" w:cs="Times New Roman"/>
        </w:rPr>
        <w:t xml:space="preserve">mērķis ir aprakstīt </w:t>
      </w:r>
      <w:r w:rsidRPr="002C6E0E">
        <w:rPr>
          <w:rFonts w:ascii="Times New Roman" w:hAnsi="Times New Roman" w:cs="Times New Roman"/>
        </w:rPr>
        <w:t>“</w:t>
      </w:r>
      <w:r w:rsidR="00A1330A" w:rsidRPr="002C6E0E">
        <w:rPr>
          <w:rFonts w:ascii="Times New Roman" w:hAnsi="Times New Roman" w:cs="Times New Roman"/>
        </w:rPr>
        <w:t>nulles budžeta</w:t>
      </w:r>
      <w:r w:rsidRPr="002C6E0E">
        <w:rPr>
          <w:rFonts w:ascii="Times New Roman" w:hAnsi="Times New Roman" w:cs="Times New Roman"/>
        </w:rPr>
        <w:t>”</w:t>
      </w:r>
      <w:r w:rsidR="00A1330A" w:rsidRPr="002C6E0E">
        <w:rPr>
          <w:rFonts w:ascii="Times New Roman" w:hAnsi="Times New Roman" w:cs="Times New Roman"/>
        </w:rPr>
        <w:t xml:space="preserve"> (</w:t>
      </w:r>
      <w:proofErr w:type="spellStart"/>
      <w:r w:rsidR="00A1330A" w:rsidRPr="002C6E0E">
        <w:rPr>
          <w:rFonts w:ascii="Times New Roman" w:hAnsi="Times New Roman" w:cs="Times New Roman"/>
          <w:i/>
          <w:iCs/>
        </w:rPr>
        <w:t>Zero-Based</w:t>
      </w:r>
      <w:proofErr w:type="spellEnd"/>
      <w:r w:rsidR="00A1330A" w:rsidRPr="002C6E0E">
        <w:rPr>
          <w:rFonts w:ascii="Times New Roman" w:hAnsi="Times New Roman" w:cs="Times New Roman"/>
          <w:i/>
          <w:iCs/>
        </w:rPr>
        <w:t xml:space="preserve"> </w:t>
      </w:r>
      <w:proofErr w:type="spellStart"/>
      <w:r w:rsidR="00A1330A" w:rsidRPr="002C6E0E">
        <w:rPr>
          <w:rFonts w:ascii="Times New Roman" w:hAnsi="Times New Roman" w:cs="Times New Roman"/>
          <w:i/>
          <w:iCs/>
        </w:rPr>
        <w:t>Budgeting</w:t>
      </w:r>
      <w:proofErr w:type="spellEnd"/>
      <w:r w:rsidR="00A1330A" w:rsidRPr="002C6E0E">
        <w:rPr>
          <w:rFonts w:ascii="Times New Roman" w:hAnsi="Times New Roman" w:cs="Times New Roman"/>
          <w:i/>
          <w:iCs/>
        </w:rPr>
        <w:t>, ZBB</w:t>
      </w:r>
      <w:r w:rsidR="00A1330A" w:rsidRPr="002C6E0E">
        <w:rPr>
          <w:rFonts w:ascii="Times New Roman" w:hAnsi="Times New Roman" w:cs="Times New Roman"/>
        </w:rPr>
        <w:t>) pieeju</w:t>
      </w:r>
      <w:r w:rsidRPr="002C6E0E">
        <w:rPr>
          <w:rFonts w:ascii="Times New Roman" w:hAnsi="Times New Roman" w:cs="Times New Roman"/>
        </w:rPr>
        <w:t xml:space="preserve">, kas var tikt izmantota </w:t>
      </w:r>
      <w:r w:rsidR="001A53F4">
        <w:rPr>
          <w:rFonts w:ascii="Times New Roman" w:hAnsi="Times New Roman" w:cs="Times New Roman"/>
        </w:rPr>
        <w:t xml:space="preserve">valsts </w:t>
      </w:r>
      <w:r w:rsidRPr="002C6E0E">
        <w:rPr>
          <w:rFonts w:ascii="Times New Roman" w:hAnsi="Times New Roman" w:cs="Times New Roman"/>
        </w:rPr>
        <w:t>budžeta resor</w:t>
      </w:r>
      <w:r w:rsidR="001A53F4">
        <w:rPr>
          <w:rFonts w:ascii="Times New Roman" w:hAnsi="Times New Roman" w:cs="Times New Roman"/>
        </w:rPr>
        <w:t>os</w:t>
      </w:r>
      <w:r w:rsidRPr="002C6E0E">
        <w:rPr>
          <w:rFonts w:ascii="Times New Roman" w:hAnsi="Times New Roman" w:cs="Times New Roman"/>
        </w:rPr>
        <w:t xml:space="preserve"> un pašvaldībā</w:t>
      </w:r>
      <w:r w:rsidR="001A53F4">
        <w:rPr>
          <w:rFonts w:ascii="Times New Roman" w:hAnsi="Times New Roman" w:cs="Times New Roman"/>
        </w:rPr>
        <w:t>s</w:t>
      </w:r>
      <w:r w:rsidRPr="002C6E0E">
        <w:rPr>
          <w:rFonts w:ascii="Times New Roman" w:hAnsi="Times New Roman" w:cs="Times New Roman"/>
        </w:rPr>
        <w:t xml:space="preserve"> izdevumu pārskatīšanas veikšanā un organizācijā</w:t>
      </w:r>
      <w:r w:rsidR="00A1330A" w:rsidRPr="002C6E0E">
        <w:rPr>
          <w:rFonts w:ascii="Times New Roman" w:hAnsi="Times New Roman" w:cs="Times New Roman"/>
        </w:rPr>
        <w:t xml:space="preserve">, definēt tās pamatprincipus un sniegt skaidru procesa secību, lai </w:t>
      </w:r>
      <w:r w:rsidR="00E97F8C" w:rsidRPr="002C6E0E">
        <w:rPr>
          <w:rFonts w:ascii="Times New Roman" w:hAnsi="Times New Roman" w:cs="Times New Roman"/>
        </w:rPr>
        <w:t>iestādes</w:t>
      </w:r>
      <w:r w:rsidR="00A1330A" w:rsidRPr="002C6E0E">
        <w:rPr>
          <w:rFonts w:ascii="Times New Roman" w:hAnsi="Times New Roman" w:cs="Times New Roman"/>
        </w:rPr>
        <w:t xml:space="preserve"> varētu strukturēti pārskatīt izdevumus, pamatot finansējumu un noteikt prioritātes katrā budžeta ciklā</w:t>
      </w:r>
      <w:r w:rsidR="00E97F8C" w:rsidRPr="002C6E0E">
        <w:rPr>
          <w:rFonts w:ascii="Times New Roman" w:hAnsi="Times New Roman" w:cs="Times New Roman"/>
        </w:rPr>
        <w:t xml:space="preserve"> atbilstoši Ministru kabineta</w:t>
      </w:r>
      <w:r w:rsidR="008B3021">
        <w:rPr>
          <w:rFonts w:ascii="Times New Roman" w:hAnsi="Times New Roman" w:cs="Times New Roman"/>
        </w:rPr>
        <w:t>/pašvaldības domes</w:t>
      </w:r>
      <w:r w:rsidR="00E97F8C" w:rsidRPr="002C6E0E">
        <w:rPr>
          <w:rFonts w:ascii="Times New Roman" w:hAnsi="Times New Roman" w:cs="Times New Roman"/>
        </w:rPr>
        <w:t xml:space="preserve"> noteiktajiem budžeta izdevumu samazināšanas un efektivitātes mērķiem</w:t>
      </w:r>
      <w:r w:rsidR="00A1330A" w:rsidRPr="002C6E0E">
        <w:rPr>
          <w:rFonts w:ascii="Times New Roman" w:hAnsi="Times New Roman" w:cs="Times New Roman"/>
        </w:rPr>
        <w:t>.</w:t>
      </w:r>
    </w:p>
    <w:p w14:paraId="49F8B4F4" w14:textId="4018AADA" w:rsidR="00A47DD9" w:rsidRPr="002C6E0E" w:rsidRDefault="006C14B0">
      <w:pPr>
        <w:rPr>
          <w:rFonts w:ascii="Times New Roman" w:hAnsi="Times New Roman" w:cs="Times New Roman"/>
        </w:rPr>
      </w:pPr>
      <w:r w:rsidRPr="006C14B0">
        <w:rPr>
          <w:rFonts w:ascii="Times New Roman" w:hAnsi="Times New Roman" w:cs="Times New Roman"/>
        </w:rPr>
        <w:t xml:space="preserve">Nulles budžeta pieejas piemērošana pati par sevi nerada pamatu papildu finansējuma pieprasījumam. Vienlaikus paplašinātajos scenārijos var tikt ietvertas arī jaunas iniciatīvas vai papildu pasākumi, taču to iekļaušana analītiskajā </w:t>
      </w:r>
      <w:proofErr w:type="spellStart"/>
      <w:r w:rsidRPr="006C14B0">
        <w:rPr>
          <w:rFonts w:ascii="Times New Roman" w:hAnsi="Times New Roman" w:cs="Times New Roman"/>
        </w:rPr>
        <w:t>izvērtējumā</w:t>
      </w:r>
      <w:proofErr w:type="spellEnd"/>
      <w:r w:rsidRPr="006C14B0">
        <w:rPr>
          <w:rFonts w:ascii="Times New Roman" w:hAnsi="Times New Roman" w:cs="Times New Roman"/>
        </w:rPr>
        <w:t xml:space="preserve"> nenozīmē automātisku atbalstu finansējuma piešķiršanai. Lēmums par šādu iniciatīvu virzīšanu un finansēšanu ir pieņemams budžeta veidošanas procesā, ņemot vērā valdības vai pašvaldības noteiktās prioritātes un fiskālās iespējas.</w:t>
      </w:r>
    </w:p>
    <w:p w14:paraId="4BCE947F" w14:textId="71BABC97" w:rsidR="00E93257" w:rsidRPr="002C6E0E" w:rsidRDefault="00A1330A" w:rsidP="00365469">
      <w:pPr>
        <w:pStyle w:val="ListBullet"/>
        <w:numPr>
          <w:ilvl w:val="0"/>
          <w:numId w:val="1"/>
        </w:numPr>
        <w:rPr>
          <w:rFonts w:ascii="Times New Roman" w:hAnsi="Times New Roman" w:cs="Times New Roman"/>
        </w:rPr>
      </w:pPr>
      <w:r w:rsidRPr="002C6E0E">
        <w:rPr>
          <w:rFonts w:ascii="Times New Roman" w:hAnsi="Times New Roman" w:cs="Times New Roman"/>
        </w:rPr>
        <w:t>Piemērošana: programmu budžeta plānošana, atbalsta funkciju optimizācija, projektu izvērtēšana</w:t>
      </w:r>
      <w:r w:rsidR="001D50B2">
        <w:rPr>
          <w:rFonts w:ascii="Times New Roman" w:hAnsi="Times New Roman" w:cs="Times New Roman"/>
        </w:rPr>
        <w:t>;</w:t>
      </w:r>
    </w:p>
    <w:p w14:paraId="4F23A0F4" w14:textId="29DAD208" w:rsidR="00E93257" w:rsidRPr="002C6E0E" w:rsidRDefault="00A1330A" w:rsidP="00365469">
      <w:pPr>
        <w:pStyle w:val="ListBullet"/>
        <w:numPr>
          <w:ilvl w:val="0"/>
          <w:numId w:val="1"/>
        </w:numPr>
        <w:rPr>
          <w:rFonts w:ascii="Times New Roman" w:hAnsi="Times New Roman" w:cs="Times New Roman"/>
        </w:rPr>
      </w:pPr>
      <w:r w:rsidRPr="002C6E0E">
        <w:rPr>
          <w:rFonts w:ascii="Times New Roman" w:hAnsi="Times New Roman" w:cs="Times New Roman"/>
        </w:rPr>
        <w:t>Lietojums: pilna mēroga ZBB (visām programmām) vai mērķēta pieeja (atlasītām funkcijām/</w:t>
      </w:r>
      <w:r w:rsidR="00FD6C86">
        <w:rPr>
          <w:rFonts w:ascii="Times New Roman" w:hAnsi="Times New Roman" w:cs="Times New Roman"/>
        </w:rPr>
        <w:t xml:space="preserve">aktivitātēm </w:t>
      </w:r>
      <w:r w:rsidRPr="002C6E0E">
        <w:rPr>
          <w:rFonts w:ascii="Times New Roman" w:hAnsi="Times New Roman" w:cs="Times New Roman"/>
        </w:rPr>
        <w:t>ar augstu izdevumu dinamiku vai zemu rezultativitāti)</w:t>
      </w:r>
      <w:r w:rsidR="001D50B2">
        <w:rPr>
          <w:rFonts w:ascii="Times New Roman" w:hAnsi="Times New Roman" w:cs="Times New Roman"/>
        </w:rPr>
        <w:t>;</w:t>
      </w:r>
    </w:p>
    <w:p w14:paraId="24E2A229" w14:textId="742F0B29" w:rsidR="00E93257" w:rsidRPr="002C6E0E" w:rsidRDefault="00A1330A" w:rsidP="00365469">
      <w:pPr>
        <w:pStyle w:val="ListBullet"/>
        <w:numPr>
          <w:ilvl w:val="0"/>
          <w:numId w:val="1"/>
        </w:numPr>
        <w:rPr>
          <w:rFonts w:ascii="Times New Roman" w:hAnsi="Times New Roman" w:cs="Times New Roman"/>
        </w:rPr>
      </w:pPr>
      <w:r w:rsidRPr="002C6E0E">
        <w:rPr>
          <w:rFonts w:ascii="Times New Roman" w:hAnsi="Times New Roman" w:cs="Times New Roman"/>
        </w:rPr>
        <w:t>Izejas princips: finansējums nav “automātisks” – katra aktivitāte un izdevumu pozīcija ir jāpamato no jauna.</w:t>
      </w:r>
    </w:p>
    <w:p w14:paraId="2573B97E" w14:textId="1B465EB0" w:rsidR="00E93257" w:rsidRPr="00407FED" w:rsidRDefault="00A1330A" w:rsidP="00F77B92">
      <w:pPr>
        <w:pStyle w:val="Heading1"/>
        <w:numPr>
          <w:ilvl w:val="0"/>
          <w:numId w:val="19"/>
        </w:numPr>
        <w:spacing w:after="240"/>
        <w:rPr>
          <w:rFonts w:ascii="Times New Roman" w:hAnsi="Times New Roman" w:cs="Times New Roman"/>
          <w:i/>
          <w:iCs/>
          <w:color w:val="001B6C"/>
        </w:rPr>
      </w:pPr>
      <w:r w:rsidRPr="00407FED">
        <w:rPr>
          <w:rFonts w:ascii="Times New Roman" w:hAnsi="Times New Roman" w:cs="Times New Roman"/>
          <w:i/>
          <w:iCs/>
          <w:color w:val="001B6C"/>
        </w:rPr>
        <w:t>Nulles budžeta pamatideja un atšķirības no inkrementālās pieejas</w:t>
      </w:r>
    </w:p>
    <w:p w14:paraId="639FCBE5" w14:textId="664476E4" w:rsidR="00E93257" w:rsidRPr="002C6E0E" w:rsidRDefault="00A1330A">
      <w:pPr>
        <w:rPr>
          <w:rFonts w:ascii="Times New Roman" w:hAnsi="Times New Roman" w:cs="Times New Roman"/>
        </w:rPr>
      </w:pPr>
      <w:r w:rsidRPr="002C6E0E">
        <w:rPr>
          <w:rFonts w:ascii="Times New Roman" w:hAnsi="Times New Roman" w:cs="Times New Roman"/>
        </w:rPr>
        <w:t xml:space="preserve">Inkrementālā budžetēšana parasti balstās uz iepriekšējā gada bāzi un </w:t>
      </w:r>
      <w:r w:rsidR="00E97F8C" w:rsidRPr="002C6E0E">
        <w:rPr>
          <w:rFonts w:ascii="Times New Roman" w:hAnsi="Times New Roman" w:cs="Times New Roman"/>
        </w:rPr>
        <w:t xml:space="preserve">bāzes </w:t>
      </w:r>
      <w:r w:rsidRPr="002C6E0E">
        <w:rPr>
          <w:rFonts w:ascii="Times New Roman" w:hAnsi="Times New Roman" w:cs="Times New Roman"/>
        </w:rPr>
        <w:t>korekcijām, savukārt nulles budžetēšana sāk</w:t>
      </w:r>
      <w:r w:rsidR="000B4F33">
        <w:rPr>
          <w:rFonts w:ascii="Times New Roman" w:hAnsi="Times New Roman" w:cs="Times New Roman"/>
        </w:rPr>
        <w:t>as</w:t>
      </w:r>
      <w:r w:rsidRPr="002C6E0E">
        <w:rPr>
          <w:rFonts w:ascii="Times New Roman" w:hAnsi="Times New Roman" w:cs="Times New Roman"/>
        </w:rPr>
        <w:t xml:space="preserve"> ar jautājumu, vai konkrētā funkcija/programma vispār ir jāfinansē un kādā līmenī, ja budžetu veidotu</w:t>
      </w:r>
      <w:r w:rsidR="00E97F8C" w:rsidRPr="002C6E0E">
        <w:rPr>
          <w:rFonts w:ascii="Times New Roman" w:hAnsi="Times New Roman" w:cs="Times New Roman"/>
        </w:rPr>
        <w:t xml:space="preserve"> </w:t>
      </w:r>
      <w:r w:rsidRPr="002C6E0E">
        <w:rPr>
          <w:rFonts w:ascii="Times New Roman" w:hAnsi="Times New Roman" w:cs="Times New Roman"/>
        </w:rPr>
        <w:t>“no nulles”.</w:t>
      </w:r>
    </w:p>
    <w:p w14:paraId="045E0815" w14:textId="052B6067" w:rsidR="00E93257" w:rsidRPr="00E32FE0" w:rsidRDefault="00A1330A" w:rsidP="00407FED">
      <w:pPr>
        <w:pStyle w:val="Heading2"/>
        <w:numPr>
          <w:ilvl w:val="1"/>
          <w:numId w:val="19"/>
        </w:numPr>
        <w:spacing w:after="240"/>
        <w:rPr>
          <w:rFonts w:ascii="Times New Roman" w:hAnsi="Times New Roman" w:cs="Times New Roman"/>
          <w:color w:val="auto"/>
        </w:rPr>
      </w:pPr>
      <w:r w:rsidRPr="00E32FE0">
        <w:rPr>
          <w:rFonts w:ascii="Times New Roman" w:hAnsi="Times New Roman" w:cs="Times New Roman"/>
          <w:color w:val="auto"/>
        </w:rPr>
        <w:t>Galvenie principi</w:t>
      </w:r>
    </w:p>
    <w:p w14:paraId="2668B2B8" w14:textId="189D8056" w:rsidR="00E93257" w:rsidRPr="002C6E0E" w:rsidRDefault="00A1330A" w:rsidP="00365469">
      <w:pPr>
        <w:pStyle w:val="ListBullet"/>
        <w:numPr>
          <w:ilvl w:val="0"/>
          <w:numId w:val="10"/>
        </w:numPr>
        <w:rPr>
          <w:rFonts w:ascii="Times New Roman" w:hAnsi="Times New Roman" w:cs="Times New Roman"/>
        </w:rPr>
      </w:pPr>
      <w:r w:rsidRPr="002C6E0E">
        <w:rPr>
          <w:rFonts w:ascii="Times New Roman" w:hAnsi="Times New Roman" w:cs="Times New Roman"/>
        </w:rPr>
        <w:t>Pakalpojumu un rezultātu fokusēšana (nevis iestādes “uzturēšana”)</w:t>
      </w:r>
      <w:r w:rsidR="001D50B2">
        <w:rPr>
          <w:rFonts w:ascii="Times New Roman" w:hAnsi="Times New Roman" w:cs="Times New Roman"/>
        </w:rPr>
        <w:t>;</w:t>
      </w:r>
    </w:p>
    <w:p w14:paraId="199D1350" w14:textId="5A65C813" w:rsidR="00E93257" w:rsidRPr="002C6E0E" w:rsidRDefault="00A1330A" w:rsidP="00365469">
      <w:pPr>
        <w:pStyle w:val="ListBullet"/>
        <w:numPr>
          <w:ilvl w:val="0"/>
          <w:numId w:val="10"/>
        </w:numPr>
        <w:rPr>
          <w:rFonts w:ascii="Times New Roman" w:hAnsi="Times New Roman" w:cs="Times New Roman"/>
        </w:rPr>
      </w:pPr>
      <w:r w:rsidRPr="002C6E0E">
        <w:rPr>
          <w:rFonts w:ascii="Times New Roman" w:hAnsi="Times New Roman" w:cs="Times New Roman"/>
        </w:rPr>
        <w:t>Alternatīvu izvērtēšana (t.sk. pārvaldības modeļi, digitalizācija, ārpakalpojumi, sadarbība starp iestādēm)</w:t>
      </w:r>
      <w:r w:rsidR="001D50B2">
        <w:rPr>
          <w:rFonts w:ascii="Times New Roman" w:hAnsi="Times New Roman" w:cs="Times New Roman"/>
        </w:rPr>
        <w:t>;</w:t>
      </w:r>
    </w:p>
    <w:p w14:paraId="39FAAF11" w14:textId="1E5BD459" w:rsidR="00E93257" w:rsidRPr="002C6E0E" w:rsidRDefault="00A1330A" w:rsidP="00365469">
      <w:pPr>
        <w:pStyle w:val="ListBullet"/>
        <w:numPr>
          <w:ilvl w:val="0"/>
          <w:numId w:val="10"/>
        </w:numPr>
        <w:rPr>
          <w:rFonts w:ascii="Times New Roman" w:hAnsi="Times New Roman" w:cs="Times New Roman"/>
        </w:rPr>
      </w:pPr>
      <w:r w:rsidRPr="002C6E0E">
        <w:rPr>
          <w:rFonts w:ascii="Times New Roman" w:hAnsi="Times New Roman" w:cs="Times New Roman"/>
        </w:rPr>
        <w:t>Izmaksu–ieguvumu un izmaksu efektivitātes izvērtējums</w:t>
      </w:r>
      <w:r w:rsidR="001D50B2">
        <w:rPr>
          <w:rFonts w:ascii="Times New Roman" w:hAnsi="Times New Roman" w:cs="Times New Roman"/>
        </w:rPr>
        <w:t>;</w:t>
      </w:r>
    </w:p>
    <w:p w14:paraId="611AF232" w14:textId="214C3094" w:rsidR="00E93257" w:rsidRPr="002C6E0E" w:rsidRDefault="00A1330A" w:rsidP="00365469">
      <w:pPr>
        <w:pStyle w:val="ListBullet"/>
        <w:numPr>
          <w:ilvl w:val="0"/>
          <w:numId w:val="10"/>
        </w:numPr>
        <w:rPr>
          <w:rFonts w:ascii="Times New Roman" w:hAnsi="Times New Roman" w:cs="Times New Roman"/>
        </w:rPr>
      </w:pPr>
      <w:r w:rsidRPr="002C6E0E">
        <w:rPr>
          <w:rFonts w:ascii="Times New Roman" w:hAnsi="Times New Roman" w:cs="Times New Roman"/>
        </w:rPr>
        <w:t>Prioritāšu ranžēšana – kompromiss starp mērķi un izmaksām; rezultātā identificē finansējamās prioritātes</w:t>
      </w:r>
      <w:r w:rsidR="001D50B2">
        <w:rPr>
          <w:rFonts w:ascii="Times New Roman" w:hAnsi="Times New Roman" w:cs="Times New Roman"/>
        </w:rPr>
        <w:t>;</w:t>
      </w:r>
    </w:p>
    <w:p w14:paraId="61CA4BE4" w14:textId="58B91D11" w:rsidR="00E93257" w:rsidRPr="002C6E0E" w:rsidRDefault="00A1330A" w:rsidP="00365469">
      <w:pPr>
        <w:pStyle w:val="ListBullet"/>
        <w:numPr>
          <w:ilvl w:val="0"/>
          <w:numId w:val="10"/>
        </w:numPr>
        <w:rPr>
          <w:rFonts w:ascii="Times New Roman" w:hAnsi="Times New Roman" w:cs="Times New Roman"/>
        </w:rPr>
      </w:pPr>
      <w:r w:rsidRPr="002C6E0E">
        <w:rPr>
          <w:rFonts w:ascii="Times New Roman" w:hAnsi="Times New Roman" w:cs="Times New Roman"/>
        </w:rPr>
        <w:t>Mērāmi rezultāti un atbildība par sniegumu.</w:t>
      </w:r>
    </w:p>
    <w:p w14:paraId="28CE60F7" w14:textId="6ECE88C2" w:rsidR="00E93257" w:rsidRPr="00407FED" w:rsidRDefault="00A1330A" w:rsidP="00407FED">
      <w:pPr>
        <w:pStyle w:val="Heading1"/>
        <w:numPr>
          <w:ilvl w:val="0"/>
          <w:numId w:val="19"/>
        </w:numPr>
        <w:rPr>
          <w:rFonts w:ascii="Times New Roman" w:hAnsi="Times New Roman" w:cs="Times New Roman"/>
          <w:i/>
          <w:iCs/>
          <w:color w:val="001B6C"/>
        </w:rPr>
      </w:pPr>
      <w:r w:rsidRPr="00407FED">
        <w:rPr>
          <w:rFonts w:ascii="Times New Roman" w:hAnsi="Times New Roman" w:cs="Times New Roman"/>
          <w:i/>
          <w:iCs/>
          <w:color w:val="001B6C"/>
        </w:rPr>
        <w:t>Metodoloģijas elementi (ZBB arhitektūra)</w:t>
      </w:r>
    </w:p>
    <w:p w14:paraId="106AB63B" w14:textId="693CC644" w:rsidR="00E93257" w:rsidRPr="00E32FE0" w:rsidRDefault="009603AB" w:rsidP="00407FED">
      <w:pPr>
        <w:pStyle w:val="Heading2"/>
        <w:numPr>
          <w:ilvl w:val="1"/>
          <w:numId w:val="19"/>
        </w:numPr>
        <w:spacing w:after="240"/>
        <w:rPr>
          <w:rFonts w:ascii="Times New Roman" w:hAnsi="Times New Roman" w:cs="Times New Roman"/>
          <w:color w:val="auto"/>
        </w:rPr>
      </w:pPr>
      <w:r w:rsidRPr="00E32FE0">
        <w:rPr>
          <w:rFonts w:ascii="Times New Roman" w:hAnsi="Times New Roman" w:cs="Times New Roman"/>
          <w:color w:val="auto"/>
        </w:rPr>
        <w:t>Analizējama b</w:t>
      </w:r>
      <w:r w:rsidR="00A1330A" w:rsidRPr="00E32FE0">
        <w:rPr>
          <w:rFonts w:ascii="Times New Roman" w:hAnsi="Times New Roman" w:cs="Times New Roman"/>
          <w:color w:val="auto"/>
        </w:rPr>
        <w:t>udžeta vienība (</w:t>
      </w:r>
      <w:r w:rsidR="00E97F8C" w:rsidRPr="00E32FE0">
        <w:rPr>
          <w:rFonts w:ascii="Times New Roman" w:hAnsi="Times New Roman" w:cs="Times New Roman"/>
          <w:i/>
          <w:iCs/>
          <w:color w:val="auto"/>
        </w:rPr>
        <w:t>budget decision</w:t>
      </w:r>
      <w:r w:rsidR="00A1330A" w:rsidRPr="00E32FE0">
        <w:rPr>
          <w:rFonts w:ascii="Times New Roman" w:hAnsi="Times New Roman" w:cs="Times New Roman"/>
          <w:i/>
          <w:iCs/>
          <w:color w:val="auto"/>
        </w:rPr>
        <w:t xml:space="preserve"> unit</w:t>
      </w:r>
      <w:r w:rsidR="00A1330A" w:rsidRPr="00E32FE0">
        <w:rPr>
          <w:rFonts w:ascii="Times New Roman" w:hAnsi="Times New Roman" w:cs="Times New Roman"/>
          <w:color w:val="auto"/>
        </w:rPr>
        <w:t>)</w:t>
      </w:r>
    </w:p>
    <w:p w14:paraId="68DDA862" w14:textId="77777777" w:rsidR="00E93257" w:rsidRPr="002C6E0E" w:rsidRDefault="00A1330A">
      <w:pPr>
        <w:rPr>
          <w:rFonts w:ascii="Times New Roman" w:hAnsi="Times New Roman" w:cs="Times New Roman"/>
        </w:rPr>
      </w:pPr>
      <w:r w:rsidRPr="002C6E0E">
        <w:rPr>
          <w:rFonts w:ascii="Times New Roman" w:hAnsi="Times New Roman" w:cs="Times New Roman"/>
        </w:rPr>
        <w:t>Budžeta vienība ir analīzes objekts, par kuru sagatavo pamatojumu. Tā var būt programma, pasākums, pakalpojums, projekts vai atbalsta funkcija. Budžeta vienībai jābūt pietiekami konkrētai, lai var definēt mērķi, iznākumu un izmaksas.</w:t>
      </w:r>
    </w:p>
    <w:p w14:paraId="1A91A539" w14:textId="026D5EF7" w:rsidR="00E93257" w:rsidRPr="00E32FE0" w:rsidRDefault="00A1330A" w:rsidP="00407FED">
      <w:pPr>
        <w:pStyle w:val="Heading2"/>
        <w:numPr>
          <w:ilvl w:val="1"/>
          <w:numId w:val="19"/>
        </w:numPr>
        <w:spacing w:after="240"/>
        <w:rPr>
          <w:rFonts w:ascii="Times New Roman" w:hAnsi="Times New Roman" w:cs="Times New Roman"/>
          <w:color w:val="auto"/>
        </w:rPr>
      </w:pPr>
      <w:r w:rsidRPr="00E32FE0">
        <w:rPr>
          <w:rFonts w:ascii="Times New Roman" w:hAnsi="Times New Roman" w:cs="Times New Roman"/>
          <w:color w:val="auto"/>
        </w:rPr>
        <w:lastRenderedPageBreak/>
        <w:t>Lēmumu pakete (</w:t>
      </w:r>
      <w:r w:rsidRPr="00E32FE0">
        <w:rPr>
          <w:rFonts w:ascii="Times New Roman" w:hAnsi="Times New Roman" w:cs="Times New Roman"/>
          <w:i/>
          <w:iCs/>
          <w:color w:val="auto"/>
        </w:rPr>
        <w:t>decision package</w:t>
      </w:r>
      <w:r w:rsidRPr="00E32FE0">
        <w:rPr>
          <w:rFonts w:ascii="Times New Roman" w:hAnsi="Times New Roman" w:cs="Times New Roman"/>
          <w:color w:val="auto"/>
        </w:rPr>
        <w:t>)</w:t>
      </w:r>
    </w:p>
    <w:p w14:paraId="607C4B94" w14:textId="77777777" w:rsidR="00E93257" w:rsidRPr="002C6E0E" w:rsidRDefault="00A1330A">
      <w:pPr>
        <w:rPr>
          <w:rFonts w:ascii="Times New Roman" w:hAnsi="Times New Roman" w:cs="Times New Roman"/>
        </w:rPr>
      </w:pPr>
      <w:r w:rsidRPr="002C6E0E">
        <w:rPr>
          <w:rFonts w:ascii="Times New Roman" w:hAnsi="Times New Roman" w:cs="Times New Roman"/>
        </w:rPr>
        <w:t>Lēmumu pakete ir standarta apraksts, kas ļauj salīdzināt budžeta vienības savā starpā un pieņemt lēmumu par finansējuma līmeni.</w:t>
      </w:r>
    </w:p>
    <w:p w14:paraId="1B6C5EBC" w14:textId="585E09B6" w:rsidR="00E93257" w:rsidRPr="002C6E0E" w:rsidRDefault="00A1330A" w:rsidP="00A80F41">
      <w:pPr>
        <w:pStyle w:val="ListBullet"/>
        <w:numPr>
          <w:ilvl w:val="0"/>
          <w:numId w:val="11"/>
        </w:numPr>
        <w:rPr>
          <w:rFonts w:ascii="Times New Roman" w:hAnsi="Times New Roman" w:cs="Times New Roman"/>
        </w:rPr>
      </w:pPr>
      <w:r w:rsidRPr="002C6E0E">
        <w:rPr>
          <w:rFonts w:ascii="Times New Roman" w:hAnsi="Times New Roman" w:cs="Times New Roman"/>
        </w:rPr>
        <w:t>Mērķis un juridiskais pamats (obligāts / izvēles)</w:t>
      </w:r>
      <w:r w:rsidR="001D50B2">
        <w:rPr>
          <w:rFonts w:ascii="Times New Roman" w:hAnsi="Times New Roman" w:cs="Times New Roman"/>
        </w:rPr>
        <w:t>;</w:t>
      </w:r>
    </w:p>
    <w:p w14:paraId="277B1057" w14:textId="75401800" w:rsidR="00E93257" w:rsidRPr="002C6E0E" w:rsidRDefault="00A1330A" w:rsidP="00A80F41">
      <w:pPr>
        <w:pStyle w:val="ListBullet"/>
        <w:numPr>
          <w:ilvl w:val="0"/>
          <w:numId w:val="11"/>
        </w:numPr>
        <w:rPr>
          <w:rFonts w:ascii="Times New Roman" w:hAnsi="Times New Roman" w:cs="Times New Roman"/>
        </w:rPr>
      </w:pPr>
      <w:r w:rsidRPr="002C6E0E">
        <w:rPr>
          <w:rFonts w:ascii="Times New Roman" w:hAnsi="Times New Roman" w:cs="Times New Roman"/>
        </w:rPr>
        <w:t>Mērķgrupa un pakalpojuma apjoms (vienības, klienti, apkalpošanas kanāli)</w:t>
      </w:r>
      <w:r w:rsidR="001D50B2">
        <w:rPr>
          <w:rFonts w:ascii="Times New Roman" w:hAnsi="Times New Roman" w:cs="Times New Roman"/>
        </w:rPr>
        <w:t>;</w:t>
      </w:r>
    </w:p>
    <w:p w14:paraId="372E9C5E" w14:textId="247CA45D" w:rsidR="00E93257" w:rsidRPr="002C6E0E" w:rsidRDefault="00A1330A" w:rsidP="00A80F41">
      <w:pPr>
        <w:pStyle w:val="ListBullet"/>
        <w:numPr>
          <w:ilvl w:val="0"/>
          <w:numId w:val="11"/>
        </w:numPr>
        <w:rPr>
          <w:rFonts w:ascii="Times New Roman" w:hAnsi="Times New Roman" w:cs="Times New Roman"/>
        </w:rPr>
      </w:pPr>
      <w:r w:rsidRPr="002C6E0E">
        <w:rPr>
          <w:rFonts w:ascii="Times New Roman" w:hAnsi="Times New Roman" w:cs="Times New Roman"/>
        </w:rPr>
        <w:t>Rezultāti un KPI (definīcijas, datu avoti, mērķvērtības)</w:t>
      </w:r>
      <w:r w:rsidR="001D50B2">
        <w:rPr>
          <w:rFonts w:ascii="Times New Roman" w:hAnsi="Times New Roman" w:cs="Times New Roman"/>
        </w:rPr>
        <w:t>;</w:t>
      </w:r>
    </w:p>
    <w:p w14:paraId="123195EC" w14:textId="70E95FDC" w:rsidR="00E93257" w:rsidRPr="002C6E0E" w:rsidRDefault="00A1330A" w:rsidP="00A80F41">
      <w:pPr>
        <w:pStyle w:val="ListBullet"/>
        <w:numPr>
          <w:ilvl w:val="0"/>
          <w:numId w:val="11"/>
        </w:numPr>
        <w:rPr>
          <w:rFonts w:ascii="Times New Roman" w:hAnsi="Times New Roman" w:cs="Times New Roman"/>
        </w:rPr>
      </w:pPr>
      <w:r w:rsidRPr="002C6E0E">
        <w:rPr>
          <w:rFonts w:ascii="Times New Roman" w:hAnsi="Times New Roman" w:cs="Times New Roman"/>
        </w:rPr>
        <w:t xml:space="preserve">Izmaksu struktūra un izmaksu </w:t>
      </w:r>
      <w:r w:rsidR="00735EF0">
        <w:rPr>
          <w:rFonts w:ascii="Times New Roman" w:hAnsi="Times New Roman" w:cs="Times New Roman"/>
        </w:rPr>
        <w:t>ierosinātāji (</w:t>
      </w:r>
      <w:r w:rsidR="00735EF0" w:rsidRPr="0051081D">
        <w:rPr>
          <w:rFonts w:ascii="Times New Roman" w:hAnsi="Times New Roman" w:cs="Times New Roman"/>
          <w:i/>
          <w:iCs/>
        </w:rPr>
        <w:t>cost drivers</w:t>
      </w:r>
      <w:r w:rsidR="00735EF0">
        <w:rPr>
          <w:rFonts w:ascii="Times New Roman" w:hAnsi="Times New Roman" w:cs="Times New Roman"/>
        </w:rPr>
        <w:t>)</w:t>
      </w:r>
      <w:r w:rsidR="00735EF0" w:rsidRPr="002C6E0E">
        <w:rPr>
          <w:rFonts w:ascii="Times New Roman" w:hAnsi="Times New Roman" w:cs="Times New Roman"/>
        </w:rPr>
        <w:t xml:space="preserve"> </w:t>
      </w:r>
      <w:r w:rsidRPr="002C6E0E">
        <w:rPr>
          <w:rFonts w:ascii="Times New Roman" w:hAnsi="Times New Roman" w:cs="Times New Roman"/>
        </w:rPr>
        <w:t>(personāls, preces/pakalpojumi, kapitālieguldījumi)</w:t>
      </w:r>
      <w:r w:rsidR="001D50B2">
        <w:rPr>
          <w:rFonts w:ascii="Times New Roman" w:hAnsi="Times New Roman" w:cs="Times New Roman"/>
        </w:rPr>
        <w:t>;</w:t>
      </w:r>
    </w:p>
    <w:p w14:paraId="1351350F" w14:textId="1F91BC35" w:rsidR="00E93257" w:rsidRPr="002C6E0E" w:rsidRDefault="00A1330A" w:rsidP="00A80F41">
      <w:pPr>
        <w:pStyle w:val="ListBullet"/>
        <w:numPr>
          <w:ilvl w:val="0"/>
          <w:numId w:val="11"/>
        </w:numPr>
        <w:rPr>
          <w:rFonts w:ascii="Times New Roman" w:hAnsi="Times New Roman" w:cs="Times New Roman"/>
        </w:rPr>
      </w:pPr>
      <w:r w:rsidRPr="002C6E0E">
        <w:rPr>
          <w:rFonts w:ascii="Times New Roman" w:hAnsi="Times New Roman" w:cs="Times New Roman"/>
        </w:rPr>
        <w:t xml:space="preserve">Alternatīvas (vismaz 2–3 scenāriji): </w:t>
      </w:r>
      <w:r w:rsidR="009603AB">
        <w:rPr>
          <w:rFonts w:ascii="Times New Roman" w:hAnsi="Times New Roman" w:cs="Times New Roman"/>
        </w:rPr>
        <w:t xml:space="preserve">esošais, </w:t>
      </w:r>
      <w:r w:rsidRPr="002C6E0E">
        <w:rPr>
          <w:rFonts w:ascii="Times New Roman" w:hAnsi="Times New Roman" w:cs="Times New Roman"/>
        </w:rPr>
        <w:t>minimālais (bāzes), optimālais, paplašinātais; kā arī strukturālas alternatīvas</w:t>
      </w:r>
      <w:r w:rsidR="00746F82">
        <w:rPr>
          <w:rStyle w:val="FootnoteReference"/>
          <w:rFonts w:ascii="Times New Roman" w:hAnsi="Times New Roman" w:cs="Times New Roman"/>
        </w:rPr>
        <w:footnoteReference w:id="1"/>
      </w:r>
      <w:r w:rsidR="001D50B2">
        <w:rPr>
          <w:rFonts w:ascii="Times New Roman" w:hAnsi="Times New Roman" w:cs="Times New Roman"/>
        </w:rPr>
        <w:t>;</w:t>
      </w:r>
    </w:p>
    <w:p w14:paraId="2D6D4E60" w14:textId="28611A49" w:rsidR="00E93257" w:rsidRPr="002C6E0E" w:rsidRDefault="00A1330A" w:rsidP="00A80F41">
      <w:pPr>
        <w:pStyle w:val="ListBullet"/>
        <w:numPr>
          <w:ilvl w:val="0"/>
          <w:numId w:val="11"/>
        </w:numPr>
        <w:rPr>
          <w:rFonts w:ascii="Times New Roman" w:hAnsi="Times New Roman" w:cs="Times New Roman"/>
        </w:rPr>
      </w:pPr>
      <w:r w:rsidRPr="002C6E0E">
        <w:rPr>
          <w:rFonts w:ascii="Times New Roman" w:hAnsi="Times New Roman" w:cs="Times New Roman"/>
        </w:rPr>
        <w:t>Riski un ietekme (pakalpojuma kvalitāte, pieejamība, reputācija, atbilstība)</w:t>
      </w:r>
      <w:r w:rsidR="001D50B2">
        <w:rPr>
          <w:rFonts w:ascii="Times New Roman" w:hAnsi="Times New Roman" w:cs="Times New Roman"/>
        </w:rPr>
        <w:t>;</w:t>
      </w:r>
    </w:p>
    <w:p w14:paraId="55648F1E" w14:textId="77777777" w:rsidR="00E93257" w:rsidRPr="002C6E0E" w:rsidRDefault="00A1330A" w:rsidP="00A80F41">
      <w:pPr>
        <w:pStyle w:val="ListBullet"/>
        <w:numPr>
          <w:ilvl w:val="0"/>
          <w:numId w:val="11"/>
        </w:numPr>
        <w:rPr>
          <w:rFonts w:ascii="Times New Roman" w:hAnsi="Times New Roman" w:cs="Times New Roman"/>
        </w:rPr>
      </w:pPr>
      <w:r w:rsidRPr="002C6E0E">
        <w:rPr>
          <w:rFonts w:ascii="Times New Roman" w:hAnsi="Times New Roman" w:cs="Times New Roman"/>
        </w:rPr>
        <w:t>Ieviešanas plāns un priekšnoteikumi (IT, normatīvie akti, personāla kompetences).</w:t>
      </w:r>
    </w:p>
    <w:p w14:paraId="0DD34E5D" w14:textId="24538CDF" w:rsidR="00E93257" w:rsidRPr="00E32FE0" w:rsidRDefault="00A1330A" w:rsidP="00407FED">
      <w:pPr>
        <w:pStyle w:val="Heading2"/>
        <w:numPr>
          <w:ilvl w:val="1"/>
          <w:numId w:val="19"/>
        </w:numPr>
        <w:rPr>
          <w:rFonts w:ascii="Times New Roman" w:hAnsi="Times New Roman" w:cs="Times New Roman"/>
          <w:color w:val="auto"/>
        </w:rPr>
      </w:pPr>
      <w:r w:rsidRPr="00E32FE0">
        <w:rPr>
          <w:rFonts w:ascii="Times New Roman" w:hAnsi="Times New Roman" w:cs="Times New Roman"/>
          <w:color w:val="auto"/>
        </w:rPr>
        <w:t>Finansējuma līmeņi un scenāriji</w:t>
      </w:r>
    </w:p>
    <w:p w14:paraId="7E71FECD" w14:textId="77777777" w:rsidR="00E93257" w:rsidRPr="002C6E0E" w:rsidRDefault="00A1330A" w:rsidP="00A80F41">
      <w:pPr>
        <w:pStyle w:val="ListBullet"/>
        <w:numPr>
          <w:ilvl w:val="0"/>
          <w:numId w:val="12"/>
        </w:numPr>
        <w:rPr>
          <w:rFonts w:ascii="Times New Roman" w:hAnsi="Times New Roman" w:cs="Times New Roman"/>
        </w:rPr>
      </w:pPr>
      <w:r w:rsidRPr="002C6E0E">
        <w:rPr>
          <w:rFonts w:ascii="Times New Roman" w:hAnsi="Times New Roman" w:cs="Times New Roman"/>
        </w:rPr>
        <w:t>Minimālais (bāzes) līmenis: nodrošina obligāto funkciju izpildi.</w:t>
      </w:r>
    </w:p>
    <w:p w14:paraId="76490770" w14:textId="77777777" w:rsidR="00E93257" w:rsidRPr="002C6E0E" w:rsidRDefault="00A1330A" w:rsidP="00A80F41">
      <w:pPr>
        <w:pStyle w:val="ListBullet"/>
        <w:numPr>
          <w:ilvl w:val="0"/>
          <w:numId w:val="12"/>
        </w:numPr>
        <w:rPr>
          <w:rFonts w:ascii="Times New Roman" w:hAnsi="Times New Roman" w:cs="Times New Roman"/>
        </w:rPr>
      </w:pPr>
      <w:r w:rsidRPr="002C6E0E">
        <w:rPr>
          <w:rFonts w:ascii="Times New Roman" w:hAnsi="Times New Roman" w:cs="Times New Roman"/>
        </w:rPr>
        <w:t>Mērķa (optimālais) līmenis: nodrošina politikas mērķu sasniegšanu ar efektīvu resursu kombināciju.</w:t>
      </w:r>
    </w:p>
    <w:p w14:paraId="6AAF5563" w14:textId="77777777" w:rsidR="00E93257" w:rsidRPr="002C6E0E" w:rsidRDefault="00A1330A" w:rsidP="00A80F41">
      <w:pPr>
        <w:pStyle w:val="ListBullet"/>
        <w:numPr>
          <w:ilvl w:val="0"/>
          <w:numId w:val="12"/>
        </w:numPr>
        <w:rPr>
          <w:rFonts w:ascii="Times New Roman" w:hAnsi="Times New Roman" w:cs="Times New Roman"/>
        </w:rPr>
      </w:pPr>
      <w:r w:rsidRPr="002C6E0E">
        <w:rPr>
          <w:rFonts w:ascii="Times New Roman" w:hAnsi="Times New Roman" w:cs="Times New Roman"/>
        </w:rPr>
        <w:t>Paplašinātais līmenis: papildu pakalpojumi/jaunas iniciatīvas ar skaidru ietekmes pamatojumu.</w:t>
      </w:r>
    </w:p>
    <w:p w14:paraId="636BA0FD" w14:textId="77777777" w:rsidR="00E93257" w:rsidRPr="002C6E0E" w:rsidRDefault="00A1330A" w:rsidP="00A80F41">
      <w:pPr>
        <w:pStyle w:val="ListBullet"/>
        <w:numPr>
          <w:ilvl w:val="0"/>
          <w:numId w:val="12"/>
        </w:numPr>
        <w:rPr>
          <w:rFonts w:ascii="Times New Roman" w:hAnsi="Times New Roman" w:cs="Times New Roman"/>
        </w:rPr>
      </w:pPr>
      <w:r w:rsidRPr="002C6E0E">
        <w:rPr>
          <w:rFonts w:ascii="Times New Roman" w:hAnsi="Times New Roman" w:cs="Times New Roman"/>
        </w:rPr>
        <w:t>Strukturālās alternatīvas: reorganizācija, centralizācija, koplietojami pakalpojumi, digitalizācija, ārpakalpojumi.</w:t>
      </w:r>
    </w:p>
    <w:p w14:paraId="330BE493" w14:textId="29C3BDEB" w:rsidR="00E93257" w:rsidRPr="00E32FE0" w:rsidRDefault="00A1330A" w:rsidP="00407FED">
      <w:pPr>
        <w:pStyle w:val="Heading2"/>
        <w:numPr>
          <w:ilvl w:val="1"/>
          <w:numId w:val="19"/>
        </w:numPr>
        <w:rPr>
          <w:rFonts w:ascii="Times New Roman" w:hAnsi="Times New Roman" w:cs="Times New Roman"/>
          <w:color w:val="auto"/>
        </w:rPr>
      </w:pPr>
      <w:r w:rsidRPr="00E32FE0">
        <w:rPr>
          <w:rFonts w:ascii="Times New Roman" w:hAnsi="Times New Roman" w:cs="Times New Roman"/>
          <w:color w:val="auto"/>
        </w:rPr>
        <w:t>Ranžēšanas kritēriji</w:t>
      </w:r>
    </w:p>
    <w:p w14:paraId="6A4CACFF" w14:textId="198BC33D" w:rsidR="00E93257" w:rsidRPr="002C6E0E" w:rsidRDefault="00A1330A" w:rsidP="001D50B2">
      <w:pPr>
        <w:spacing w:before="240"/>
        <w:rPr>
          <w:rFonts w:ascii="Times New Roman" w:hAnsi="Times New Roman" w:cs="Times New Roman"/>
        </w:rPr>
      </w:pPr>
      <w:r w:rsidRPr="002C6E0E">
        <w:rPr>
          <w:rFonts w:ascii="Times New Roman" w:hAnsi="Times New Roman" w:cs="Times New Roman"/>
        </w:rPr>
        <w:t xml:space="preserve">Ranžēšana (prioritizēšana) ir lēmumu posms, kurā vienības salīdzina pēc vienotiem </w:t>
      </w:r>
      <w:r w:rsidR="0015656A" w:rsidRPr="002C6E0E">
        <w:rPr>
          <w:rFonts w:ascii="Times New Roman" w:hAnsi="Times New Roman" w:cs="Times New Roman"/>
        </w:rPr>
        <w:t>kritērijiem</w:t>
      </w:r>
      <w:r w:rsidR="001D50B2">
        <w:rPr>
          <w:rFonts w:ascii="Times New Roman" w:hAnsi="Times New Roman" w:cs="Times New Roman"/>
        </w:rPr>
        <w:t>:</w:t>
      </w:r>
    </w:p>
    <w:p w14:paraId="1A95AB6C" w14:textId="44BA4C23" w:rsidR="00E93257" w:rsidRPr="002C6E0E" w:rsidRDefault="00A1330A" w:rsidP="00A80F41">
      <w:pPr>
        <w:pStyle w:val="ListBullet"/>
        <w:numPr>
          <w:ilvl w:val="0"/>
          <w:numId w:val="13"/>
        </w:numPr>
        <w:rPr>
          <w:rFonts w:ascii="Times New Roman" w:hAnsi="Times New Roman" w:cs="Times New Roman"/>
        </w:rPr>
      </w:pPr>
      <w:r w:rsidRPr="002C6E0E">
        <w:rPr>
          <w:rFonts w:ascii="Times New Roman" w:hAnsi="Times New Roman" w:cs="Times New Roman"/>
        </w:rPr>
        <w:t>Politikas atbilstība un stratēģiskais svarīgums</w:t>
      </w:r>
      <w:r w:rsidR="001D50B2">
        <w:rPr>
          <w:rFonts w:ascii="Times New Roman" w:hAnsi="Times New Roman" w:cs="Times New Roman"/>
        </w:rPr>
        <w:t>;</w:t>
      </w:r>
    </w:p>
    <w:p w14:paraId="7ADE2094" w14:textId="55AC117D" w:rsidR="00E93257" w:rsidRPr="002C6E0E" w:rsidRDefault="00A1330A" w:rsidP="00A80F41">
      <w:pPr>
        <w:pStyle w:val="ListBullet"/>
        <w:numPr>
          <w:ilvl w:val="0"/>
          <w:numId w:val="13"/>
        </w:numPr>
        <w:rPr>
          <w:rFonts w:ascii="Times New Roman" w:hAnsi="Times New Roman" w:cs="Times New Roman"/>
        </w:rPr>
      </w:pPr>
      <w:r w:rsidRPr="002C6E0E">
        <w:rPr>
          <w:rFonts w:ascii="Times New Roman" w:hAnsi="Times New Roman" w:cs="Times New Roman"/>
        </w:rPr>
        <w:t>Juridiskā saistība (obligāts / izvēles)</w:t>
      </w:r>
      <w:r w:rsidR="001D50B2">
        <w:rPr>
          <w:rFonts w:ascii="Times New Roman" w:hAnsi="Times New Roman" w:cs="Times New Roman"/>
        </w:rPr>
        <w:t>;</w:t>
      </w:r>
    </w:p>
    <w:p w14:paraId="3694BF82" w14:textId="228D34D4" w:rsidR="00E93257" w:rsidRPr="002C6E0E" w:rsidRDefault="00A1330A" w:rsidP="00A80F41">
      <w:pPr>
        <w:pStyle w:val="ListBullet"/>
        <w:numPr>
          <w:ilvl w:val="0"/>
          <w:numId w:val="13"/>
        </w:numPr>
        <w:rPr>
          <w:rFonts w:ascii="Times New Roman" w:hAnsi="Times New Roman" w:cs="Times New Roman"/>
        </w:rPr>
      </w:pPr>
      <w:r w:rsidRPr="002C6E0E">
        <w:rPr>
          <w:rFonts w:ascii="Times New Roman" w:hAnsi="Times New Roman" w:cs="Times New Roman"/>
        </w:rPr>
        <w:t>Sabiedrības ieguvums un ietekme (</w:t>
      </w:r>
      <w:proofErr w:type="spellStart"/>
      <w:r w:rsidRPr="0051081D">
        <w:rPr>
          <w:rFonts w:ascii="Times New Roman" w:hAnsi="Times New Roman" w:cs="Times New Roman"/>
          <w:i/>
          <w:iCs/>
        </w:rPr>
        <w:t>outcome</w:t>
      </w:r>
      <w:proofErr w:type="spellEnd"/>
      <w:r w:rsidRPr="002C6E0E">
        <w:rPr>
          <w:rFonts w:ascii="Times New Roman" w:hAnsi="Times New Roman" w:cs="Times New Roman"/>
        </w:rPr>
        <w:t>)</w:t>
      </w:r>
      <w:r w:rsidR="001D50B2">
        <w:rPr>
          <w:rFonts w:ascii="Times New Roman" w:hAnsi="Times New Roman" w:cs="Times New Roman"/>
        </w:rPr>
        <w:t>;</w:t>
      </w:r>
    </w:p>
    <w:p w14:paraId="0383ADE1" w14:textId="41F42CF4" w:rsidR="00E93257" w:rsidRPr="002C6E0E" w:rsidRDefault="00A1330A" w:rsidP="00A80F41">
      <w:pPr>
        <w:pStyle w:val="ListBullet"/>
        <w:numPr>
          <w:ilvl w:val="0"/>
          <w:numId w:val="13"/>
        </w:numPr>
        <w:rPr>
          <w:rFonts w:ascii="Times New Roman" w:hAnsi="Times New Roman" w:cs="Times New Roman"/>
        </w:rPr>
      </w:pPr>
      <w:r w:rsidRPr="002C6E0E">
        <w:rPr>
          <w:rFonts w:ascii="Times New Roman" w:hAnsi="Times New Roman" w:cs="Times New Roman"/>
        </w:rPr>
        <w:t>Izmaksu efektivitāte (</w:t>
      </w:r>
      <w:r w:rsidR="00D153EC">
        <w:rPr>
          <w:rFonts w:ascii="Times New Roman" w:hAnsi="Times New Roman" w:cs="Times New Roman"/>
        </w:rPr>
        <w:t xml:space="preserve">sasniegt iespējami labākus rezultātus ar iespējami mazākiem resursiem, </w:t>
      </w:r>
      <w:r w:rsidRPr="002C6E0E">
        <w:rPr>
          <w:rFonts w:ascii="Times New Roman" w:hAnsi="Times New Roman" w:cs="Times New Roman"/>
        </w:rPr>
        <w:t>EUR uz rezultāta vienību, vienības izmaksas, produktivitāte)</w:t>
      </w:r>
      <w:r w:rsidR="001D50B2">
        <w:rPr>
          <w:rFonts w:ascii="Times New Roman" w:hAnsi="Times New Roman" w:cs="Times New Roman"/>
        </w:rPr>
        <w:t>;</w:t>
      </w:r>
    </w:p>
    <w:p w14:paraId="6DB2476F" w14:textId="30DC470F" w:rsidR="00E93257" w:rsidRPr="002C6E0E" w:rsidRDefault="00A1330A" w:rsidP="00A80F41">
      <w:pPr>
        <w:pStyle w:val="ListBullet"/>
        <w:numPr>
          <w:ilvl w:val="0"/>
          <w:numId w:val="13"/>
        </w:numPr>
        <w:rPr>
          <w:rFonts w:ascii="Times New Roman" w:hAnsi="Times New Roman" w:cs="Times New Roman"/>
        </w:rPr>
      </w:pPr>
      <w:r w:rsidRPr="002C6E0E">
        <w:rPr>
          <w:rFonts w:ascii="Times New Roman" w:hAnsi="Times New Roman" w:cs="Times New Roman"/>
        </w:rPr>
        <w:t>Alternatīvu pieejamība (vai ir lētāks/efektīvāks piegādes modelis)</w:t>
      </w:r>
      <w:r w:rsidR="001D50B2">
        <w:rPr>
          <w:rFonts w:ascii="Times New Roman" w:hAnsi="Times New Roman" w:cs="Times New Roman"/>
        </w:rPr>
        <w:t>;</w:t>
      </w:r>
    </w:p>
    <w:p w14:paraId="6B6B5E17" w14:textId="20D17D47" w:rsidR="00E93257" w:rsidRPr="002C6E0E" w:rsidRDefault="00A1330A" w:rsidP="00A80F41">
      <w:pPr>
        <w:pStyle w:val="ListBullet"/>
        <w:numPr>
          <w:ilvl w:val="0"/>
          <w:numId w:val="13"/>
        </w:numPr>
        <w:rPr>
          <w:rFonts w:ascii="Times New Roman" w:hAnsi="Times New Roman" w:cs="Times New Roman"/>
        </w:rPr>
      </w:pPr>
      <w:r w:rsidRPr="002C6E0E">
        <w:rPr>
          <w:rFonts w:ascii="Times New Roman" w:hAnsi="Times New Roman" w:cs="Times New Roman"/>
        </w:rPr>
        <w:t>Riski un pakalpojuma kritiskums</w:t>
      </w:r>
      <w:r w:rsidR="001D50B2">
        <w:rPr>
          <w:rFonts w:ascii="Times New Roman" w:hAnsi="Times New Roman" w:cs="Times New Roman"/>
        </w:rPr>
        <w:t>;</w:t>
      </w:r>
    </w:p>
    <w:p w14:paraId="1105806F" w14:textId="6CD708CC" w:rsidR="00E93257" w:rsidRPr="002C6E0E" w:rsidRDefault="00A1330A" w:rsidP="00A80F41">
      <w:pPr>
        <w:pStyle w:val="ListBullet"/>
        <w:numPr>
          <w:ilvl w:val="0"/>
          <w:numId w:val="13"/>
        </w:numPr>
        <w:rPr>
          <w:rFonts w:ascii="Times New Roman" w:hAnsi="Times New Roman" w:cs="Times New Roman"/>
        </w:rPr>
      </w:pPr>
      <w:r w:rsidRPr="002C6E0E">
        <w:rPr>
          <w:rFonts w:ascii="Times New Roman" w:hAnsi="Times New Roman" w:cs="Times New Roman"/>
        </w:rPr>
        <w:t>Izpildāmība termiņā (kapacitāte, priekšnoteikumi).</w:t>
      </w:r>
    </w:p>
    <w:p w14:paraId="1B1CE157" w14:textId="31F468FC" w:rsidR="00E93257" w:rsidRPr="00407FED" w:rsidRDefault="00A1330A" w:rsidP="00407FED">
      <w:pPr>
        <w:pStyle w:val="Heading1"/>
        <w:numPr>
          <w:ilvl w:val="0"/>
          <w:numId w:val="19"/>
        </w:numPr>
        <w:spacing w:after="240"/>
        <w:rPr>
          <w:rFonts w:ascii="Times New Roman" w:hAnsi="Times New Roman" w:cs="Times New Roman"/>
          <w:i/>
          <w:iCs/>
          <w:color w:val="001B6C"/>
        </w:rPr>
      </w:pPr>
      <w:r w:rsidRPr="00407FED">
        <w:rPr>
          <w:rFonts w:ascii="Times New Roman" w:hAnsi="Times New Roman" w:cs="Times New Roman"/>
          <w:i/>
          <w:iCs/>
          <w:color w:val="001B6C"/>
        </w:rPr>
        <w:t>Procesa secība (no sagatavošanas līdz lēmumam)</w:t>
      </w:r>
      <w:r w:rsidR="00BA515D" w:rsidRPr="00407FED">
        <w:rPr>
          <w:rFonts w:ascii="Times New Roman" w:hAnsi="Times New Roman" w:cs="Times New Roman"/>
          <w:i/>
          <w:iCs/>
          <w:noProof/>
          <w:color w:val="001B6C"/>
        </w:rPr>
        <w:t xml:space="preserve"> </w:t>
      </w:r>
    </w:p>
    <w:p w14:paraId="3DFD973B" w14:textId="77777777" w:rsidR="00E93257" w:rsidRDefault="00A1330A">
      <w:pPr>
        <w:rPr>
          <w:rFonts w:ascii="Times New Roman" w:hAnsi="Times New Roman" w:cs="Times New Roman"/>
        </w:rPr>
      </w:pPr>
      <w:r w:rsidRPr="002C6E0E">
        <w:rPr>
          <w:rFonts w:ascii="Times New Roman" w:hAnsi="Times New Roman" w:cs="Times New Roman"/>
        </w:rPr>
        <w:t>ZBB ieviešana tipiski notiek cikliski un ir integrējama vidēja termiņa budžeta ietvarā. Zemāk sniegta ieteicamā procesa secība ar galvenajiem ievaddatiem un iznākumiem.</w:t>
      </w:r>
    </w:p>
    <w:p w14:paraId="6E40ABE3" w14:textId="77777777" w:rsidR="0015656A" w:rsidRPr="002C6E0E" w:rsidRDefault="0015656A">
      <w:pPr>
        <w:rPr>
          <w:rFonts w:ascii="Times New Roman" w:hAnsi="Times New Roman" w:cs="Times New Roman"/>
        </w:rPr>
      </w:pPr>
    </w:p>
    <w:tbl>
      <w:tblPr>
        <w:tblStyle w:val="GridTable1Light-Accent1"/>
        <w:tblW w:w="0" w:type="auto"/>
        <w:tblLook w:val="04A0" w:firstRow="1" w:lastRow="0" w:firstColumn="1" w:lastColumn="0" w:noHBand="0" w:noVBand="1"/>
      </w:tblPr>
      <w:tblGrid>
        <w:gridCol w:w="1639"/>
        <w:gridCol w:w="1716"/>
        <w:gridCol w:w="1641"/>
        <w:gridCol w:w="1676"/>
        <w:gridCol w:w="1648"/>
        <w:gridCol w:w="1642"/>
      </w:tblGrid>
      <w:tr w:rsidR="00E93257" w:rsidRPr="002C6E0E" w14:paraId="1EB96F38" w14:textId="77777777" w:rsidTr="006F48F2">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662" w:type="dxa"/>
            <w:vAlign w:val="center"/>
          </w:tcPr>
          <w:p w14:paraId="449F76FE" w14:textId="77777777" w:rsidR="00E93257" w:rsidRPr="002C6E0E" w:rsidRDefault="00A1330A" w:rsidP="00BA515D">
            <w:pPr>
              <w:jc w:val="center"/>
              <w:rPr>
                <w:rFonts w:ascii="Times New Roman" w:hAnsi="Times New Roman" w:cs="Times New Roman"/>
              </w:rPr>
            </w:pPr>
            <w:r w:rsidRPr="002C6E0E">
              <w:rPr>
                <w:rFonts w:ascii="Times New Roman" w:hAnsi="Times New Roman" w:cs="Times New Roman"/>
                <w:sz w:val="18"/>
              </w:rPr>
              <w:lastRenderedPageBreak/>
              <w:t>Posms</w:t>
            </w:r>
          </w:p>
        </w:tc>
        <w:tc>
          <w:tcPr>
            <w:tcW w:w="1662" w:type="dxa"/>
            <w:vAlign w:val="center"/>
          </w:tcPr>
          <w:p w14:paraId="34A4CFD5" w14:textId="77777777" w:rsidR="00E93257" w:rsidRPr="002C6E0E" w:rsidRDefault="00A1330A" w:rsidP="00BA51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Saturs</w:t>
            </w:r>
          </w:p>
        </w:tc>
        <w:tc>
          <w:tcPr>
            <w:tcW w:w="1662" w:type="dxa"/>
            <w:vAlign w:val="center"/>
          </w:tcPr>
          <w:p w14:paraId="31C5E4E3" w14:textId="77777777" w:rsidR="00E93257" w:rsidRPr="002C6E0E" w:rsidRDefault="00A1330A" w:rsidP="00BA51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Galvenie ievaddati</w:t>
            </w:r>
          </w:p>
        </w:tc>
        <w:tc>
          <w:tcPr>
            <w:tcW w:w="1662" w:type="dxa"/>
            <w:vAlign w:val="center"/>
          </w:tcPr>
          <w:p w14:paraId="0FEAAF63" w14:textId="77777777" w:rsidR="00E93257" w:rsidRPr="002C6E0E" w:rsidRDefault="00A1330A" w:rsidP="00BA51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Galvenie iznākumi</w:t>
            </w:r>
          </w:p>
        </w:tc>
        <w:tc>
          <w:tcPr>
            <w:tcW w:w="1662" w:type="dxa"/>
            <w:vAlign w:val="center"/>
          </w:tcPr>
          <w:p w14:paraId="62847969" w14:textId="77777777" w:rsidR="00E93257" w:rsidRDefault="00A1330A" w:rsidP="00BA51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rPr>
            </w:pPr>
            <w:r w:rsidRPr="002C6E0E">
              <w:rPr>
                <w:rFonts w:ascii="Times New Roman" w:hAnsi="Times New Roman" w:cs="Times New Roman"/>
                <w:sz w:val="18"/>
              </w:rPr>
              <w:t>Loma/atbildība</w:t>
            </w:r>
          </w:p>
          <w:p w14:paraId="3957110D" w14:textId="36CC9EBC" w:rsidR="006F48F2" w:rsidRPr="006F48F2" w:rsidRDefault="006F48F2" w:rsidP="00BA51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F48F2">
              <w:rPr>
                <w:rFonts w:ascii="Times New Roman" w:hAnsi="Times New Roman" w:cs="Times New Roman"/>
                <w:b w:val="0"/>
                <w:bCs w:val="0"/>
                <w:sz w:val="18"/>
              </w:rPr>
              <w:t>(par analizējamo budžeta vienību)</w:t>
            </w:r>
          </w:p>
        </w:tc>
        <w:tc>
          <w:tcPr>
            <w:tcW w:w="1662" w:type="dxa"/>
            <w:vAlign w:val="center"/>
          </w:tcPr>
          <w:p w14:paraId="5C360061" w14:textId="77777777" w:rsidR="00E93257" w:rsidRPr="002C6E0E" w:rsidRDefault="00A1330A" w:rsidP="00BA51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Kontroles punkts</w:t>
            </w:r>
          </w:p>
        </w:tc>
      </w:tr>
      <w:tr w:rsidR="00E93257" w:rsidRPr="002C6E0E" w14:paraId="4782F1E3" w14:textId="77777777" w:rsidTr="00BA515D">
        <w:tc>
          <w:tcPr>
            <w:cnfStyle w:val="001000000000" w:firstRow="0" w:lastRow="0" w:firstColumn="1" w:lastColumn="0" w:oddVBand="0" w:evenVBand="0" w:oddHBand="0" w:evenHBand="0" w:firstRowFirstColumn="0" w:firstRowLastColumn="0" w:lastRowFirstColumn="0" w:lastRowLastColumn="0"/>
            <w:tcW w:w="1662" w:type="dxa"/>
            <w:vAlign w:val="center"/>
          </w:tcPr>
          <w:p w14:paraId="4AEC72FD" w14:textId="77777777" w:rsidR="00E93257" w:rsidRPr="002C6E0E" w:rsidRDefault="00A1330A" w:rsidP="00BA515D">
            <w:pPr>
              <w:rPr>
                <w:rFonts w:ascii="Times New Roman" w:hAnsi="Times New Roman" w:cs="Times New Roman"/>
              </w:rPr>
            </w:pPr>
            <w:r w:rsidRPr="002C6E0E">
              <w:rPr>
                <w:rFonts w:ascii="Times New Roman" w:hAnsi="Times New Roman" w:cs="Times New Roman"/>
                <w:sz w:val="18"/>
              </w:rPr>
              <w:t>1. Starta lēmums un tvērums</w:t>
            </w:r>
          </w:p>
        </w:tc>
        <w:tc>
          <w:tcPr>
            <w:tcW w:w="1662" w:type="dxa"/>
          </w:tcPr>
          <w:p w14:paraId="6C041DDD"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Nosaka, kuras nozares/programmās piemēro ZBB, mērķus, laika grafiku un vadības modeli.</w:t>
            </w:r>
          </w:p>
        </w:tc>
        <w:tc>
          <w:tcPr>
            <w:tcW w:w="1662" w:type="dxa"/>
          </w:tcPr>
          <w:p w14:paraId="74FA8BD6"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Budžeta kalendārs; fiskālās telpas rāmji; stratēģiskie mērķi.</w:t>
            </w:r>
          </w:p>
        </w:tc>
        <w:tc>
          <w:tcPr>
            <w:tcW w:w="1662" w:type="dxa"/>
          </w:tcPr>
          <w:p w14:paraId="4AD387F4"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ZBB tvēruma lēmums; kritēriji; projekta plāns.</w:t>
            </w:r>
          </w:p>
        </w:tc>
        <w:tc>
          <w:tcPr>
            <w:tcW w:w="1662" w:type="dxa"/>
          </w:tcPr>
          <w:p w14:paraId="3013752E"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Politiskā vadība; koordinējošā institūcija (piem., FM); nozares ministrijas.</w:t>
            </w:r>
          </w:p>
        </w:tc>
        <w:tc>
          <w:tcPr>
            <w:tcW w:w="1662" w:type="dxa"/>
          </w:tcPr>
          <w:p w14:paraId="758341DF"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Apstiprināts tvērums un metodika.</w:t>
            </w:r>
          </w:p>
        </w:tc>
      </w:tr>
      <w:tr w:rsidR="00E93257" w:rsidRPr="002C6E0E" w14:paraId="2C8E47FD" w14:textId="77777777" w:rsidTr="00BA515D">
        <w:tc>
          <w:tcPr>
            <w:cnfStyle w:val="001000000000" w:firstRow="0" w:lastRow="0" w:firstColumn="1" w:lastColumn="0" w:oddVBand="0" w:evenVBand="0" w:oddHBand="0" w:evenHBand="0" w:firstRowFirstColumn="0" w:firstRowLastColumn="0" w:lastRowFirstColumn="0" w:lastRowLastColumn="0"/>
            <w:tcW w:w="1662" w:type="dxa"/>
            <w:vAlign w:val="center"/>
          </w:tcPr>
          <w:p w14:paraId="05865E45" w14:textId="77777777" w:rsidR="00E93257" w:rsidRPr="002C6E0E" w:rsidRDefault="00A1330A" w:rsidP="00BA515D">
            <w:pPr>
              <w:rPr>
                <w:rFonts w:ascii="Times New Roman" w:hAnsi="Times New Roman" w:cs="Times New Roman"/>
              </w:rPr>
            </w:pPr>
            <w:r w:rsidRPr="002C6E0E">
              <w:rPr>
                <w:rFonts w:ascii="Times New Roman" w:hAnsi="Times New Roman" w:cs="Times New Roman"/>
                <w:sz w:val="18"/>
              </w:rPr>
              <w:t>2. Datu sagatavošana</w:t>
            </w:r>
          </w:p>
        </w:tc>
        <w:tc>
          <w:tcPr>
            <w:tcW w:w="1662" w:type="dxa"/>
          </w:tcPr>
          <w:p w14:paraId="0EDB3784" w14:textId="13D592E2"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 xml:space="preserve">Sakārto izdevumu un aktivitāšu datus, </w:t>
            </w:r>
            <w:r w:rsidR="00F65324">
              <w:rPr>
                <w:rFonts w:ascii="Times New Roman" w:hAnsi="Times New Roman" w:cs="Times New Roman"/>
                <w:sz w:val="18"/>
              </w:rPr>
              <w:t xml:space="preserve">izstrādā </w:t>
            </w:r>
            <w:r w:rsidRPr="002C6E0E">
              <w:rPr>
                <w:rFonts w:ascii="Times New Roman" w:hAnsi="Times New Roman" w:cs="Times New Roman"/>
                <w:sz w:val="18"/>
              </w:rPr>
              <w:t>vienību katalogu</w:t>
            </w:r>
            <w:r w:rsidR="00F65324">
              <w:rPr>
                <w:rFonts w:ascii="Times New Roman" w:hAnsi="Times New Roman" w:cs="Times New Roman"/>
                <w:sz w:val="18"/>
              </w:rPr>
              <w:t xml:space="preserve"> un</w:t>
            </w:r>
            <w:r w:rsidRPr="002C6E0E">
              <w:rPr>
                <w:rFonts w:ascii="Times New Roman" w:hAnsi="Times New Roman" w:cs="Times New Roman"/>
                <w:sz w:val="18"/>
              </w:rPr>
              <w:t xml:space="preserve"> </w:t>
            </w:r>
            <w:r w:rsidR="00F65324">
              <w:rPr>
                <w:rFonts w:ascii="Times New Roman" w:hAnsi="Times New Roman" w:cs="Times New Roman"/>
                <w:sz w:val="18"/>
              </w:rPr>
              <w:t xml:space="preserve">nosaka </w:t>
            </w:r>
            <w:r w:rsidRPr="002C6E0E">
              <w:rPr>
                <w:rFonts w:ascii="Times New Roman" w:hAnsi="Times New Roman" w:cs="Times New Roman"/>
                <w:sz w:val="18"/>
              </w:rPr>
              <w:t>vieno</w:t>
            </w:r>
            <w:r w:rsidR="00F65324">
              <w:rPr>
                <w:rFonts w:ascii="Times New Roman" w:hAnsi="Times New Roman" w:cs="Times New Roman"/>
                <w:sz w:val="18"/>
              </w:rPr>
              <w:t>tas</w:t>
            </w:r>
            <w:r w:rsidRPr="002C6E0E">
              <w:rPr>
                <w:rFonts w:ascii="Times New Roman" w:hAnsi="Times New Roman" w:cs="Times New Roman"/>
                <w:sz w:val="18"/>
              </w:rPr>
              <w:t xml:space="preserve"> datu definīcijas.</w:t>
            </w:r>
          </w:p>
        </w:tc>
        <w:tc>
          <w:tcPr>
            <w:tcW w:w="1662" w:type="dxa"/>
          </w:tcPr>
          <w:p w14:paraId="0AED6A25"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Budžeta izpilde; grāmatvedības dati; pakalpojumu statistika; personāla dati.</w:t>
            </w:r>
          </w:p>
        </w:tc>
        <w:tc>
          <w:tcPr>
            <w:tcW w:w="1662" w:type="dxa"/>
          </w:tcPr>
          <w:p w14:paraId="510DC0D7"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Vienību saraksts (</w:t>
            </w:r>
            <w:r w:rsidRPr="0051081D">
              <w:rPr>
                <w:rFonts w:ascii="Times New Roman" w:hAnsi="Times New Roman" w:cs="Times New Roman"/>
                <w:i/>
                <w:iCs/>
                <w:sz w:val="18"/>
              </w:rPr>
              <w:t xml:space="preserve">decision </w:t>
            </w:r>
            <w:proofErr w:type="spellStart"/>
            <w:r w:rsidRPr="0051081D">
              <w:rPr>
                <w:rFonts w:ascii="Times New Roman" w:hAnsi="Times New Roman" w:cs="Times New Roman"/>
                <w:i/>
                <w:iCs/>
                <w:sz w:val="18"/>
              </w:rPr>
              <w:t>units</w:t>
            </w:r>
            <w:proofErr w:type="spellEnd"/>
            <w:r w:rsidRPr="002C6E0E">
              <w:rPr>
                <w:rFonts w:ascii="Times New Roman" w:hAnsi="Times New Roman" w:cs="Times New Roman"/>
                <w:sz w:val="18"/>
              </w:rPr>
              <w:t>); datu vārdnīca; analīzes bāze.</w:t>
            </w:r>
          </w:p>
        </w:tc>
        <w:tc>
          <w:tcPr>
            <w:tcW w:w="1662" w:type="dxa"/>
          </w:tcPr>
          <w:p w14:paraId="17ABE92D"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Finanšu analītiķi; nozares dati; IT/datu pārvaldība.</w:t>
            </w:r>
          </w:p>
        </w:tc>
        <w:tc>
          <w:tcPr>
            <w:tcW w:w="1662" w:type="dxa"/>
          </w:tcPr>
          <w:p w14:paraId="391D1A7F"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Datu kvalitātes pārbaude.</w:t>
            </w:r>
          </w:p>
        </w:tc>
      </w:tr>
      <w:tr w:rsidR="00E93257" w:rsidRPr="002C6E0E" w14:paraId="492C1FA7" w14:textId="77777777" w:rsidTr="00BA515D">
        <w:tc>
          <w:tcPr>
            <w:cnfStyle w:val="001000000000" w:firstRow="0" w:lastRow="0" w:firstColumn="1" w:lastColumn="0" w:oddVBand="0" w:evenVBand="0" w:oddHBand="0" w:evenHBand="0" w:firstRowFirstColumn="0" w:firstRowLastColumn="0" w:lastRowFirstColumn="0" w:lastRowLastColumn="0"/>
            <w:tcW w:w="1662" w:type="dxa"/>
            <w:vAlign w:val="center"/>
          </w:tcPr>
          <w:p w14:paraId="696C842F" w14:textId="77777777" w:rsidR="00E93257" w:rsidRPr="002C6E0E" w:rsidRDefault="00A1330A" w:rsidP="00BA515D">
            <w:pPr>
              <w:rPr>
                <w:rFonts w:ascii="Times New Roman" w:hAnsi="Times New Roman" w:cs="Times New Roman"/>
              </w:rPr>
            </w:pPr>
            <w:r w:rsidRPr="002C6E0E">
              <w:rPr>
                <w:rFonts w:ascii="Times New Roman" w:hAnsi="Times New Roman" w:cs="Times New Roman"/>
                <w:sz w:val="18"/>
              </w:rPr>
              <w:t>3. Lēmumu pakešu sagatavošana</w:t>
            </w:r>
          </w:p>
        </w:tc>
        <w:tc>
          <w:tcPr>
            <w:tcW w:w="1662" w:type="dxa"/>
          </w:tcPr>
          <w:p w14:paraId="0317DFA9"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Katra vienība sagatavo pamatojumu un alternatīvas, izstrādā KPI un izmaksu aprēķinus.</w:t>
            </w:r>
          </w:p>
        </w:tc>
        <w:tc>
          <w:tcPr>
            <w:tcW w:w="1662" w:type="dxa"/>
          </w:tcPr>
          <w:p w14:paraId="45EC0F0A"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Paketes veidne; vienības mērķi; izmaksu draiveri; normatīvie pienākumi.</w:t>
            </w:r>
          </w:p>
        </w:tc>
        <w:tc>
          <w:tcPr>
            <w:tcW w:w="1662" w:type="dxa"/>
          </w:tcPr>
          <w:p w14:paraId="0C09D8C4"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Lēmumu paketes ar 2–3 scenārijiem; KPI; riski.</w:t>
            </w:r>
          </w:p>
        </w:tc>
        <w:tc>
          <w:tcPr>
            <w:tcW w:w="1662" w:type="dxa"/>
          </w:tcPr>
          <w:p w14:paraId="70CD916B"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Programmu vadītāji; finanšu nodaļas; politikas analītiķi.</w:t>
            </w:r>
          </w:p>
        </w:tc>
        <w:tc>
          <w:tcPr>
            <w:tcW w:w="1662" w:type="dxa"/>
          </w:tcPr>
          <w:p w14:paraId="1950BB3F"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Metodikas atbilstības audits (iekšējs).</w:t>
            </w:r>
          </w:p>
        </w:tc>
      </w:tr>
      <w:tr w:rsidR="00E93257" w:rsidRPr="002C6E0E" w14:paraId="1E123E6D" w14:textId="77777777" w:rsidTr="00BA515D">
        <w:tc>
          <w:tcPr>
            <w:cnfStyle w:val="001000000000" w:firstRow="0" w:lastRow="0" w:firstColumn="1" w:lastColumn="0" w:oddVBand="0" w:evenVBand="0" w:oddHBand="0" w:evenHBand="0" w:firstRowFirstColumn="0" w:firstRowLastColumn="0" w:lastRowFirstColumn="0" w:lastRowLastColumn="0"/>
            <w:tcW w:w="1662" w:type="dxa"/>
            <w:vAlign w:val="center"/>
          </w:tcPr>
          <w:p w14:paraId="3CC71340" w14:textId="048416A9" w:rsidR="00E93257" w:rsidRPr="002C6E0E" w:rsidRDefault="00A1330A" w:rsidP="00BA515D">
            <w:pPr>
              <w:rPr>
                <w:rFonts w:ascii="Times New Roman" w:hAnsi="Times New Roman" w:cs="Times New Roman"/>
              </w:rPr>
            </w:pPr>
            <w:r w:rsidRPr="002C6E0E">
              <w:rPr>
                <w:rFonts w:ascii="Times New Roman" w:hAnsi="Times New Roman" w:cs="Times New Roman"/>
                <w:sz w:val="18"/>
              </w:rPr>
              <w:t xml:space="preserve">4. Iekšējā izvērtēšana un </w:t>
            </w:r>
            <w:r w:rsidR="00ED4D29">
              <w:rPr>
                <w:rFonts w:ascii="Times New Roman" w:hAnsi="Times New Roman" w:cs="Times New Roman"/>
                <w:sz w:val="18"/>
              </w:rPr>
              <w:t>izaicinājums</w:t>
            </w:r>
          </w:p>
        </w:tc>
        <w:tc>
          <w:tcPr>
            <w:tcW w:w="1662" w:type="dxa"/>
          </w:tcPr>
          <w:p w14:paraId="3C3A3FF6" w14:textId="74076B0F"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Neatkarīgs “</w:t>
            </w:r>
            <w:r w:rsidR="00ED4D29">
              <w:rPr>
                <w:rFonts w:ascii="Times New Roman" w:hAnsi="Times New Roman" w:cs="Times New Roman"/>
                <w:sz w:val="18"/>
              </w:rPr>
              <w:t>izvērtējums</w:t>
            </w:r>
            <w:r w:rsidRPr="002C6E0E">
              <w:rPr>
                <w:rFonts w:ascii="Times New Roman" w:hAnsi="Times New Roman" w:cs="Times New Roman"/>
                <w:sz w:val="18"/>
              </w:rPr>
              <w:t>” par pieņēmumiem, izmaksām, alternatīvām, KPI lietderību.</w:t>
            </w:r>
          </w:p>
        </w:tc>
        <w:tc>
          <w:tcPr>
            <w:tcW w:w="1662" w:type="dxa"/>
          </w:tcPr>
          <w:p w14:paraId="21B4A5AC"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Lēmumu paketes; salīdzinošie dati; normatīvie nosacījumi.</w:t>
            </w:r>
          </w:p>
        </w:tc>
        <w:tc>
          <w:tcPr>
            <w:tcW w:w="1662" w:type="dxa"/>
          </w:tcPr>
          <w:p w14:paraId="2A448124"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Precizētas paketes; identificētas pārklāšanās un dublēšanās.</w:t>
            </w:r>
          </w:p>
        </w:tc>
        <w:tc>
          <w:tcPr>
            <w:tcW w:w="1662" w:type="dxa"/>
          </w:tcPr>
          <w:p w14:paraId="211B0AC3"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Koordinators; iekšējā audita/analītikas funkcija; starpnozaru darba grupa.</w:t>
            </w:r>
          </w:p>
        </w:tc>
        <w:tc>
          <w:tcPr>
            <w:tcW w:w="1662" w:type="dxa"/>
          </w:tcPr>
          <w:p w14:paraId="257895A9"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Konsolidēti komentāri un labojumi.</w:t>
            </w:r>
          </w:p>
        </w:tc>
      </w:tr>
      <w:tr w:rsidR="00E93257" w:rsidRPr="002C6E0E" w14:paraId="53A9958D" w14:textId="77777777" w:rsidTr="00BA515D">
        <w:tc>
          <w:tcPr>
            <w:cnfStyle w:val="001000000000" w:firstRow="0" w:lastRow="0" w:firstColumn="1" w:lastColumn="0" w:oddVBand="0" w:evenVBand="0" w:oddHBand="0" w:evenHBand="0" w:firstRowFirstColumn="0" w:firstRowLastColumn="0" w:lastRowFirstColumn="0" w:lastRowLastColumn="0"/>
            <w:tcW w:w="1662" w:type="dxa"/>
            <w:vAlign w:val="center"/>
          </w:tcPr>
          <w:p w14:paraId="3CF1A0C2" w14:textId="77777777" w:rsidR="00E93257" w:rsidRPr="002C6E0E" w:rsidRDefault="00A1330A" w:rsidP="00BA515D">
            <w:pPr>
              <w:rPr>
                <w:rFonts w:ascii="Times New Roman" w:hAnsi="Times New Roman" w:cs="Times New Roman"/>
              </w:rPr>
            </w:pPr>
            <w:r w:rsidRPr="002C6E0E">
              <w:rPr>
                <w:rFonts w:ascii="Times New Roman" w:hAnsi="Times New Roman" w:cs="Times New Roman"/>
                <w:sz w:val="18"/>
              </w:rPr>
              <w:t>5. Ranžēšana un prioritāšu noteikšana</w:t>
            </w:r>
          </w:p>
        </w:tc>
        <w:tc>
          <w:tcPr>
            <w:tcW w:w="1662" w:type="dxa"/>
          </w:tcPr>
          <w:p w14:paraId="1CB0FF0E"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Vienību salīdzināšana pēc kritērijiem; punktu skala; budžeta “groza” veidošana.</w:t>
            </w:r>
          </w:p>
        </w:tc>
        <w:tc>
          <w:tcPr>
            <w:tcW w:w="1662" w:type="dxa"/>
          </w:tcPr>
          <w:p w14:paraId="4D3587FD"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Kritēriju matrica; paketes; fiskālie ierobežojumi.</w:t>
            </w:r>
          </w:p>
        </w:tc>
        <w:tc>
          <w:tcPr>
            <w:tcW w:w="1662" w:type="dxa"/>
          </w:tcPr>
          <w:p w14:paraId="19AECED4" w14:textId="7BF1746E"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Prioritāšu saraksts (</w:t>
            </w:r>
            <w:r w:rsidR="00C81B57">
              <w:rPr>
                <w:rFonts w:ascii="Times New Roman" w:hAnsi="Times New Roman" w:cs="Times New Roman"/>
                <w:sz w:val="18"/>
              </w:rPr>
              <w:t>ranžēts</w:t>
            </w:r>
            <w:r w:rsidRPr="002C6E0E">
              <w:rPr>
                <w:rFonts w:ascii="Times New Roman" w:hAnsi="Times New Roman" w:cs="Times New Roman"/>
                <w:sz w:val="18"/>
              </w:rPr>
              <w:t>); ieteiktais finansējuma grozs.</w:t>
            </w:r>
          </w:p>
        </w:tc>
        <w:tc>
          <w:tcPr>
            <w:tcW w:w="1662" w:type="dxa"/>
          </w:tcPr>
          <w:p w14:paraId="62414D4A"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Politiskā vadība + koordinators; nozares vadība.</w:t>
            </w:r>
          </w:p>
        </w:tc>
        <w:tc>
          <w:tcPr>
            <w:tcW w:w="1662" w:type="dxa"/>
          </w:tcPr>
          <w:p w14:paraId="7E3F0B83"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Apstiprināts rangs / “</w:t>
            </w:r>
            <w:proofErr w:type="spellStart"/>
            <w:r w:rsidRPr="002C6E0E">
              <w:rPr>
                <w:rFonts w:ascii="Times New Roman" w:hAnsi="Times New Roman" w:cs="Times New Roman"/>
                <w:sz w:val="18"/>
              </w:rPr>
              <w:t>cut-off</w:t>
            </w:r>
            <w:proofErr w:type="spellEnd"/>
            <w:r w:rsidRPr="002C6E0E">
              <w:rPr>
                <w:rFonts w:ascii="Times New Roman" w:hAnsi="Times New Roman" w:cs="Times New Roman"/>
                <w:sz w:val="18"/>
              </w:rPr>
              <w:t>” līnija.</w:t>
            </w:r>
          </w:p>
        </w:tc>
      </w:tr>
      <w:tr w:rsidR="00E93257" w:rsidRPr="002C6E0E" w14:paraId="77DE70BE" w14:textId="77777777" w:rsidTr="00BA515D">
        <w:tc>
          <w:tcPr>
            <w:cnfStyle w:val="001000000000" w:firstRow="0" w:lastRow="0" w:firstColumn="1" w:lastColumn="0" w:oddVBand="0" w:evenVBand="0" w:oddHBand="0" w:evenHBand="0" w:firstRowFirstColumn="0" w:firstRowLastColumn="0" w:lastRowFirstColumn="0" w:lastRowLastColumn="0"/>
            <w:tcW w:w="1662" w:type="dxa"/>
            <w:vAlign w:val="center"/>
          </w:tcPr>
          <w:p w14:paraId="2BDB30E5" w14:textId="77777777" w:rsidR="00E93257" w:rsidRPr="002C6E0E" w:rsidRDefault="00A1330A" w:rsidP="00BA515D">
            <w:pPr>
              <w:rPr>
                <w:rFonts w:ascii="Times New Roman" w:hAnsi="Times New Roman" w:cs="Times New Roman"/>
              </w:rPr>
            </w:pPr>
            <w:r w:rsidRPr="002C6E0E">
              <w:rPr>
                <w:rFonts w:ascii="Times New Roman" w:hAnsi="Times New Roman" w:cs="Times New Roman"/>
                <w:sz w:val="18"/>
              </w:rPr>
              <w:t>6. Budžeta lēmums un iekļaušana budžeta paketē</w:t>
            </w:r>
          </w:p>
        </w:tc>
        <w:tc>
          <w:tcPr>
            <w:tcW w:w="1662" w:type="dxa"/>
          </w:tcPr>
          <w:p w14:paraId="12EF7F89"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Pieņem finansējuma lēmumus un integrē budžeta projektā (t.sk. vidēja termiņa ietvars).</w:t>
            </w:r>
          </w:p>
        </w:tc>
        <w:tc>
          <w:tcPr>
            <w:tcW w:w="1662" w:type="dxa"/>
          </w:tcPr>
          <w:p w14:paraId="08FC630B" w14:textId="4EBE8CBF" w:rsidR="00E93257" w:rsidRPr="002C6E0E" w:rsidRDefault="00063B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18"/>
              </w:rPr>
              <w:t>Ranžēts</w:t>
            </w:r>
            <w:r w:rsidRPr="002C6E0E">
              <w:rPr>
                <w:rFonts w:ascii="Times New Roman" w:hAnsi="Times New Roman" w:cs="Times New Roman"/>
                <w:sz w:val="18"/>
              </w:rPr>
              <w:t xml:space="preserve"> </w:t>
            </w:r>
            <w:r w:rsidR="00A1330A" w:rsidRPr="002C6E0E">
              <w:rPr>
                <w:rFonts w:ascii="Times New Roman" w:hAnsi="Times New Roman" w:cs="Times New Roman"/>
                <w:sz w:val="18"/>
              </w:rPr>
              <w:t>saraksts; fiskālā telpa; valdības prioritātes.</w:t>
            </w:r>
          </w:p>
        </w:tc>
        <w:tc>
          <w:tcPr>
            <w:tcW w:w="1662" w:type="dxa"/>
          </w:tcPr>
          <w:p w14:paraId="55706048"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Budžeta projekts; lēmumu kopsavilkums; ietaupījumu/noviržu saraksts.</w:t>
            </w:r>
          </w:p>
        </w:tc>
        <w:tc>
          <w:tcPr>
            <w:tcW w:w="1662" w:type="dxa"/>
          </w:tcPr>
          <w:p w14:paraId="532A8857"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FM; valdība; Saeima (atbilstoši procesam).</w:t>
            </w:r>
          </w:p>
        </w:tc>
        <w:tc>
          <w:tcPr>
            <w:tcW w:w="1662" w:type="dxa"/>
          </w:tcPr>
          <w:p w14:paraId="21BD57CF"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Budžeta projekta apstiprināšana.</w:t>
            </w:r>
          </w:p>
        </w:tc>
      </w:tr>
      <w:tr w:rsidR="00E93257" w:rsidRPr="002C6E0E" w14:paraId="19547378" w14:textId="77777777" w:rsidTr="00BA515D">
        <w:tc>
          <w:tcPr>
            <w:cnfStyle w:val="001000000000" w:firstRow="0" w:lastRow="0" w:firstColumn="1" w:lastColumn="0" w:oddVBand="0" w:evenVBand="0" w:oddHBand="0" w:evenHBand="0" w:firstRowFirstColumn="0" w:firstRowLastColumn="0" w:lastRowFirstColumn="0" w:lastRowLastColumn="0"/>
            <w:tcW w:w="1662" w:type="dxa"/>
            <w:vAlign w:val="center"/>
          </w:tcPr>
          <w:p w14:paraId="2B983358" w14:textId="77777777" w:rsidR="00E93257" w:rsidRPr="002C6E0E" w:rsidRDefault="00A1330A" w:rsidP="00BA515D">
            <w:pPr>
              <w:rPr>
                <w:rFonts w:ascii="Times New Roman" w:hAnsi="Times New Roman" w:cs="Times New Roman"/>
              </w:rPr>
            </w:pPr>
            <w:r w:rsidRPr="002C6E0E">
              <w:rPr>
                <w:rFonts w:ascii="Times New Roman" w:hAnsi="Times New Roman" w:cs="Times New Roman"/>
                <w:sz w:val="18"/>
              </w:rPr>
              <w:t>7. Ieviešana un snieguma uzraudzība</w:t>
            </w:r>
          </w:p>
        </w:tc>
        <w:tc>
          <w:tcPr>
            <w:tcW w:w="1662" w:type="dxa"/>
          </w:tcPr>
          <w:p w14:paraId="08F67670" w14:textId="1016E452"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 xml:space="preserve">Realizē strukturālās izmaiņas; </w:t>
            </w:r>
            <w:r w:rsidR="0028413E">
              <w:rPr>
                <w:rFonts w:ascii="Times New Roman" w:hAnsi="Times New Roman" w:cs="Times New Roman"/>
                <w:sz w:val="18"/>
              </w:rPr>
              <w:t>uzrauga</w:t>
            </w:r>
            <w:r w:rsidR="0028413E" w:rsidRPr="002C6E0E">
              <w:rPr>
                <w:rFonts w:ascii="Times New Roman" w:hAnsi="Times New Roman" w:cs="Times New Roman"/>
                <w:sz w:val="18"/>
              </w:rPr>
              <w:t xml:space="preserve"> </w:t>
            </w:r>
            <w:r w:rsidRPr="002C6E0E">
              <w:rPr>
                <w:rFonts w:ascii="Times New Roman" w:hAnsi="Times New Roman" w:cs="Times New Roman"/>
                <w:sz w:val="18"/>
              </w:rPr>
              <w:t>KPI; korekcijas nākamajā ciklā.</w:t>
            </w:r>
          </w:p>
        </w:tc>
        <w:tc>
          <w:tcPr>
            <w:tcW w:w="1662" w:type="dxa"/>
          </w:tcPr>
          <w:p w14:paraId="722A5464"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Ieviešanas plāni; KPI datu plūsmas; kontroles procedūras.</w:t>
            </w:r>
          </w:p>
        </w:tc>
        <w:tc>
          <w:tcPr>
            <w:tcW w:w="1662" w:type="dxa"/>
          </w:tcPr>
          <w:p w14:paraId="5CF478E3"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Pārskati; mācības; nākamā cikla uzlabojumi.</w:t>
            </w:r>
          </w:p>
        </w:tc>
        <w:tc>
          <w:tcPr>
            <w:tcW w:w="1662" w:type="dxa"/>
          </w:tcPr>
          <w:p w14:paraId="29CE8059"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Iestāžu vadība; FM uzraudzība; iekšējā kontrole.</w:t>
            </w:r>
          </w:p>
        </w:tc>
        <w:tc>
          <w:tcPr>
            <w:tcW w:w="1662" w:type="dxa"/>
          </w:tcPr>
          <w:p w14:paraId="721E8EAD" w14:textId="77777777" w:rsidR="00E93257" w:rsidRPr="002C6E0E" w:rsidRDefault="00A133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C6E0E">
              <w:rPr>
                <w:rFonts w:ascii="Times New Roman" w:hAnsi="Times New Roman" w:cs="Times New Roman"/>
                <w:sz w:val="18"/>
              </w:rPr>
              <w:t>Ceturkšņa/ pusgada snieguma pārskats.</w:t>
            </w:r>
          </w:p>
        </w:tc>
      </w:tr>
    </w:tbl>
    <w:p w14:paraId="57DE765E" w14:textId="77777777" w:rsidR="00E93257" w:rsidRPr="002C6E0E" w:rsidRDefault="00E93257">
      <w:pPr>
        <w:rPr>
          <w:rFonts w:ascii="Times New Roman" w:hAnsi="Times New Roman" w:cs="Times New Roman"/>
        </w:rPr>
      </w:pPr>
    </w:p>
    <w:p w14:paraId="0C6FE1B2" w14:textId="79142825" w:rsidR="00E93257" w:rsidRPr="003562FB" w:rsidRDefault="00447002" w:rsidP="003562FB">
      <w:pPr>
        <w:pStyle w:val="IntenseQuote"/>
        <w:jc w:val="center"/>
        <w:rPr>
          <w:rFonts w:cs="Calibri"/>
        </w:rPr>
      </w:pPr>
      <w:r w:rsidRPr="00447002">
        <w:rPr>
          <w:rFonts w:cs="Calibri"/>
        </w:rPr>
        <w:t>Piezīme par darba apjomu: ZBB ir darbietilpīga pieeja un prasa analītisku kapacitāti, apmācības un konsekventu augstākās vadības iesaisti, īpaši pirmajā ciklā. Analīzi veic institūcija vai struktūrvienība, kas ir atbildīga par konkrēto analizējamo budžeta vienību, savukārt nozares ministrija un Finanšu ministrija nodrošina procesa koordināciju un metodisko ietvaru.</w:t>
      </w:r>
    </w:p>
    <w:p w14:paraId="3B323292" w14:textId="2F3094F7" w:rsidR="00E93257" w:rsidRPr="00407FED" w:rsidRDefault="00A1330A" w:rsidP="00407FED">
      <w:pPr>
        <w:pStyle w:val="Heading1"/>
        <w:numPr>
          <w:ilvl w:val="0"/>
          <w:numId w:val="19"/>
        </w:numPr>
        <w:spacing w:after="240"/>
        <w:rPr>
          <w:rFonts w:ascii="Times New Roman" w:hAnsi="Times New Roman" w:cs="Times New Roman"/>
          <w:i/>
          <w:iCs/>
          <w:color w:val="001B6C"/>
        </w:rPr>
      </w:pPr>
      <w:r w:rsidRPr="00407FED">
        <w:rPr>
          <w:rFonts w:ascii="Times New Roman" w:hAnsi="Times New Roman" w:cs="Times New Roman"/>
          <w:i/>
          <w:iCs/>
          <w:color w:val="001B6C"/>
        </w:rPr>
        <w:t>Lomas un pārvaldība</w:t>
      </w:r>
    </w:p>
    <w:p w14:paraId="0FCADAC4" w14:textId="1B343DC0" w:rsidR="00E93257" w:rsidRPr="002C6E0E" w:rsidRDefault="00ED4D29" w:rsidP="0061283F">
      <w:pPr>
        <w:pStyle w:val="ListBullet"/>
        <w:numPr>
          <w:ilvl w:val="0"/>
          <w:numId w:val="14"/>
        </w:numPr>
        <w:rPr>
          <w:rFonts w:ascii="Times New Roman" w:hAnsi="Times New Roman" w:cs="Times New Roman"/>
        </w:rPr>
      </w:pPr>
      <w:r>
        <w:rPr>
          <w:rFonts w:ascii="Times New Roman" w:hAnsi="Times New Roman" w:cs="Times New Roman"/>
        </w:rPr>
        <w:t>Ministru kabinets (p</w:t>
      </w:r>
      <w:r w:rsidR="00A1330A" w:rsidRPr="002C6E0E">
        <w:rPr>
          <w:rFonts w:ascii="Times New Roman" w:hAnsi="Times New Roman" w:cs="Times New Roman"/>
        </w:rPr>
        <w:t>olitiskā vadība</w:t>
      </w:r>
      <w:r>
        <w:rPr>
          <w:rFonts w:ascii="Times New Roman" w:hAnsi="Times New Roman" w:cs="Times New Roman"/>
        </w:rPr>
        <w:t>)</w:t>
      </w:r>
      <w:r w:rsidR="00A1330A" w:rsidRPr="002C6E0E">
        <w:rPr>
          <w:rFonts w:ascii="Times New Roman" w:hAnsi="Times New Roman" w:cs="Times New Roman"/>
        </w:rPr>
        <w:t>: nosaka prioritātes, apstiprina tvērumu un pieņem gala lēmumus par finansējumu</w:t>
      </w:r>
      <w:r w:rsidR="001D50B2">
        <w:rPr>
          <w:rFonts w:ascii="Times New Roman" w:hAnsi="Times New Roman" w:cs="Times New Roman"/>
        </w:rPr>
        <w:t>;</w:t>
      </w:r>
    </w:p>
    <w:p w14:paraId="08D9874C" w14:textId="10578630" w:rsidR="00E93257" w:rsidRPr="002C6E0E" w:rsidRDefault="00A1330A" w:rsidP="0061283F">
      <w:pPr>
        <w:pStyle w:val="ListBullet"/>
        <w:numPr>
          <w:ilvl w:val="0"/>
          <w:numId w:val="14"/>
        </w:numPr>
        <w:rPr>
          <w:rFonts w:ascii="Times New Roman" w:hAnsi="Times New Roman" w:cs="Times New Roman"/>
        </w:rPr>
      </w:pPr>
      <w:r w:rsidRPr="002C6E0E">
        <w:rPr>
          <w:rFonts w:ascii="Times New Roman" w:hAnsi="Times New Roman" w:cs="Times New Roman"/>
        </w:rPr>
        <w:t>Nozares ministrijas/iestādes: sagatavo lēmumu paketes, nodrošina datu kvalitāti, īsteno apstiprinātās izmaiņas</w:t>
      </w:r>
      <w:r w:rsidR="001D50B2">
        <w:rPr>
          <w:rFonts w:ascii="Times New Roman" w:hAnsi="Times New Roman" w:cs="Times New Roman"/>
        </w:rPr>
        <w:t>;</w:t>
      </w:r>
    </w:p>
    <w:p w14:paraId="1C2830C6" w14:textId="50EDD7EE" w:rsidR="00E93257" w:rsidRPr="002C6E0E" w:rsidRDefault="007F6ED0" w:rsidP="0061283F">
      <w:pPr>
        <w:pStyle w:val="ListBullet"/>
        <w:numPr>
          <w:ilvl w:val="0"/>
          <w:numId w:val="14"/>
        </w:numPr>
        <w:rPr>
          <w:rFonts w:ascii="Times New Roman" w:hAnsi="Times New Roman" w:cs="Times New Roman"/>
        </w:rPr>
      </w:pPr>
      <w:r w:rsidRPr="002C6E0E">
        <w:rPr>
          <w:rFonts w:ascii="Times New Roman" w:hAnsi="Times New Roman" w:cs="Times New Roman"/>
        </w:rPr>
        <w:t>I</w:t>
      </w:r>
      <w:r w:rsidR="00A1330A" w:rsidRPr="002C6E0E">
        <w:rPr>
          <w:rFonts w:ascii="Times New Roman" w:hAnsi="Times New Roman" w:cs="Times New Roman"/>
        </w:rPr>
        <w:t>ekšējais audits: neatkarīga izvērtēšana, pieņēmumu validācija, risku kontrole</w:t>
      </w:r>
      <w:r w:rsidR="001D50B2">
        <w:rPr>
          <w:rFonts w:ascii="Times New Roman" w:hAnsi="Times New Roman" w:cs="Times New Roman"/>
        </w:rPr>
        <w:t>;</w:t>
      </w:r>
    </w:p>
    <w:p w14:paraId="4CE3DE51" w14:textId="77777777" w:rsidR="00E93257" w:rsidRPr="002C6E0E" w:rsidRDefault="00A1330A" w:rsidP="0061283F">
      <w:pPr>
        <w:pStyle w:val="ListBullet"/>
        <w:numPr>
          <w:ilvl w:val="0"/>
          <w:numId w:val="14"/>
        </w:numPr>
        <w:rPr>
          <w:rFonts w:ascii="Times New Roman" w:hAnsi="Times New Roman" w:cs="Times New Roman"/>
        </w:rPr>
      </w:pPr>
      <w:r w:rsidRPr="002C6E0E">
        <w:rPr>
          <w:rFonts w:ascii="Times New Roman" w:hAnsi="Times New Roman" w:cs="Times New Roman"/>
        </w:rPr>
        <w:lastRenderedPageBreak/>
        <w:t>IT un datu pārvaldība: KPI datu plūsmas, vienota datu vārdnīca, automatizēta atskaišu sagatavošana.</w:t>
      </w:r>
    </w:p>
    <w:p w14:paraId="5CD4A0B7" w14:textId="738E039C" w:rsidR="00E93257" w:rsidRPr="00407FED" w:rsidRDefault="00A1330A" w:rsidP="00407FED">
      <w:pPr>
        <w:pStyle w:val="Heading1"/>
        <w:numPr>
          <w:ilvl w:val="0"/>
          <w:numId w:val="19"/>
        </w:numPr>
        <w:rPr>
          <w:rFonts w:ascii="Times New Roman" w:hAnsi="Times New Roman" w:cs="Times New Roman"/>
          <w:i/>
          <w:iCs/>
          <w:color w:val="001B6C"/>
        </w:rPr>
      </w:pPr>
      <w:r w:rsidRPr="00407FED">
        <w:rPr>
          <w:rFonts w:ascii="Times New Roman" w:hAnsi="Times New Roman" w:cs="Times New Roman"/>
          <w:i/>
          <w:iCs/>
          <w:color w:val="001B6C"/>
        </w:rPr>
        <w:t>Datu prasības un aprēķinu loģika</w:t>
      </w:r>
    </w:p>
    <w:p w14:paraId="64267DC5" w14:textId="04DAFFD1" w:rsidR="00E93257" w:rsidRPr="00E32FE0" w:rsidRDefault="00A1330A" w:rsidP="00407FED">
      <w:pPr>
        <w:pStyle w:val="Heading2"/>
        <w:numPr>
          <w:ilvl w:val="1"/>
          <w:numId w:val="19"/>
        </w:numPr>
        <w:rPr>
          <w:rFonts w:ascii="Times New Roman" w:hAnsi="Times New Roman" w:cs="Times New Roman"/>
          <w:color w:val="auto"/>
        </w:rPr>
      </w:pPr>
      <w:r w:rsidRPr="00E32FE0">
        <w:rPr>
          <w:rFonts w:ascii="Times New Roman" w:hAnsi="Times New Roman" w:cs="Times New Roman"/>
          <w:color w:val="auto"/>
        </w:rPr>
        <w:t>Minimālais datu komplekts</w:t>
      </w:r>
    </w:p>
    <w:p w14:paraId="33B3E0FC" w14:textId="66A327A7" w:rsidR="00E93257" w:rsidRPr="002C6E0E" w:rsidRDefault="00A1330A" w:rsidP="0061283F">
      <w:pPr>
        <w:pStyle w:val="ListBullet"/>
        <w:numPr>
          <w:ilvl w:val="0"/>
          <w:numId w:val="15"/>
        </w:numPr>
        <w:rPr>
          <w:rFonts w:ascii="Times New Roman" w:hAnsi="Times New Roman" w:cs="Times New Roman"/>
        </w:rPr>
      </w:pPr>
      <w:r w:rsidRPr="002C6E0E">
        <w:rPr>
          <w:rFonts w:ascii="Times New Roman" w:hAnsi="Times New Roman" w:cs="Times New Roman"/>
        </w:rPr>
        <w:t>Izdevumi: faktisk</w:t>
      </w:r>
      <w:r w:rsidR="00D3162F">
        <w:rPr>
          <w:rFonts w:ascii="Times New Roman" w:hAnsi="Times New Roman" w:cs="Times New Roman"/>
        </w:rPr>
        <w:t>ā</w:t>
      </w:r>
      <w:r w:rsidRPr="002C6E0E">
        <w:rPr>
          <w:rFonts w:ascii="Times New Roman" w:hAnsi="Times New Roman" w:cs="Times New Roman"/>
        </w:rPr>
        <w:t xml:space="preserve"> izpilde vismaz 2–3 gadu griezumā, sadalījumā pa </w:t>
      </w:r>
      <w:r w:rsidR="007F6ED0" w:rsidRPr="002C6E0E">
        <w:rPr>
          <w:rFonts w:ascii="Times New Roman" w:hAnsi="Times New Roman" w:cs="Times New Roman"/>
        </w:rPr>
        <w:t xml:space="preserve">izdevumu </w:t>
      </w:r>
      <w:r w:rsidRPr="002C6E0E">
        <w:rPr>
          <w:rFonts w:ascii="Times New Roman" w:hAnsi="Times New Roman" w:cs="Times New Roman"/>
        </w:rPr>
        <w:t xml:space="preserve">ekonomiskajām kategorijām </w:t>
      </w:r>
      <w:r w:rsidR="007F6ED0" w:rsidRPr="002C6E0E">
        <w:rPr>
          <w:rFonts w:ascii="Times New Roman" w:hAnsi="Times New Roman" w:cs="Times New Roman"/>
        </w:rPr>
        <w:t xml:space="preserve">(EKK 4 zīmju (tāmju) griezumā) </w:t>
      </w:r>
      <w:r w:rsidRPr="002C6E0E">
        <w:rPr>
          <w:rFonts w:ascii="Times New Roman" w:hAnsi="Times New Roman" w:cs="Times New Roman"/>
        </w:rPr>
        <w:t>un aktivitātēm</w:t>
      </w:r>
      <w:r w:rsidR="001D50B2">
        <w:rPr>
          <w:rFonts w:ascii="Times New Roman" w:hAnsi="Times New Roman" w:cs="Times New Roman"/>
        </w:rPr>
        <w:t>;</w:t>
      </w:r>
    </w:p>
    <w:p w14:paraId="16CAE509" w14:textId="449A12C7" w:rsidR="00E93257" w:rsidRPr="002C6E0E" w:rsidRDefault="00A1330A" w:rsidP="0061283F">
      <w:pPr>
        <w:pStyle w:val="ListBullet"/>
        <w:numPr>
          <w:ilvl w:val="0"/>
          <w:numId w:val="15"/>
        </w:numPr>
        <w:rPr>
          <w:rFonts w:ascii="Times New Roman" w:hAnsi="Times New Roman" w:cs="Times New Roman"/>
        </w:rPr>
      </w:pPr>
      <w:r w:rsidRPr="002C6E0E">
        <w:rPr>
          <w:rFonts w:ascii="Times New Roman" w:hAnsi="Times New Roman" w:cs="Times New Roman"/>
        </w:rPr>
        <w:t>Apjomi</w:t>
      </w:r>
      <w:r w:rsidR="00ED4D29">
        <w:rPr>
          <w:rFonts w:ascii="Times New Roman" w:hAnsi="Times New Roman" w:cs="Times New Roman"/>
        </w:rPr>
        <w:t xml:space="preserve"> (darbības rādītāji)</w:t>
      </w:r>
      <w:r w:rsidRPr="002C6E0E">
        <w:rPr>
          <w:rFonts w:ascii="Times New Roman" w:hAnsi="Times New Roman" w:cs="Times New Roman"/>
        </w:rPr>
        <w:t>: pakalpojumu vienības (piem., klientu skaits, izsniegtās licences, izmeklējumi, uzturēto objektu km u. c.)</w:t>
      </w:r>
      <w:r w:rsidR="001D50B2">
        <w:rPr>
          <w:rFonts w:ascii="Times New Roman" w:hAnsi="Times New Roman" w:cs="Times New Roman"/>
        </w:rPr>
        <w:t>;</w:t>
      </w:r>
    </w:p>
    <w:p w14:paraId="00C15AAC" w14:textId="59008C29" w:rsidR="00E93257" w:rsidRPr="002C6E0E" w:rsidRDefault="00A1330A" w:rsidP="0061283F">
      <w:pPr>
        <w:pStyle w:val="ListBullet"/>
        <w:numPr>
          <w:ilvl w:val="0"/>
          <w:numId w:val="15"/>
        </w:numPr>
        <w:rPr>
          <w:rFonts w:ascii="Times New Roman" w:hAnsi="Times New Roman" w:cs="Times New Roman"/>
        </w:rPr>
      </w:pPr>
      <w:r w:rsidRPr="002C6E0E">
        <w:rPr>
          <w:rFonts w:ascii="Times New Roman" w:hAnsi="Times New Roman" w:cs="Times New Roman"/>
        </w:rPr>
        <w:t xml:space="preserve">Personāls: </w:t>
      </w:r>
      <w:r w:rsidR="00ED4D29">
        <w:rPr>
          <w:rFonts w:ascii="Times New Roman" w:hAnsi="Times New Roman" w:cs="Times New Roman"/>
        </w:rPr>
        <w:t>PLE (pilnā laika ekvivalenta vienības)</w:t>
      </w:r>
      <w:r w:rsidRPr="002C6E0E">
        <w:rPr>
          <w:rFonts w:ascii="Times New Roman" w:hAnsi="Times New Roman" w:cs="Times New Roman"/>
        </w:rPr>
        <w:t>, atlīdzības struktūra, slodzes sadalījums pa funkcijām</w:t>
      </w:r>
      <w:r w:rsidR="001D50B2">
        <w:rPr>
          <w:rFonts w:ascii="Times New Roman" w:hAnsi="Times New Roman" w:cs="Times New Roman"/>
        </w:rPr>
        <w:t>;</w:t>
      </w:r>
    </w:p>
    <w:p w14:paraId="14C02824" w14:textId="01FFD3C8" w:rsidR="00E93257" w:rsidRPr="002C6E0E" w:rsidRDefault="00A1330A" w:rsidP="0061283F">
      <w:pPr>
        <w:pStyle w:val="ListBullet"/>
        <w:numPr>
          <w:ilvl w:val="0"/>
          <w:numId w:val="15"/>
        </w:numPr>
        <w:rPr>
          <w:rFonts w:ascii="Times New Roman" w:hAnsi="Times New Roman" w:cs="Times New Roman"/>
        </w:rPr>
      </w:pPr>
      <w:r w:rsidRPr="002C6E0E">
        <w:rPr>
          <w:rFonts w:ascii="Times New Roman" w:hAnsi="Times New Roman" w:cs="Times New Roman"/>
        </w:rPr>
        <w:t>Kvalitāte un pieejamība: gaidīšanas laiki, atbilstība standartiem, klientu apmierinātība</w:t>
      </w:r>
      <w:r w:rsidR="001D50B2">
        <w:rPr>
          <w:rFonts w:ascii="Times New Roman" w:hAnsi="Times New Roman" w:cs="Times New Roman"/>
        </w:rPr>
        <w:t>;</w:t>
      </w:r>
    </w:p>
    <w:p w14:paraId="2AD0B4A3" w14:textId="77777777" w:rsidR="00E93257" w:rsidRPr="002C6E0E" w:rsidRDefault="00A1330A" w:rsidP="0061283F">
      <w:pPr>
        <w:pStyle w:val="ListBullet"/>
        <w:numPr>
          <w:ilvl w:val="0"/>
          <w:numId w:val="15"/>
        </w:numPr>
        <w:rPr>
          <w:rFonts w:ascii="Times New Roman" w:hAnsi="Times New Roman" w:cs="Times New Roman"/>
        </w:rPr>
      </w:pPr>
      <w:r w:rsidRPr="002C6E0E">
        <w:rPr>
          <w:rFonts w:ascii="Times New Roman" w:hAnsi="Times New Roman" w:cs="Times New Roman"/>
        </w:rPr>
        <w:t xml:space="preserve">Salīdzināmie dati: </w:t>
      </w:r>
      <w:proofErr w:type="spellStart"/>
      <w:r w:rsidRPr="00CB4903">
        <w:rPr>
          <w:rFonts w:ascii="Times New Roman" w:hAnsi="Times New Roman" w:cs="Times New Roman"/>
          <w:i/>
          <w:iCs/>
        </w:rPr>
        <w:t>benchmark</w:t>
      </w:r>
      <w:proofErr w:type="spellEnd"/>
      <w:r w:rsidRPr="002C6E0E">
        <w:rPr>
          <w:rFonts w:ascii="Times New Roman" w:hAnsi="Times New Roman" w:cs="Times New Roman"/>
        </w:rPr>
        <w:t xml:space="preserve"> (iekšējais, starp iestādēm, starptautiskais) – ja pieejams.</w:t>
      </w:r>
    </w:p>
    <w:p w14:paraId="23AEA21A" w14:textId="47C164D9" w:rsidR="00E93257" w:rsidRPr="00E32FE0" w:rsidRDefault="00A1330A" w:rsidP="00407FED">
      <w:pPr>
        <w:pStyle w:val="Heading2"/>
        <w:numPr>
          <w:ilvl w:val="1"/>
          <w:numId w:val="19"/>
        </w:numPr>
        <w:rPr>
          <w:rFonts w:ascii="Times New Roman" w:hAnsi="Times New Roman" w:cs="Times New Roman"/>
          <w:color w:val="auto"/>
        </w:rPr>
      </w:pPr>
      <w:r w:rsidRPr="00E32FE0">
        <w:rPr>
          <w:rFonts w:ascii="Times New Roman" w:hAnsi="Times New Roman" w:cs="Times New Roman"/>
          <w:color w:val="auto"/>
        </w:rPr>
        <w:t>Izmaksu rādītāji un analītiskie instrumenti</w:t>
      </w:r>
    </w:p>
    <w:p w14:paraId="7D8D8935" w14:textId="2A45AD7B" w:rsidR="00E93257" w:rsidRPr="002C6E0E" w:rsidRDefault="00A1330A" w:rsidP="00B4257B">
      <w:pPr>
        <w:pStyle w:val="ListBullet"/>
        <w:numPr>
          <w:ilvl w:val="0"/>
          <w:numId w:val="16"/>
        </w:numPr>
        <w:rPr>
          <w:rFonts w:ascii="Times New Roman" w:hAnsi="Times New Roman" w:cs="Times New Roman"/>
        </w:rPr>
      </w:pPr>
      <w:r w:rsidRPr="002C6E0E">
        <w:rPr>
          <w:rFonts w:ascii="Times New Roman" w:hAnsi="Times New Roman" w:cs="Times New Roman"/>
        </w:rPr>
        <w:t>Vienības izmaksas (EUR uz pakalpojuma vienību)</w:t>
      </w:r>
      <w:r w:rsidR="001D50B2">
        <w:rPr>
          <w:rFonts w:ascii="Times New Roman" w:hAnsi="Times New Roman" w:cs="Times New Roman"/>
        </w:rPr>
        <w:t>;</w:t>
      </w:r>
    </w:p>
    <w:p w14:paraId="39D5C2EF" w14:textId="4A20F6F4" w:rsidR="00E93257" w:rsidRPr="002C6E0E" w:rsidRDefault="00A1330A" w:rsidP="00B4257B">
      <w:pPr>
        <w:pStyle w:val="ListBullet"/>
        <w:numPr>
          <w:ilvl w:val="0"/>
          <w:numId w:val="16"/>
        </w:numPr>
        <w:rPr>
          <w:rFonts w:ascii="Times New Roman" w:hAnsi="Times New Roman" w:cs="Times New Roman"/>
        </w:rPr>
      </w:pPr>
      <w:r w:rsidRPr="002C6E0E">
        <w:rPr>
          <w:rFonts w:ascii="Times New Roman" w:hAnsi="Times New Roman" w:cs="Times New Roman"/>
        </w:rPr>
        <w:t xml:space="preserve">Produktivitāte (apjoms uz </w:t>
      </w:r>
      <w:r w:rsidR="00ED4D29">
        <w:rPr>
          <w:rFonts w:ascii="Times New Roman" w:hAnsi="Times New Roman" w:cs="Times New Roman"/>
        </w:rPr>
        <w:t>PLE</w:t>
      </w:r>
      <w:r w:rsidRPr="002C6E0E">
        <w:rPr>
          <w:rFonts w:ascii="Times New Roman" w:hAnsi="Times New Roman" w:cs="Times New Roman"/>
        </w:rPr>
        <w:t>; apjoms uz EUR)</w:t>
      </w:r>
      <w:r w:rsidR="001D50B2">
        <w:rPr>
          <w:rFonts w:ascii="Times New Roman" w:hAnsi="Times New Roman" w:cs="Times New Roman"/>
        </w:rPr>
        <w:t>;</w:t>
      </w:r>
    </w:p>
    <w:p w14:paraId="58A412AE" w14:textId="64709250" w:rsidR="00E93257" w:rsidRPr="002C6E0E" w:rsidRDefault="00A1330A" w:rsidP="00B4257B">
      <w:pPr>
        <w:pStyle w:val="ListBullet"/>
        <w:numPr>
          <w:ilvl w:val="0"/>
          <w:numId w:val="16"/>
        </w:numPr>
        <w:rPr>
          <w:rFonts w:ascii="Times New Roman" w:hAnsi="Times New Roman" w:cs="Times New Roman"/>
        </w:rPr>
      </w:pPr>
      <w:r w:rsidRPr="002C6E0E">
        <w:rPr>
          <w:rFonts w:ascii="Times New Roman" w:hAnsi="Times New Roman" w:cs="Times New Roman"/>
        </w:rPr>
        <w:t xml:space="preserve">Izmaksu </w:t>
      </w:r>
      <w:r w:rsidR="00D26918">
        <w:rPr>
          <w:rFonts w:ascii="Times New Roman" w:hAnsi="Times New Roman" w:cs="Times New Roman"/>
        </w:rPr>
        <w:t>ierosinātāju (</w:t>
      </w:r>
      <w:r w:rsidR="00D26918" w:rsidRPr="00CB4903">
        <w:rPr>
          <w:rFonts w:ascii="Times New Roman" w:hAnsi="Times New Roman" w:cs="Times New Roman"/>
          <w:i/>
          <w:iCs/>
        </w:rPr>
        <w:t>cost drivers</w:t>
      </w:r>
      <w:r w:rsidR="00D26918">
        <w:rPr>
          <w:rFonts w:ascii="Times New Roman" w:hAnsi="Times New Roman" w:cs="Times New Roman"/>
        </w:rPr>
        <w:t>)</w:t>
      </w:r>
      <w:r w:rsidR="00D26918" w:rsidRPr="002C6E0E">
        <w:rPr>
          <w:rFonts w:ascii="Times New Roman" w:hAnsi="Times New Roman" w:cs="Times New Roman"/>
        </w:rPr>
        <w:t xml:space="preserve"> </w:t>
      </w:r>
      <w:r w:rsidRPr="002C6E0E">
        <w:rPr>
          <w:rFonts w:ascii="Times New Roman" w:hAnsi="Times New Roman" w:cs="Times New Roman"/>
        </w:rPr>
        <w:t xml:space="preserve">analīze (piem., </w:t>
      </w:r>
      <w:r w:rsidR="00ED4D29" w:rsidRPr="002C6E0E">
        <w:rPr>
          <w:rFonts w:ascii="Times New Roman" w:hAnsi="Times New Roman" w:cs="Times New Roman"/>
        </w:rPr>
        <w:t>sezonal</w:t>
      </w:r>
      <w:r w:rsidR="00ED4D29">
        <w:rPr>
          <w:rFonts w:ascii="Times New Roman" w:hAnsi="Times New Roman" w:cs="Times New Roman"/>
        </w:rPr>
        <w:t>itāte</w:t>
      </w:r>
      <w:r w:rsidRPr="002C6E0E">
        <w:rPr>
          <w:rFonts w:ascii="Times New Roman" w:hAnsi="Times New Roman" w:cs="Times New Roman"/>
        </w:rPr>
        <w:t>, normatīvās prasības, tehnoloģiju līmenis)</w:t>
      </w:r>
      <w:r w:rsidR="001D50B2">
        <w:rPr>
          <w:rFonts w:ascii="Times New Roman" w:hAnsi="Times New Roman" w:cs="Times New Roman"/>
        </w:rPr>
        <w:t>;</w:t>
      </w:r>
    </w:p>
    <w:p w14:paraId="296D7E78" w14:textId="0AA6FE44" w:rsidR="00E93257" w:rsidRPr="002C6E0E" w:rsidRDefault="00A1330A" w:rsidP="00B4257B">
      <w:pPr>
        <w:pStyle w:val="ListBullet"/>
        <w:numPr>
          <w:ilvl w:val="0"/>
          <w:numId w:val="16"/>
        </w:numPr>
        <w:rPr>
          <w:rFonts w:ascii="Times New Roman" w:hAnsi="Times New Roman" w:cs="Times New Roman"/>
        </w:rPr>
      </w:pPr>
      <w:r w:rsidRPr="002C6E0E">
        <w:rPr>
          <w:rFonts w:ascii="Times New Roman" w:hAnsi="Times New Roman" w:cs="Times New Roman"/>
        </w:rPr>
        <w:t>Izmaksu–ieguvumu analīze un jutīguma analīze (pieņēmumu maiņa)</w:t>
      </w:r>
      <w:r w:rsidR="001D50B2">
        <w:rPr>
          <w:rFonts w:ascii="Times New Roman" w:hAnsi="Times New Roman" w:cs="Times New Roman"/>
        </w:rPr>
        <w:t>;</w:t>
      </w:r>
    </w:p>
    <w:p w14:paraId="68999297" w14:textId="1B95C38D" w:rsidR="00E93257" w:rsidRPr="002C6E0E" w:rsidRDefault="00A1330A" w:rsidP="00B4257B">
      <w:pPr>
        <w:pStyle w:val="ListBullet"/>
        <w:numPr>
          <w:ilvl w:val="0"/>
          <w:numId w:val="16"/>
        </w:numPr>
        <w:rPr>
          <w:rFonts w:ascii="Times New Roman" w:hAnsi="Times New Roman" w:cs="Times New Roman"/>
        </w:rPr>
      </w:pPr>
      <w:r w:rsidRPr="002C6E0E">
        <w:rPr>
          <w:rFonts w:ascii="Times New Roman" w:hAnsi="Times New Roman" w:cs="Times New Roman"/>
        </w:rPr>
        <w:t>Funkcionālo pārklāšanos/dublēšanos kartēšana (</w:t>
      </w:r>
      <w:r w:rsidR="00ED4D29" w:rsidRPr="00ED4D29">
        <w:rPr>
          <w:rFonts w:ascii="Times New Roman" w:hAnsi="Times New Roman" w:cs="Times New Roman"/>
        </w:rPr>
        <w:t>visaptverošas funkcijas</w:t>
      </w:r>
      <w:r w:rsidRPr="002C6E0E">
        <w:rPr>
          <w:rFonts w:ascii="Times New Roman" w:hAnsi="Times New Roman" w:cs="Times New Roman"/>
        </w:rPr>
        <w:t>).</w:t>
      </w:r>
    </w:p>
    <w:p w14:paraId="66999241" w14:textId="7074C5A3" w:rsidR="00E93257" w:rsidRPr="00407FED" w:rsidRDefault="00A1330A" w:rsidP="00407FED">
      <w:pPr>
        <w:pStyle w:val="Heading1"/>
        <w:numPr>
          <w:ilvl w:val="0"/>
          <w:numId w:val="19"/>
        </w:numPr>
        <w:spacing w:after="240"/>
        <w:rPr>
          <w:rFonts w:ascii="Times New Roman" w:hAnsi="Times New Roman" w:cs="Times New Roman"/>
          <w:i/>
          <w:iCs/>
          <w:color w:val="001B6C"/>
        </w:rPr>
      </w:pPr>
      <w:r w:rsidRPr="00407FED">
        <w:rPr>
          <w:rFonts w:ascii="Times New Roman" w:hAnsi="Times New Roman" w:cs="Times New Roman"/>
          <w:i/>
          <w:iCs/>
          <w:color w:val="001B6C"/>
        </w:rPr>
        <w:t>Lēmumu paketes veidne (pielikuma formātā)</w:t>
      </w:r>
      <w:r w:rsidR="00B4257B" w:rsidRPr="00407FED">
        <w:rPr>
          <w:rFonts w:ascii="Times New Roman" w:hAnsi="Times New Roman" w:cs="Times New Roman"/>
          <w:i/>
          <w:iCs/>
          <w:noProof/>
          <w:color w:val="001B6C"/>
        </w:rPr>
        <w:t xml:space="preserve"> </w:t>
      </w:r>
    </w:p>
    <w:p w14:paraId="496049C4" w14:textId="71D0AB19" w:rsidR="00ED4D29" w:rsidRDefault="00A1330A" w:rsidP="00E651F8">
      <w:pPr>
        <w:rPr>
          <w:rFonts w:ascii="Times New Roman" w:hAnsi="Times New Roman" w:cs="Times New Roman"/>
        </w:rPr>
      </w:pPr>
      <w:r w:rsidRPr="002C6E0E">
        <w:rPr>
          <w:rFonts w:ascii="Times New Roman" w:hAnsi="Times New Roman" w:cs="Times New Roman"/>
        </w:rPr>
        <w:t>Zemāk sniegts īss veidnes paraugs, ko var kopēt un izmantot kā standartizētu formu lēmumu pakešu sagatavošanai.</w:t>
      </w:r>
    </w:p>
    <w:tbl>
      <w:tblPr>
        <w:tblStyle w:val="PlainTable1"/>
        <w:tblW w:w="11341" w:type="dxa"/>
        <w:tblInd w:w="-431" w:type="dxa"/>
        <w:tblLayout w:type="fixed"/>
        <w:tblLook w:val="0420" w:firstRow="1" w:lastRow="0" w:firstColumn="0" w:lastColumn="0" w:noHBand="0" w:noVBand="1"/>
      </w:tblPr>
      <w:tblGrid>
        <w:gridCol w:w="852"/>
        <w:gridCol w:w="850"/>
        <w:gridCol w:w="1134"/>
        <w:gridCol w:w="1134"/>
        <w:gridCol w:w="1276"/>
        <w:gridCol w:w="1134"/>
        <w:gridCol w:w="992"/>
        <w:gridCol w:w="1418"/>
        <w:gridCol w:w="1417"/>
        <w:gridCol w:w="1134"/>
      </w:tblGrid>
      <w:tr w:rsidR="00ED4D29" w:rsidRPr="00185086" w14:paraId="00B506F8" w14:textId="77777777" w:rsidTr="00185086">
        <w:trPr>
          <w:cnfStyle w:val="100000000000" w:firstRow="1" w:lastRow="0" w:firstColumn="0" w:lastColumn="0" w:oddVBand="0" w:evenVBand="0" w:oddHBand="0" w:evenHBand="0" w:firstRowFirstColumn="0" w:firstRowLastColumn="0" w:lastRowFirstColumn="0" w:lastRowLastColumn="0"/>
          <w:cantSplit/>
          <w:trHeight w:val="1162"/>
        </w:trPr>
        <w:tc>
          <w:tcPr>
            <w:tcW w:w="852" w:type="dxa"/>
            <w:vAlign w:val="center"/>
          </w:tcPr>
          <w:p w14:paraId="2F569359" w14:textId="3BD90B32" w:rsidR="00ED4D29" w:rsidRPr="00185086" w:rsidRDefault="00ED4D29" w:rsidP="00185086">
            <w:pPr>
              <w:jc w:val="center"/>
              <w:rPr>
                <w:rFonts w:ascii="Times New Roman" w:hAnsi="Times New Roman" w:cs="Times New Roman"/>
                <w:sz w:val="18"/>
                <w:szCs w:val="18"/>
              </w:rPr>
            </w:pPr>
            <w:r w:rsidRPr="00185086">
              <w:rPr>
                <w:rFonts w:ascii="Times New Roman" w:hAnsi="Times New Roman" w:cs="Times New Roman"/>
                <w:sz w:val="18"/>
                <w:szCs w:val="18"/>
              </w:rPr>
              <w:t>Budžeta vienība</w:t>
            </w:r>
          </w:p>
        </w:tc>
        <w:tc>
          <w:tcPr>
            <w:tcW w:w="850" w:type="dxa"/>
            <w:vAlign w:val="center"/>
          </w:tcPr>
          <w:p w14:paraId="275F7FF2" w14:textId="108F525D" w:rsidR="00ED4D29" w:rsidRPr="00185086" w:rsidRDefault="00ED4D29" w:rsidP="00185086">
            <w:pPr>
              <w:jc w:val="center"/>
              <w:rPr>
                <w:rFonts w:ascii="Times New Roman" w:hAnsi="Times New Roman" w:cs="Times New Roman"/>
                <w:sz w:val="18"/>
                <w:szCs w:val="18"/>
              </w:rPr>
            </w:pPr>
            <w:r w:rsidRPr="00185086">
              <w:rPr>
                <w:rFonts w:ascii="Times New Roman" w:hAnsi="Times New Roman" w:cs="Times New Roman"/>
                <w:sz w:val="18"/>
                <w:szCs w:val="18"/>
              </w:rPr>
              <w:t>Mērķis</w:t>
            </w:r>
          </w:p>
        </w:tc>
        <w:tc>
          <w:tcPr>
            <w:tcW w:w="1134" w:type="dxa"/>
            <w:vAlign w:val="center"/>
          </w:tcPr>
          <w:p w14:paraId="15BC2CC0" w14:textId="65576684" w:rsidR="00ED4D29" w:rsidRPr="00185086" w:rsidRDefault="00ED4D29" w:rsidP="00185086">
            <w:pPr>
              <w:jc w:val="center"/>
              <w:rPr>
                <w:rFonts w:ascii="Times New Roman" w:hAnsi="Times New Roman" w:cs="Times New Roman"/>
                <w:sz w:val="18"/>
                <w:szCs w:val="18"/>
              </w:rPr>
            </w:pPr>
            <w:r w:rsidRPr="00185086">
              <w:rPr>
                <w:rFonts w:ascii="Times New Roman" w:hAnsi="Times New Roman" w:cs="Times New Roman"/>
                <w:sz w:val="18"/>
                <w:szCs w:val="18"/>
              </w:rPr>
              <w:t>Juridiskais pamats</w:t>
            </w:r>
          </w:p>
        </w:tc>
        <w:tc>
          <w:tcPr>
            <w:tcW w:w="1134" w:type="dxa"/>
            <w:vAlign w:val="center"/>
          </w:tcPr>
          <w:p w14:paraId="6F0D8050" w14:textId="6504C0A6" w:rsidR="00ED4D29" w:rsidRPr="00185086" w:rsidRDefault="00ED4D29" w:rsidP="00185086">
            <w:pPr>
              <w:jc w:val="center"/>
              <w:rPr>
                <w:rFonts w:ascii="Times New Roman" w:hAnsi="Times New Roman" w:cs="Times New Roman"/>
                <w:sz w:val="18"/>
                <w:szCs w:val="18"/>
              </w:rPr>
            </w:pPr>
            <w:r w:rsidRPr="00185086">
              <w:rPr>
                <w:rFonts w:ascii="Times New Roman" w:hAnsi="Times New Roman" w:cs="Times New Roman"/>
                <w:sz w:val="18"/>
                <w:szCs w:val="18"/>
              </w:rPr>
              <w:t>Mērķgrupa</w:t>
            </w:r>
          </w:p>
        </w:tc>
        <w:tc>
          <w:tcPr>
            <w:tcW w:w="1276" w:type="dxa"/>
            <w:vAlign w:val="center"/>
          </w:tcPr>
          <w:p w14:paraId="74007099" w14:textId="025F9353" w:rsidR="00ED4D29" w:rsidRPr="00185086" w:rsidRDefault="00ED4D29" w:rsidP="00185086">
            <w:pPr>
              <w:jc w:val="center"/>
              <w:rPr>
                <w:rFonts w:ascii="Times New Roman" w:hAnsi="Times New Roman" w:cs="Times New Roman"/>
                <w:sz w:val="18"/>
                <w:szCs w:val="18"/>
              </w:rPr>
            </w:pPr>
            <w:r w:rsidRPr="00185086">
              <w:rPr>
                <w:rFonts w:ascii="Times New Roman" w:hAnsi="Times New Roman" w:cs="Times New Roman"/>
                <w:sz w:val="18"/>
                <w:szCs w:val="18"/>
              </w:rPr>
              <w:t>Pakalpojuma apraksts</w:t>
            </w:r>
          </w:p>
        </w:tc>
        <w:tc>
          <w:tcPr>
            <w:tcW w:w="1134" w:type="dxa"/>
            <w:vAlign w:val="center"/>
          </w:tcPr>
          <w:p w14:paraId="4FECA161" w14:textId="27A383A9" w:rsidR="00ED4D29" w:rsidRPr="00185086" w:rsidRDefault="00ED4D29" w:rsidP="00185086">
            <w:pPr>
              <w:jc w:val="center"/>
              <w:rPr>
                <w:rFonts w:ascii="Times New Roman" w:hAnsi="Times New Roman" w:cs="Times New Roman"/>
                <w:sz w:val="18"/>
                <w:szCs w:val="18"/>
              </w:rPr>
            </w:pPr>
            <w:r w:rsidRPr="00185086">
              <w:rPr>
                <w:rFonts w:ascii="Times New Roman" w:hAnsi="Times New Roman" w:cs="Times New Roman"/>
                <w:sz w:val="18"/>
                <w:szCs w:val="18"/>
              </w:rPr>
              <w:t>KPI (definīcija, datu avots)</w:t>
            </w:r>
          </w:p>
        </w:tc>
        <w:tc>
          <w:tcPr>
            <w:tcW w:w="992" w:type="dxa"/>
            <w:vAlign w:val="center"/>
          </w:tcPr>
          <w:p w14:paraId="43F7F38F" w14:textId="46FEC031" w:rsidR="00ED4D29" w:rsidRPr="00185086" w:rsidRDefault="00ED4D29" w:rsidP="00185086">
            <w:pPr>
              <w:jc w:val="center"/>
              <w:rPr>
                <w:rFonts w:ascii="Times New Roman" w:hAnsi="Times New Roman" w:cs="Times New Roman"/>
                <w:sz w:val="18"/>
                <w:szCs w:val="18"/>
              </w:rPr>
            </w:pPr>
            <w:r w:rsidRPr="00185086">
              <w:rPr>
                <w:rFonts w:ascii="Times New Roman" w:hAnsi="Times New Roman" w:cs="Times New Roman"/>
                <w:sz w:val="18"/>
                <w:szCs w:val="18"/>
              </w:rPr>
              <w:t>Izmaksu struktūra</w:t>
            </w:r>
          </w:p>
        </w:tc>
        <w:tc>
          <w:tcPr>
            <w:tcW w:w="1418" w:type="dxa"/>
            <w:vAlign w:val="center"/>
          </w:tcPr>
          <w:p w14:paraId="1A478F51" w14:textId="5166BEA7" w:rsidR="00ED4D29" w:rsidRPr="00185086" w:rsidRDefault="00ED4D29" w:rsidP="00185086">
            <w:pPr>
              <w:jc w:val="center"/>
              <w:rPr>
                <w:rFonts w:ascii="Times New Roman" w:hAnsi="Times New Roman" w:cs="Times New Roman"/>
                <w:sz w:val="18"/>
                <w:szCs w:val="18"/>
              </w:rPr>
            </w:pPr>
            <w:r w:rsidRPr="00185086">
              <w:rPr>
                <w:rFonts w:ascii="Times New Roman" w:hAnsi="Times New Roman" w:cs="Times New Roman"/>
                <w:sz w:val="18"/>
                <w:szCs w:val="18"/>
              </w:rPr>
              <w:t>Scenāriji (min/</w:t>
            </w:r>
            <w:proofErr w:type="spellStart"/>
            <w:r w:rsidRPr="00185086">
              <w:rPr>
                <w:rFonts w:ascii="Times New Roman" w:hAnsi="Times New Roman" w:cs="Times New Roman"/>
                <w:sz w:val="18"/>
                <w:szCs w:val="18"/>
              </w:rPr>
              <w:t>optim</w:t>
            </w:r>
            <w:proofErr w:type="spellEnd"/>
            <w:r w:rsidRPr="00185086">
              <w:rPr>
                <w:rFonts w:ascii="Times New Roman" w:hAnsi="Times New Roman" w:cs="Times New Roman"/>
                <w:sz w:val="18"/>
                <w:szCs w:val="18"/>
              </w:rPr>
              <w:t>/pa</w:t>
            </w:r>
            <w:r w:rsidR="00EC693B" w:rsidRPr="00185086">
              <w:rPr>
                <w:rFonts w:ascii="Times New Roman" w:hAnsi="Times New Roman" w:cs="Times New Roman"/>
                <w:sz w:val="18"/>
                <w:szCs w:val="18"/>
              </w:rPr>
              <w:t>-</w:t>
            </w:r>
            <w:r w:rsidRPr="00185086">
              <w:rPr>
                <w:rFonts w:ascii="Times New Roman" w:hAnsi="Times New Roman" w:cs="Times New Roman"/>
                <w:sz w:val="18"/>
                <w:szCs w:val="18"/>
              </w:rPr>
              <w:t>plašināts)</w:t>
            </w:r>
          </w:p>
        </w:tc>
        <w:tc>
          <w:tcPr>
            <w:tcW w:w="1417" w:type="dxa"/>
            <w:vAlign w:val="center"/>
          </w:tcPr>
          <w:p w14:paraId="4651CC26" w14:textId="00190E30" w:rsidR="00ED4D29" w:rsidRPr="00185086" w:rsidRDefault="00ED4D29" w:rsidP="00185086">
            <w:pPr>
              <w:jc w:val="center"/>
              <w:rPr>
                <w:rFonts w:ascii="Times New Roman" w:hAnsi="Times New Roman" w:cs="Times New Roman"/>
                <w:sz w:val="18"/>
                <w:szCs w:val="18"/>
              </w:rPr>
            </w:pPr>
            <w:r w:rsidRPr="00185086">
              <w:rPr>
                <w:rFonts w:ascii="Times New Roman" w:hAnsi="Times New Roman" w:cs="Times New Roman"/>
                <w:sz w:val="18"/>
                <w:szCs w:val="18"/>
              </w:rPr>
              <w:t>Alternatīvas (strukturālas)</w:t>
            </w:r>
          </w:p>
        </w:tc>
        <w:tc>
          <w:tcPr>
            <w:tcW w:w="1134" w:type="dxa"/>
            <w:vAlign w:val="center"/>
          </w:tcPr>
          <w:p w14:paraId="4B11B0B6" w14:textId="146BA6DE" w:rsidR="00ED4D29" w:rsidRPr="00185086" w:rsidRDefault="00ED4D29" w:rsidP="00185086">
            <w:pPr>
              <w:jc w:val="center"/>
              <w:rPr>
                <w:rFonts w:ascii="Times New Roman" w:hAnsi="Times New Roman" w:cs="Times New Roman"/>
                <w:sz w:val="18"/>
                <w:szCs w:val="18"/>
              </w:rPr>
            </w:pPr>
            <w:r w:rsidRPr="00185086">
              <w:rPr>
                <w:rFonts w:ascii="Times New Roman" w:hAnsi="Times New Roman" w:cs="Times New Roman"/>
                <w:sz w:val="18"/>
                <w:szCs w:val="18"/>
              </w:rPr>
              <w:t>Riski un ieviešanas priekš</w:t>
            </w:r>
            <w:r w:rsidR="00185086">
              <w:rPr>
                <w:rFonts w:ascii="Times New Roman" w:hAnsi="Times New Roman" w:cs="Times New Roman"/>
                <w:sz w:val="18"/>
                <w:szCs w:val="18"/>
              </w:rPr>
              <w:t>-</w:t>
            </w:r>
            <w:r w:rsidRPr="00185086">
              <w:rPr>
                <w:rFonts w:ascii="Times New Roman" w:hAnsi="Times New Roman" w:cs="Times New Roman"/>
                <w:sz w:val="18"/>
                <w:szCs w:val="18"/>
              </w:rPr>
              <w:t>noteikumi</w:t>
            </w:r>
          </w:p>
        </w:tc>
      </w:tr>
      <w:tr w:rsidR="00ED4D29" w:rsidRPr="00185086" w14:paraId="35D013A8" w14:textId="77777777" w:rsidTr="00185086">
        <w:trPr>
          <w:cnfStyle w:val="000000100000" w:firstRow="0" w:lastRow="0" w:firstColumn="0" w:lastColumn="0" w:oddVBand="0" w:evenVBand="0" w:oddHBand="1" w:evenHBand="0" w:firstRowFirstColumn="0" w:firstRowLastColumn="0" w:lastRowFirstColumn="0" w:lastRowLastColumn="0"/>
          <w:cantSplit/>
          <w:trHeight w:val="3538"/>
        </w:trPr>
        <w:tc>
          <w:tcPr>
            <w:tcW w:w="852" w:type="dxa"/>
            <w:textDirection w:val="btLr"/>
            <w:vAlign w:val="center"/>
          </w:tcPr>
          <w:p w14:paraId="45E09D9B" w14:textId="0EF86389" w:rsidR="00ED4D29" w:rsidRPr="00185086" w:rsidRDefault="009677B7" w:rsidP="00185086">
            <w:pPr>
              <w:ind w:left="113" w:right="113"/>
              <w:rPr>
                <w:rFonts w:ascii="Times New Roman" w:hAnsi="Times New Roman" w:cs="Times New Roman"/>
                <w:sz w:val="18"/>
                <w:szCs w:val="18"/>
              </w:rPr>
            </w:pPr>
            <w:r w:rsidRPr="00D25E03">
              <w:rPr>
                <w:rFonts w:ascii="Times New Roman" w:hAnsi="Times New Roman" w:cs="Times New Roman"/>
                <w:sz w:val="18"/>
                <w:szCs w:val="18"/>
              </w:rPr>
              <w:t>Norāda budžeta programmu, apakšprogrammu, iestādi, aktivitāti vai struktūrvienību</w:t>
            </w:r>
          </w:p>
        </w:tc>
        <w:tc>
          <w:tcPr>
            <w:tcW w:w="850" w:type="dxa"/>
            <w:textDirection w:val="btLr"/>
            <w:vAlign w:val="center"/>
          </w:tcPr>
          <w:p w14:paraId="550B143B" w14:textId="09E833F9" w:rsidR="00ED4D29" w:rsidRPr="00185086" w:rsidRDefault="00B86B72" w:rsidP="00185086">
            <w:pPr>
              <w:ind w:left="113" w:right="113"/>
              <w:rPr>
                <w:rFonts w:ascii="Times New Roman" w:hAnsi="Times New Roman" w:cs="Times New Roman"/>
                <w:sz w:val="18"/>
                <w:szCs w:val="18"/>
              </w:rPr>
            </w:pPr>
            <w:r w:rsidRPr="00185086">
              <w:rPr>
                <w:rFonts w:ascii="Times New Roman" w:hAnsi="Times New Roman" w:cs="Times New Roman"/>
                <w:sz w:val="18"/>
                <w:szCs w:val="18"/>
              </w:rPr>
              <w:t>Norāda sasniedzamo mērķi</w:t>
            </w:r>
          </w:p>
        </w:tc>
        <w:tc>
          <w:tcPr>
            <w:tcW w:w="1134" w:type="dxa"/>
            <w:textDirection w:val="btLr"/>
            <w:vAlign w:val="center"/>
          </w:tcPr>
          <w:p w14:paraId="2513FBDE" w14:textId="7DE20E82" w:rsidR="00ED4D29" w:rsidRPr="00185086" w:rsidRDefault="00B86B72" w:rsidP="00185086">
            <w:pPr>
              <w:ind w:left="113" w:right="113"/>
              <w:rPr>
                <w:rFonts w:ascii="Times New Roman" w:hAnsi="Times New Roman" w:cs="Times New Roman"/>
                <w:sz w:val="18"/>
                <w:szCs w:val="18"/>
              </w:rPr>
            </w:pPr>
            <w:r w:rsidRPr="00185086">
              <w:rPr>
                <w:rFonts w:ascii="Times New Roman" w:hAnsi="Times New Roman" w:cs="Times New Roman"/>
                <w:sz w:val="18"/>
                <w:szCs w:val="18"/>
              </w:rPr>
              <w:t>Norāda juridisko pamatu un obligātuma pakāpi</w:t>
            </w:r>
          </w:p>
        </w:tc>
        <w:tc>
          <w:tcPr>
            <w:tcW w:w="1134" w:type="dxa"/>
            <w:textDirection w:val="btLr"/>
            <w:vAlign w:val="center"/>
          </w:tcPr>
          <w:p w14:paraId="0AB244B9" w14:textId="74D6E44B" w:rsidR="00ED4D29" w:rsidRPr="00185086" w:rsidRDefault="00B86B72" w:rsidP="00185086">
            <w:pPr>
              <w:ind w:left="113" w:right="113"/>
              <w:rPr>
                <w:rFonts w:ascii="Times New Roman" w:hAnsi="Times New Roman" w:cs="Times New Roman"/>
                <w:sz w:val="18"/>
                <w:szCs w:val="18"/>
              </w:rPr>
            </w:pPr>
            <w:r w:rsidRPr="00185086">
              <w:rPr>
                <w:rFonts w:ascii="Times New Roman" w:hAnsi="Times New Roman" w:cs="Times New Roman"/>
                <w:sz w:val="18"/>
                <w:szCs w:val="18"/>
              </w:rPr>
              <w:t>Norāda pakalpojuma vai aktivitātes mērķgrupu</w:t>
            </w:r>
          </w:p>
        </w:tc>
        <w:tc>
          <w:tcPr>
            <w:tcW w:w="1276" w:type="dxa"/>
            <w:textDirection w:val="btLr"/>
            <w:vAlign w:val="center"/>
          </w:tcPr>
          <w:p w14:paraId="74033536" w14:textId="42A858F7" w:rsidR="00ED4D29" w:rsidRPr="00185086" w:rsidRDefault="00C33728" w:rsidP="00185086">
            <w:pPr>
              <w:ind w:left="113" w:right="113"/>
              <w:rPr>
                <w:rFonts w:ascii="Times New Roman" w:hAnsi="Times New Roman" w:cs="Times New Roman"/>
                <w:sz w:val="18"/>
                <w:szCs w:val="18"/>
              </w:rPr>
            </w:pPr>
            <w:r w:rsidRPr="00185086">
              <w:rPr>
                <w:rFonts w:ascii="Times New Roman" w:hAnsi="Times New Roman" w:cs="Times New Roman"/>
                <w:sz w:val="18"/>
                <w:szCs w:val="18"/>
              </w:rPr>
              <w:t>Apraksta sniegto pakalpojumu</w:t>
            </w:r>
          </w:p>
        </w:tc>
        <w:tc>
          <w:tcPr>
            <w:tcW w:w="1134" w:type="dxa"/>
            <w:textDirection w:val="btLr"/>
            <w:vAlign w:val="center"/>
          </w:tcPr>
          <w:p w14:paraId="3A1D47D0" w14:textId="0B52C871" w:rsidR="00ED4D29" w:rsidRPr="00185086" w:rsidRDefault="00C33728" w:rsidP="00185086">
            <w:pPr>
              <w:ind w:left="113" w:right="113"/>
              <w:rPr>
                <w:rFonts w:ascii="Times New Roman" w:hAnsi="Times New Roman" w:cs="Times New Roman"/>
                <w:sz w:val="18"/>
                <w:szCs w:val="18"/>
              </w:rPr>
            </w:pPr>
            <w:r w:rsidRPr="00185086">
              <w:rPr>
                <w:rFonts w:ascii="Times New Roman" w:hAnsi="Times New Roman" w:cs="Times New Roman"/>
                <w:sz w:val="18"/>
                <w:szCs w:val="18"/>
              </w:rPr>
              <w:t>Norāda snieguma rādītāju(KPI), tā definīciju un datu avotu</w:t>
            </w:r>
          </w:p>
        </w:tc>
        <w:tc>
          <w:tcPr>
            <w:tcW w:w="992" w:type="dxa"/>
            <w:textDirection w:val="btLr"/>
            <w:vAlign w:val="center"/>
          </w:tcPr>
          <w:p w14:paraId="1058BF52" w14:textId="13600BC8" w:rsidR="00ED4D29" w:rsidRPr="00185086" w:rsidRDefault="008D495C" w:rsidP="00185086">
            <w:pPr>
              <w:ind w:left="113" w:right="113"/>
              <w:rPr>
                <w:rFonts w:ascii="Times New Roman" w:hAnsi="Times New Roman" w:cs="Times New Roman"/>
                <w:sz w:val="18"/>
                <w:szCs w:val="18"/>
              </w:rPr>
            </w:pPr>
            <w:r w:rsidRPr="00185086">
              <w:rPr>
                <w:rFonts w:ascii="Times New Roman" w:hAnsi="Times New Roman" w:cs="Times New Roman"/>
                <w:sz w:val="18"/>
                <w:szCs w:val="18"/>
              </w:rPr>
              <w:t>Apraksta galvenās izmaksu pozīcijas uz vienu KPI vienību</w:t>
            </w:r>
          </w:p>
        </w:tc>
        <w:tc>
          <w:tcPr>
            <w:tcW w:w="1418" w:type="dxa"/>
            <w:textDirection w:val="btLr"/>
            <w:vAlign w:val="center"/>
          </w:tcPr>
          <w:p w14:paraId="37B06E94" w14:textId="2CBEE53F" w:rsidR="00ED4D29" w:rsidRPr="00185086" w:rsidRDefault="008D495C" w:rsidP="00185086">
            <w:pPr>
              <w:ind w:left="113" w:right="113"/>
              <w:rPr>
                <w:rFonts w:ascii="Times New Roman" w:hAnsi="Times New Roman" w:cs="Times New Roman"/>
                <w:sz w:val="18"/>
                <w:szCs w:val="18"/>
              </w:rPr>
            </w:pPr>
            <w:r w:rsidRPr="00185086">
              <w:rPr>
                <w:rFonts w:ascii="Times New Roman" w:hAnsi="Times New Roman" w:cs="Times New Roman"/>
                <w:sz w:val="18"/>
                <w:szCs w:val="18"/>
              </w:rPr>
              <w:t>Apraksta minimālo, optimālo un paplašināto izpildes scenāriju</w:t>
            </w:r>
          </w:p>
        </w:tc>
        <w:tc>
          <w:tcPr>
            <w:tcW w:w="1417" w:type="dxa"/>
            <w:textDirection w:val="btLr"/>
            <w:vAlign w:val="center"/>
          </w:tcPr>
          <w:p w14:paraId="068EE9AD" w14:textId="24770ED8" w:rsidR="00ED4D29" w:rsidRPr="00185086" w:rsidRDefault="00E651F8" w:rsidP="00185086">
            <w:pPr>
              <w:ind w:left="113" w:right="113"/>
              <w:rPr>
                <w:rFonts w:ascii="Times New Roman" w:hAnsi="Times New Roman" w:cs="Times New Roman"/>
                <w:sz w:val="18"/>
                <w:szCs w:val="18"/>
              </w:rPr>
            </w:pPr>
            <w:r w:rsidRPr="00185086">
              <w:rPr>
                <w:rFonts w:ascii="Times New Roman" w:hAnsi="Times New Roman" w:cs="Times New Roman"/>
                <w:sz w:val="18"/>
                <w:szCs w:val="18"/>
              </w:rPr>
              <w:t>Apraksta iespējamos strukturālos alternatīvos risinājumus</w:t>
            </w:r>
          </w:p>
        </w:tc>
        <w:tc>
          <w:tcPr>
            <w:tcW w:w="1134" w:type="dxa"/>
            <w:textDirection w:val="btLr"/>
            <w:vAlign w:val="center"/>
          </w:tcPr>
          <w:p w14:paraId="33A75762" w14:textId="08E78220" w:rsidR="00ED4D29" w:rsidRPr="00185086" w:rsidRDefault="00E651F8" w:rsidP="00185086">
            <w:pPr>
              <w:ind w:left="113" w:right="113"/>
              <w:rPr>
                <w:rFonts w:ascii="Times New Roman" w:hAnsi="Times New Roman" w:cs="Times New Roman"/>
                <w:sz w:val="18"/>
                <w:szCs w:val="18"/>
              </w:rPr>
            </w:pPr>
            <w:r w:rsidRPr="00185086">
              <w:rPr>
                <w:rFonts w:ascii="Times New Roman" w:hAnsi="Times New Roman" w:cs="Times New Roman"/>
                <w:sz w:val="18"/>
                <w:szCs w:val="18"/>
              </w:rPr>
              <w:t>Norāda būtiskākos riskus un ieviešanas priekšnoteikumus</w:t>
            </w:r>
          </w:p>
        </w:tc>
      </w:tr>
    </w:tbl>
    <w:p w14:paraId="2F29CDFB" w14:textId="38E1D3B6" w:rsidR="00ED4D29" w:rsidRPr="00ED4D29" w:rsidRDefault="00ED4D29" w:rsidP="00ED4D29"/>
    <w:p w14:paraId="79C3FA36" w14:textId="5A9AFE42" w:rsidR="009D748C" w:rsidRPr="00E32FE0" w:rsidRDefault="00A1330A" w:rsidP="009D748C">
      <w:pPr>
        <w:pStyle w:val="Heading1"/>
        <w:numPr>
          <w:ilvl w:val="0"/>
          <w:numId w:val="19"/>
        </w:numPr>
        <w:spacing w:after="240"/>
        <w:rPr>
          <w:rFonts w:ascii="Times New Roman" w:hAnsi="Times New Roman" w:cs="Times New Roman"/>
          <w:i/>
          <w:iCs/>
          <w:color w:val="001B6C"/>
        </w:rPr>
      </w:pPr>
      <w:r w:rsidRPr="00407FED">
        <w:rPr>
          <w:rFonts w:ascii="Times New Roman" w:hAnsi="Times New Roman" w:cs="Times New Roman"/>
          <w:i/>
          <w:iCs/>
          <w:color w:val="001B6C"/>
        </w:rPr>
        <w:lastRenderedPageBreak/>
        <w:t>Praktiski ieteikumi ieviešanai</w:t>
      </w:r>
    </w:p>
    <w:p w14:paraId="7DE2CE96" w14:textId="6894A13B" w:rsidR="00277A2F" w:rsidRPr="00277A2F" w:rsidRDefault="00277A2F" w:rsidP="00277A2F">
      <w:pPr>
        <w:pStyle w:val="ListParagraph"/>
        <w:numPr>
          <w:ilvl w:val="0"/>
          <w:numId w:val="17"/>
        </w:numPr>
        <w:rPr>
          <w:rFonts w:ascii="Times New Roman" w:hAnsi="Times New Roman" w:cs="Times New Roman"/>
        </w:rPr>
      </w:pPr>
      <w:r w:rsidRPr="00277A2F">
        <w:rPr>
          <w:rFonts w:ascii="Times New Roman" w:hAnsi="Times New Roman" w:cs="Times New Roman"/>
        </w:rPr>
        <w:t>Sāciet ar pilotprojekta pieeju (piemēram, 10</w:t>
      </w:r>
      <w:r w:rsidR="009166CB">
        <w:rPr>
          <w:rFonts w:ascii="Times New Roman" w:hAnsi="Times New Roman" w:cs="Times New Roman"/>
        </w:rPr>
        <w:t>-</w:t>
      </w:r>
      <w:r w:rsidRPr="00277A2F">
        <w:rPr>
          <w:rFonts w:ascii="Times New Roman" w:hAnsi="Times New Roman" w:cs="Times New Roman"/>
        </w:rPr>
        <w:t>20 budžeta vienības), izvēloties jomas ar būtisku izdevumu apjomu vai augstu efektivitātes uzlabošanas potenciālu</w:t>
      </w:r>
      <w:r>
        <w:rPr>
          <w:rFonts w:ascii="Times New Roman" w:hAnsi="Times New Roman" w:cs="Times New Roman"/>
        </w:rPr>
        <w:t>;</w:t>
      </w:r>
    </w:p>
    <w:p w14:paraId="49A1CD55" w14:textId="25FE095B" w:rsidR="00277A2F" w:rsidRPr="00277A2F" w:rsidRDefault="00277A2F" w:rsidP="00277A2F">
      <w:pPr>
        <w:pStyle w:val="ListParagraph"/>
        <w:numPr>
          <w:ilvl w:val="0"/>
          <w:numId w:val="17"/>
        </w:numPr>
        <w:rPr>
          <w:rFonts w:ascii="Times New Roman" w:hAnsi="Times New Roman" w:cs="Times New Roman"/>
        </w:rPr>
      </w:pPr>
      <w:r w:rsidRPr="00277A2F">
        <w:rPr>
          <w:rFonts w:ascii="Times New Roman" w:hAnsi="Times New Roman" w:cs="Times New Roman"/>
        </w:rPr>
        <w:t>Nodrošiniet vienotu analītisko veidni un skaidri strukturētu izvērtēšanas “izaicinājuma” procesu, jo bez šādiem priekšnoteikumiem pastāv risks, ka ZBB pieeja pārvēršas par formālu atskaitīšanās mehānismu, nevis kalpo kā instruments resursu lietderības izvērtēšanai</w:t>
      </w:r>
      <w:r w:rsidR="009166CB">
        <w:rPr>
          <w:rFonts w:ascii="Times New Roman" w:hAnsi="Times New Roman" w:cs="Times New Roman"/>
        </w:rPr>
        <w:t>;</w:t>
      </w:r>
    </w:p>
    <w:p w14:paraId="71456531" w14:textId="05910ACA" w:rsidR="00277A2F" w:rsidRPr="00277A2F" w:rsidRDefault="00277A2F" w:rsidP="00277A2F">
      <w:pPr>
        <w:pStyle w:val="ListParagraph"/>
        <w:numPr>
          <w:ilvl w:val="0"/>
          <w:numId w:val="17"/>
        </w:numPr>
        <w:rPr>
          <w:rFonts w:ascii="Times New Roman" w:hAnsi="Times New Roman" w:cs="Times New Roman"/>
        </w:rPr>
      </w:pPr>
      <w:r w:rsidRPr="00277A2F">
        <w:rPr>
          <w:rFonts w:ascii="Times New Roman" w:hAnsi="Times New Roman" w:cs="Times New Roman"/>
        </w:rPr>
        <w:t>Savlaicīgi paredziet mērķētu apmācību programmu un metodisko atbalstu programmu vadītājiem un citām iesaistītajām amatpersonām, lai nodrošinātu kvalitatīvu pieejas piemērošanu</w:t>
      </w:r>
      <w:r w:rsidR="00E57FB7">
        <w:rPr>
          <w:rFonts w:ascii="Times New Roman" w:hAnsi="Times New Roman" w:cs="Times New Roman"/>
        </w:rPr>
        <w:t>;</w:t>
      </w:r>
    </w:p>
    <w:p w14:paraId="30658892" w14:textId="5D26C7C1" w:rsidR="00277A2F" w:rsidRPr="00277A2F" w:rsidRDefault="00277A2F" w:rsidP="00277A2F">
      <w:pPr>
        <w:pStyle w:val="ListParagraph"/>
        <w:numPr>
          <w:ilvl w:val="0"/>
          <w:numId w:val="17"/>
        </w:numPr>
        <w:rPr>
          <w:rFonts w:ascii="Times New Roman" w:hAnsi="Times New Roman" w:cs="Times New Roman"/>
        </w:rPr>
      </w:pPr>
      <w:r w:rsidRPr="00277A2F">
        <w:rPr>
          <w:rFonts w:ascii="Times New Roman" w:hAnsi="Times New Roman" w:cs="Times New Roman"/>
        </w:rPr>
        <w:t>Rezultatīvo rādītāju kopumam jābūt pēc iespējas kompaktam, vienlaikus nodrošinot to salīdzināmību, pārbaudāmību un auditējamību</w:t>
      </w:r>
      <w:r w:rsidR="00E57FB7">
        <w:rPr>
          <w:rStyle w:val="FootnoteReference"/>
          <w:rFonts w:ascii="Times New Roman" w:hAnsi="Times New Roman" w:cs="Times New Roman"/>
        </w:rPr>
        <w:footnoteReference w:id="2"/>
      </w:r>
      <w:r w:rsidR="00E57FB7">
        <w:rPr>
          <w:rFonts w:ascii="Times New Roman" w:hAnsi="Times New Roman" w:cs="Times New Roman"/>
        </w:rPr>
        <w:t>;</w:t>
      </w:r>
    </w:p>
    <w:p w14:paraId="4535E880" w14:textId="47B0B545" w:rsidR="00E93257" w:rsidRPr="00277A2F" w:rsidRDefault="00277A2F" w:rsidP="00277A2F">
      <w:pPr>
        <w:pStyle w:val="ListParagraph"/>
        <w:numPr>
          <w:ilvl w:val="0"/>
          <w:numId w:val="17"/>
        </w:numPr>
        <w:rPr>
          <w:rFonts w:ascii="Times New Roman" w:hAnsi="Times New Roman" w:cs="Times New Roman"/>
        </w:rPr>
      </w:pPr>
      <w:r w:rsidRPr="00277A2F">
        <w:rPr>
          <w:rFonts w:ascii="Times New Roman" w:hAnsi="Times New Roman" w:cs="Times New Roman"/>
        </w:rPr>
        <w:t>Sistemātiski dokumentējiet pieņēmumus, izmaksu aprēķinus un izmantotos datus, jo tas paaugstina izvērtējuma caurskatāmību un ļauj nākamajos budžeta ciklos būtiski samazināt darba apjomu.</w:t>
      </w:r>
    </w:p>
    <w:sectPr w:rsidR="00E93257" w:rsidRPr="00277A2F" w:rsidSect="00034616">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C8C0" w14:textId="77777777" w:rsidR="00FF1229" w:rsidRPr="00224FD2" w:rsidRDefault="00FF1229">
      <w:pPr>
        <w:spacing w:after="0" w:line="240" w:lineRule="auto"/>
      </w:pPr>
      <w:r w:rsidRPr="00224FD2">
        <w:separator/>
      </w:r>
    </w:p>
  </w:endnote>
  <w:endnote w:type="continuationSeparator" w:id="0">
    <w:p w14:paraId="2C7CAA47" w14:textId="77777777" w:rsidR="00FF1229" w:rsidRPr="00224FD2" w:rsidRDefault="00FF1229">
      <w:pPr>
        <w:spacing w:after="0" w:line="240" w:lineRule="auto"/>
      </w:pPr>
      <w:r w:rsidRPr="00224F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03B4" w14:textId="77777777" w:rsidR="00E93257" w:rsidRPr="00224FD2" w:rsidRDefault="00A1330A">
    <w:pPr>
      <w:pStyle w:val="Footer"/>
      <w:jc w:val="center"/>
    </w:pPr>
    <w:r w:rsidRPr="00224FD2">
      <w:fldChar w:fldCharType="begin"/>
    </w:r>
    <w:r w:rsidRPr="00224FD2">
      <w:instrText>PAGE</w:instrText>
    </w:r>
    <w:r w:rsidRPr="00224FD2">
      <w:fldChar w:fldCharType="separate"/>
    </w:r>
    <w:r w:rsidR="00933CB4" w:rsidRPr="00224FD2">
      <w:t>1</w:t>
    </w:r>
    <w:r w:rsidRPr="00224F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4EE75" w14:textId="77777777" w:rsidR="00FF1229" w:rsidRPr="00224FD2" w:rsidRDefault="00FF1229">
      <w:pPr>
        <w:spacing w:after="0" w:line="240" w:lineRule="auto"/>
      </w:pPr>
      <w:r w:rsidRPr="00224FD2">
        <w:separator/>
      </w:r>
    </w:p>
  </w:footnote>
  <w:footnote w:type="continuationSeparator" w:id="0">
    <w:p w14:paraId="0F7241A9" w14:textId="77777777" w:rsidR="00FF1229" w:rsidRPr="00224FD2" w:rsidRDefault="00FF1229">
      <w:pPr>
        <w:spacing w:after="0" w:line="240" w:lineRule="auto"/>
      </w:pPr>
      <w:r w:rsidRPr="00224FD2">
        <w:continuationSeparator/>
      </w:r>
    </w:p>
  </w:footnote>
  <w:footnote w:id="1">
    <w:p w14:paraId="64C0A89C" w14:textId="0811C6D5" w:rsidR="00746F82" w:rsidRDefault="00746F82" w:rsidP="00746F82">
      <w:pPr>
        <w:pStyle w:val="FootnoteText"/>
      </w:pPr>
      <w:r>
        <w:rPr>
          <w:rStyle w:val="FootnoteReference"/>
        </w:rPr>
        <w:footnoteRef/>
      </w:r>
      <w:r w:rsidRPr="00746F82">
        <w:rPr>
          <w:rFonts w:ascii="Times New Roman" w:hAnsi="Times New Roman" w:cs="Times New Roman"/>
        </w:rPr>
        <w:t>Ja obligātās funkcijas esošā finansējuma ietvaros netiek pilnībā nodrošinātas, esošais finansējuma līmenis tiek izmantots kā bāzes scenārijs, kas atspoguļo faktiskos ierobežojumus. Šādā gadījumā analīzē skaidri jāidentificē nepilnīgas izpildes iemesli, to ietekme uz pakalpojumu kvalitāti un pieejamību, kā arī nepieciešamie uzlabojumi, kas jāņem vērā, veidojot alternatīvos scenārijus.</w:t>
      </w:r>
    </w:p>
  </w:footnote>
  <w:footnote w:id="2">
    <w:p w14:paraId="1872025C" w14:textId="030475C5" w:rsidR="00E57FB7" w:rsidRDefault="00E57FB7">
      <w:pPr>
        <w:pStyle w:val="FootnoteText"/>
      </w:pPr>
      <w:r>
        <w:rPr>
          <w:rStyle w:val="FootnoteReference"/>
        </w:rPr>
        <w:footnoteRef/>
      </w:r>
      <w:r w:rsidRPr="00E57FB7">
        <w:rPr>
          <w:rFonts w:ascii="Times New Roman" w:hAnsi="Times New Roman" w:cs="Times New Roman"/>
        </w:rPr>
        <w:t>Ja esošie rezultatīvie rādītāji nav piemēroti vai dati nav pieejami, budžeta analīzes procesa ietvaros ir izstrādājams jauns rādītājs vai rādītāju kopums, nodrošinot, ka tie ir skaidri definēti, izmērāmi un praktiski pielietojami turpmākajā rezultātu uzraudzībā.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C789" w14:textId="72CA3B03" w:rsidR="00224FD2" w:rsidRPr="002C6E0E" w:rsidRDefault="002815ED" w:rsidP="00224FD2">
    <w:pPr>
      <w:pStyle w:val="Header"/>
      <w:jc w:val="right"/>
      <w:rPr>
        <w:rFonts w:ascii="Times New Roman" w:hAnsi="Times New Roman" w:cs="Times New Roman"/>
      </w:rPr>
    </w:pPr>
    <w:r>
      <w:rPr>
        <w:rFonts w:ascii="Times New Roman" w:hAnsi="Times New Roman" w:cs="Times New Roman"/>
      </w:rPr>
      <w:t>1</w:t>
    </w:r>
    <w:r w:rsidR="00224FD2" w:rsidRPr="002C6E0E">
      <w:rPr>
        <w:rFonts w:ascii="Times New Roman" w:hAnsi="Times New Roman" w:cs="Times New Roman"/>
      </w:rPr>
      <w:t>.pielikums</w:t>
    </w:r>
    <w:r w:rsidR="00C1749A">
      <w:rPr>
        <w:rFonts w:ascii="Times New Roman" w:hAnsi="Times New Roman" w:cs="Times New Roman"/>
      </w:rPr>
      <w:t xml:space="preserve"> Nulles budžeta metodoloģija un procesa secība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16A8B7A"/>
    <w:lvl w:ilvl="0">
      <w:start w:val="1"/>
      <w:numFmt w:val="bullet"/>
      <w:lvlText w:val=""/>
      <w:lvlJc w:val="left"/>
      <w:pPr>
        <w:ind w:left="360" w:hanging="360"/>
      </w:pPr>
      <w:rPr>
        <w:rFonts w:ascii="Wingdings" w:hAnsi="Wingdings" w:hint="default"/>
        <w:color w:val="FFC000"/>
        <w:spacing w:val="20"/>
      </w:rPr>
    </w:lvl>
  </w:abstractNum>
  <w:abstractNum w:abstractNumId="9" w15:restartNumberingAfterBreak="0">
    <w:nsid w:val="00340ADC"/>
    <w:multiLevelType w:val="hybridMultilevel"/>
    <w:tmpl w:val="5E2C3878"/>
    <w:lvl w:ilvl="0" w:tplc="14403F82">
      <w:start w:val="1"/>
      <w:numFmt w:val="bullet"/>
      <w:lvlText w:val=""/>
      <w:lvlJc w:val="left"/>
      <w:pPr>
        <w:ind w:left="36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1C7549E"/>
    <w:multiLevelType w:val="hybridMultilevel"/>
    <w:tmpl w:val="EC24AD20"/>
    <w:lvl w:ilvl="0" w:tplc="14403F82">
      <w:start w:val="1"/>
      <w:numFmt w:val="bullet"/>
      <w:lvlText w:val=""/>
      <w:lvlJc w:val="left"/>
      <w:pPr>
        <w:ind w:left="36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E922437"/>
    <w:multiLevelType w:val="hybridMultilevel"/>
    <w:tmpl w:val="C01C6CBE"/>
    <w:lvl w:ilvl="0" w:tplc="14403F82">
      <w:start w:val="1"/>
      <w:numFmt w:val="bullet"/>
      <w:lvlText w:val=""/>
      <w:lvlJc w:val="left"/>
      <w:pPr>
        <w:ind w:left="36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B3A0990"/>
    <w:multiLevelType w:val="hybridMultilevel"/>
    <w:tmpl w:val="43CA294E"/>
    <w:lvl w:ilvl="0" w:tplc="3D24053E">
      <w:start w:val="1"/>
      <w:numFmt w:val="bullet"/>
      <w:lvlText w:val=""/>
      <w:lvlJc w:val="left"/>
      <w:pPr>
        <w:ind w:left="720" w:hanging="360"/>
      </w:pPr>
      <w:rPr>
        <w:rFonts w:ascii="Wingdings" w:hAnsi="Wingdings" w:hint="default"/>
        <w:color w:val="FFC000"/>
        <w:spacing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361D12"/>
    <w:multiLevelType w:val="multilevel"/>
    <w:tmpl w:val="071C08C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4142EBE"/>
    <w:multiLevelType w:val="multilevel"/>
    <w:tmpl w:val="071C08C4"/>
    <w:lvl w:ilvl="0">
      <w:start w:val="1"/>
      <w:numFmt w:val="decimal"/>
      <w:lvlText w:val="%1."/>
      <w:lvlJc w:val="left"/>
      <w:pPr>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ADD7ADE"/>
    <w:multiLevelType w:val="hybridMultilevel"/>
    <w:tmpl w:val="8BF228DA"/>
    <w:lvl w:ilvl="0" w:tplc="14403F82">
      <w:start w:val="1"/>
      <w:numFmt w:val="bullet"/>
      <w:lvlText w:val=""/>
      <w:lvlJc w:val="left"/>
      <w:pPr>
        <w:ind w:left="36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5FD4F26"/>
    <w:multiLevelType w:val="hybridMultilevel"/>
    <w:tmpl w:val="EE2A7FE4"/>
    <w:lvl w:ilvl="0" w:tplc="14403F82">
      <w:start w:val="1"/>
      <w:numFmt w:val="bullet"/>
      <w:lvlText w:val=""/>
      <w:lvlJc w:val="left"/>
      <w:pPr>
        <w:ind w:left="36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705412E"/>
    <w:multiLevelType w:val="hybridMultilevel"/>
    <w:tmpl w:val="9CFC1B6C"/>
    <w:lvl w:ilvl="0" w:tplc="14403F82">
      <w:start w:val="1"/>
      <w:numFmt w:val="bullet"/>
      <w:lvlText w:val=""/>
      <w:lvlJc w:val="left"/>
      <w:pPr>
        <w:ind w:left="36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5B83FFE"/>
    <w:multiLevelType w:val="hybridMultilevel"/>
    <w:tmpl w:val="4D0E9DA0"/>
    <w:lvl w:ilvl="0" w:tplc="93468BDE">
      <w:start w:val="1"/>
      <w:numFmt w:val="decimal"/>
      <w:lvlText w:val="%1)"/>
      <w:lvlJc w:val="left"/>
      <w:pPr>
        <w:ind w:left="1020" w:hanging="360"/>
      </w:pPr>
    </w:lvl>
    <w:lvl w:ilvl="1" w:tplc="329E2F9A">
      <w:start w:val="1"/>
      <w:numFmt w:val="decimal"/>
      <w:lvlText w:val="%2)"/>
      <w:lvlJc w:val="left"/>
      <w:pPr>
        <w:ind w:left="1020" w:hanging="360"/>
      </w:pPr>
    </w:lvl>
    <w:lvl w:ilvl="2" w:tplc="893687B0">
      <w:start w:val="1"/>
      <w:numFmt w:val="decimal"/>
      <w:lvlText w:val="%3)"/>
      <w:lvlJc w:val="left"/>
      <w:pPr>
        <w:ind w:left="1020" w:hanging="360"/>
      </w:pPr>
    </w:lvl>
    <w:lvl w:ilvl="3" w:tplc="E8627CCC">
      <w:start w:val="1"/>
      <w:numFmt w:val="decimal"/>
      <w:lvlText w:val="%4)"/>
      <w:lvlJc w:val="left"/>
      <w:pPr>
        <w:ind w:left="1020" w:hanging="360"/>
      </w:pPr>
    </w:lvl>
    <w:lvl w:ilvl="4" w:tplc="11264608">
      <w:start w:val="1"/>
      <w:numFmt w:val="decimal"/>
      <w:lvlText w:val="%5)"/>
      <w:lvlJc w:val="left"/>
      <w:pPr>
        <w:ind w:left="1020" w:hanging="360"/>
      </w:pPr>
    </w:lvl>
    <w:lvl w:ilvl="5" w:tplc="3676ABC8">
      <w:start w:val="1"/>
      <w:numFmt w:val="decimal"/>
      <w:lvlText w:val="%6)"/>
      <w:lvlJc w:val="left"/>
      <w:pPr>
        <w:ind w:left="1020" w:hanging="360"/>
      </w:pPr>
    </w:lvl>
    <w:lvl w:ilvl="6" w:tplc="8610799A">
      <w:start w:val="1"/>
      <w:numFmt w:val="decimal"/>
      <w:lvlText w:val="%7)"/>
      <w:lvlJc w:val="left"/>
      <w:pPr>
        <w:ind w:left="1020" w:hanging="360"/>
      </w:pPr>
    </w:lvl>
    <w:lvl w:ilvl="7" w:tplc="A224EACC">
      <w:start w:val="1"/>
      <w:numFmt w:val="decimal"/>
      <w:lvlText w:val="%8)"/>
      <w:lvlJc w:val="left"/>
      <w:pPr>
        <w:ind w:left="1020" w:hanging="360"/>
      </w:pPr>
    </w:lvl>
    <w:lvl w:ilvl="8" w:tplc="25AE0C74">
      <w:start w:val="1"/>
      <w:numFmt w:val="decimal"/>
      <w:lvlText w:val="%9)"/>
      <w:lvlJc w:val="left"/>
      <w:pPr>
        <w:ind w:left="1020" w:hanging="360"/>
      </w:pPr>
    </w:lvl>
  </w:abstractNum>
  <w:abstractNum w:abstractNumId="19" w15:restartNumberingAfterBreak="0">
    <w:nsid w:val="74621654"/>
    <w:multiLevelType w:val="multilevel"/>
    <w:tmpl w:val="071C08C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D574F59"/>
    <w:multiLevelType w:val="hybridMultilevel"/>
    <w:tmpl w:val="6CDA79E8"/>
    <w:lvl w:ilvl="0" w:tplc="14403F82">
      <w:start w:val="1"/>
      <w:numFmt w:val="bullet"/>
      <w:lvlText w:val=""/>
      <w:lvlJc w:val="left"/>
      <w:pPr>
        <w:ind w:left="360" w:hanging="360"/>
      </w:pPr>
      <w:rPr>
        <w:rFonts w:ascii="Symbol" w:hAnsi="Symbol" w:hint="default"/>
        <w:color w:val="FFC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18163908">
    <w:abstractNumId w:val="8"/>
  </w:num>
  <w:num w:numId="2" w16cid:durableId="783236710">
    <w:abstractNumId w:val="6"/>
  </w:num>
  <w:num w:numId="3" w16cid:durableId="1410738002">
    <w:abstractNumId w:val="5"/>
  </w:num>
  <w:num w:numId="4" w16cid:durableId="1339846938">
    <w:abstractNumId w:val="4"/>
  </w:num>
  <w:num w:numId="5" w16cid:durableId="609511258">
    <w:abstractNumId w:val="7"/>
  </w:num>
  <w:num w:numId="6" w16cid:durableId="166215035">
    <w:abstractNumId w:val="3"/>
  </w:num>
  <w:num w:numId="7" w16cid:durableId="809978180">
    <w:abstractNumId w:val="2"/>
  </w:num>
  <w:num w:numId="8" w16cid:durableId="1511487316">
    <w:abstractNumId w:val="1"/>
  </w:num>
  <w:num w:numId="9" w16cid:durableId="2018187579">
    <w:abstractNumId w:val="0"/>
  </w:num>
  <w:num w:numId="10" w16cid:durableId="312296645">
    <w:abstractNumId w:val="9"/>
  </w:num>
  <w:num w:numId="11" w16cid:durableId="1101416767">
    <w:abstractNumId w:val="17"/>
  </w:num>
  <w:num w:numId="12" w16cid:durableId="106702189">
    <w:abstractNumId w:val="20"/>
  </w:num>
  <w:num w:numId="13" w16cid:durableId="508835114">
    <w:abstractNumId w:val="16"/>
  </w:num>
  <w:num w:numId="14" w16cid:durableId="326136465">
    <w:abstractNumId w:val="10"/>
  </w:num>
  <w:num w:numId="15" w16cid:durableId="421533043">
    <w:abstractNumId w:val="11"/>
  </w:num>
  <w:num w:numId="16" w16cid:durableId="561794748">
    <w:abstractNumId w:val="15"/>
  </w:num>
  <w:num w:numId="17" w16cid:durableId="1585063859">
    <w:abstractNumId w:val="12"/>
  </w:num>
  <w:num w:numId="18" w16cid:durableId="102237842">
    <w:abstractNumId w:val="18"/>
  </w:num>
  <w:num w:numId="19" w16cid:durableId="1624336912">
    <w:abstractNumId w:val="14"/>
  </w:num>
  <w:num w:numId="20" w16cid:durableId="847019771">
    <w:abstractNumId w:val="13"/>
  </w:num>
  <w:num w:numId="21" w16cid:durableId="16155534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B61"/>
    <w:rsid w:val="00077C24"/>
    <w:rsid w:val="00093AC8"/>
    <w:rsid w:val="000B4F33"/>
    <w:rsid w:val="000E44A7"/>
    <w:rsid w:val="000F0559"/>
    <w:rsid w:val="000F4F9F"/>
    <w:rsid w:val="00111B1B"/>
    <w:rsid w:val="0015074B"/>
    <w:rsid w:val="00151108"/>
    <w:rsid w:val="0015656A"/>
    <w:rsid w:val="001743DD"/>
    <w:rsid w:val="00185086"/>
    <w:rsid w:val="0019588C"/>
    <w:rsid w:val="001A53F4"/>
    <w:rsid w:val="001D50B2"/>
    <w:rsid w:val="00224FD2"/>
    <w:rsid w:val="002431F2"/>
    <w:rsid w:val="0024338F"/>
    <w:rsid w:val="002756F3"/>
    <w:rsid w:val="00277A2F"/>
    <w:rsid w:val="002815ED"/>
    <w:rsid w:val="0028413E"/>
    <w:rsid w:val="0029639D"/>
    <w:rsid w:val="00296BE4"/>
    <w:rsid w:val="002C6E0E"/>
    <w:rsid w:val="003153F8"/>
    <w:rsid w:val="00326F90"/>
    <w:rsid w:val="00333E12"/>
    <w:rsid w:val="003541D9"/>
    <w:rsid w:val="003562FB"/>
    <w:rsid w:val="00365469"/>
    <w:rsid w:val="003712D3"/>
    <w:rsid w:val="003A26C2"/>
    <w:rsid w:val="003A3943"/>
    <w:rsid w:val="003D68D9"/>
    <w:rsid w:val="0040743D"/>
    <w:rsid w:val="00407FED"/>
    <w:rsid w:val="00447002"/>
    <w:rsid w:val="004769FF"/>
    <w:rsid w:val="004E4870"/>
    <w:rsid w:val="004F2A13"/>
    <w:rsid w:val="0051081D"/>
    <w:rsid w:val="005247FF"/>
    <w:rsid w:val="00565882"/>
    <w:rsid w:val="005B42FE"/>
    <w:rsid w:val="005C2205"/>
    <w:rsid w:val="0061283F"/>
    <w:rsid w:val="00613937"/>
    <w:rsid w:val="00620B86"/>
    <w:rsid w:val="00627B05"/>
    <w:rsid w:val="00667C18"/>
    <w:rsid w:val="00671098"/>
    <w:rsid w:val="006C14B0"/>
    <w:rsid w:val="006C5E5E"/>
    <w:rsid w:val="006E3D93"/>
    <w:rsid w:val="006F48F2"/>
    <w:rsid w:val="00714DFE"/>
    <w:rsid w:val="00716AB9"/>
    <w:rsid w:val="00735EF0"/>
    <w:rsid w:val="00746F82"/>
    <w:rsid w:val="007523D2"/>
    <w:rsid w:val="0075420B"/>
    <w:rsid w:val="007978D8"/>
    <w:rsid w:val="007A10CC"/>
    <w:rsid w:val="007F4EC6"/>
    <w:rsid w:val="007F6ED0"/>
    <w:rsid w:val="00813E94"/>
    <w:rsid w:val="008176E0"/>
    <w:rsid w:val="008518E4"/>
    <w:rsid w:val="008B3021"/>
    <w:rsid w:val="008C0336"/>
    <w:rsid w:val="008D495C"/>
    <w:rsid w:val="008E532A"/>
    <w:rsid w:val="009166CB"/>
    <w:rsid w:val="009330FE"/>
    <w:rsid w:val="00933CB4"/>
    <w:rsid w:val="009603AB"/>
    <w:rsid w:val="009677B7"/>
    <w:rsid w:val="00993E28"/>
    <w:rsid w:val="009C0B74"/>
    <w:rsid w:val="009D1268"/>
    <w:rsid w:val="009D748C"/>
    <w:rsid w:val="00A1330A"/>
    <w:rsid w:val="00A27217"/>
    <w:rsid w:val="00A45349"/>
    <w:rsid w:val="00A47DD9"/>
    <w:rsid w:val="00A669D7"/>
    <w:rsid w:val="00A72166"/>
    <w:rsid w:val="00A80F41"/>
    <w:rsid w:val="00AA1D8D"/>
    <w:rsid w:val="00B20D23"/>
    <w:rsid w:val="00B406F1"/>
    <w:rsid w:val="00B4257B"/>
    <w:rsid w:val="00B47730"/>
    <w:rsid w:val="00B63503"/>
    <w:rsid w:val="00B86B72"/>
    <w:rsid w:val="00BA515D"/>
    <w:rsid w:val="00C12287"/>
    <w:rsid w:val="00C1749A"/>
    <w:rsid w:val="00C33728"/>
    <w:rsid w:val="00C41716"/>
    <w:rsid w:val="00C81B57"/>
    <w:rsid w:val="00C92809"/>
    <w:rsid w:val="00CA2A4A"/>
    <w:rsid w:val="00CB0664"/>
    <w:rsid w:val="00CB4903"/>
    <w:rsid w:val="00CD6082"/>
    <w:rsid w:val="00CF7F8C"/>
    <w:rsid w:val="00D153EC"/>
    <w:rsid w:val="00D25E03"/>
    <w:rsid w:val="00D26918"/>
    <w:rsid w:val="00D275E1"/>
    <w:rsid w:val="00D3162F"/>
    <w:rsid w:val="00DB0BEC"/>
    <w:rsid w:val="00DB4205"/>
    <w:rsid w:val="00DF6B67"/>
    <w:rsid w:val="00E32FE0"/>
    <w:rsid w:val="00E57FB7"/>
    <w:rsid w:val="00E651F8"/>
    <w:rsid w:val="00E75032"/>
    <w:rsid w:val="00E90D7B"/>
    <w:rsid w:val="00E93257"/>
    <w:rsid w:val="00E97F8C"/>
    <w:rsid w:val="00EB3EB9"/>
    <w:rsid w:val="00EC161D"/>
    <w:rsid w:val="00EC693B"/>
    <w:rsid w:val="00ED0B76"/>
    <w:rsid w:val="00ED4D29"/>
    <w:rsid w:val="00F65324"/>
    <w:rsid w:val="00F70074"/>
    <w:rsid w:val="00F77B92"/>
    <w:rsid w:val="00F909C6"/>
    <w:rsid w:val="00FC693F"/>
    <w:rsid w:val="00FD1B77"/>
    <w:rsid w:val="00FD6C86"/>
    <w:rsid w:val="00FE0EEC"/>
    <w:rsid w:val="00FF1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1E845"/>
  <w14:defaultImageDpi w14:val="300"/>
  <w15:docId w15:val="{2FD69A28-8867-4609-8D86-1DFF73C2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lang w:val="lv-LV"/>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Accent1">
    <w:name w:val="Grid Table 1 Light Accent 1"/>
    <w:basedOn w:val="TableNormal"/>
    <w:uiPriority w:val="46"/>
    <w:rsid w:val="007F6ED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99"/>
    <w:rsid w:val="00ED4D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D6082"/>
    <w:pPr>
      <w:spacing w:after="0" w:line="240" w:lineRule="auto"/>
    </w:pPr>
    <w:rPr>
      <w:rFonts w:ascii="Calibri" w:eastAsia="Calibri" w:hAnsi="Calibri"/>
      <w:lang w:val="lv-LV"/>
    </w:rPr>
  </w:style>
  <w:style w:type="character" w:styleId="CommentReference">
    <w:name w:val="annotation reference"/>
    <w:basedOn w:val="DefaultParagraphFont"/>
    <w:uiPriority w:val="99"/>
    <w:semiHidden/>
    <w:unhideWhenUsed/>
    <w:rsid w:val="00E75032"/>
    <w:rPr>
      <w:sz w:val="16"/>
      <w:szCs w:val="16"/>
    </w:rPr>
  </w:style>
  <w:style w:type="paragraph" w:styleId="CommentText">
    <w:name w:val="annotation text"/>
    <w:basedOn w:val="Normal"/>
    <w:link w:val="CommentTextChar"/>
    <w:uiPriority w:val="99"/>
    <w:unhideWhenUsed/>
    <w:rsid w:val="00E75032"/>
    <w:pPr>
      <w:spacing w:line="240" w:lineRule="auto"/>
    </w:pPr>
    <w:rPr>
      <w:sz w:val="20"/>
      <w:szCs w:val="20"/>
    </w:rPr>
  </w:style>
  <w:style w:type="character" w:customStyle="1" w:styleId="CommentTextChar">
    <w:name w:val="Comment Text Char"/>
    <w:basedOn w:val="DefaultParagraphFont"/>
    <w:link w:val="CommentText"/>
    <w:uiPriority w:val="99"/>
    <w:rsid w:val="00E75032"/>
    <w:rPr>
      <w:rFonts w:ascii="Calibri" w:eastAsia="Calibri" w:hAnsi="Calibri"/>
      <w:sz w:val="20"/>
      <w:szCs w:val="20"/>
      <w:lang w:val="lv-LV"/>
    </w:rPr>
  </w:style>
  <w:style w:type="paragraph" w:styleId="CommentSubject">
    <w:name w:val="annotation subject"/>
    <w:basedOn w:val="CommentText"/>
    <w:next w:val="CommentText"/>
    <w:link w:val="CommentSubjectChar"/>
    <w:uiPriority w:val="99"/>
    <w:semiHidden/>
    <w:unhideWhenUsed/>
    <w:rsid w:val="00E75032"/>
    <w:rPr>
      <w:b/>
      <w:bCs/>
    </w:rPr>
  </w:style>
  <w:style w:type="character" w:customStyle="1" w:styleId="CommentSubjectChar">
    <w:name w:val="Comment Subject Char"/>
    <w:basedOn w:val="CommentTextChar"/>
    <w:link w:val="CommentSubject"/>
    <w:uiPriority w:val="99"/>
    <w:semiHidden/>
    <w:rsid w:val="00E75032"/>
    <w:rPr>
      <w:rFonts w:ascii="Calibri" w:eastAsia="Calibri" w:hAnsi="Calibri"/>
      <w:b/>
      <w:bCs/>
      <w:sz w:val="20"/>
      <w:szCs w:val="20"/>
      <w:lang w:val="lv-LV"/>
    </w:rPr>
  </w:style>
  <w:style w:type="paragraph" w:styleId="FootnoteText">
    <w:name w:val="footnote text"/>
    <w:basedOn w:val="Normal"/>
    <w:link w:val="FootnoteTextChar"/>
    <w:uiPriority w:val="99"/>
    <w:semiHidden/>
    <w:unhideWhenUsed/>
    <w:rsid w:val="00746F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F82"/>
    <w:rPr>
      <w:rFonts w:ascii="Calibri" w:eastAsia="Calibri" w:hAnsi="Calibri"/>
      <w:sz w:val="20"/>
      <w:szCs w:val="20"/>
      <w:lang w:val="lv-LV"/>
    </w:rPr>
  </w:style>
  <w:style w:type="character" w:styleId="FootnoteReference">
    <w:name w:val="footnote reference"/>
    <w:basedOn w:val="DefaultParagraphFont"/>
    <w:uiPriority w:val="99"/>
    <w:semiHidden/>
    <w:unhideWhenUsed/>
    <w:rsid w:val="00746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96F278214D94C945B28C7527D455F4BD" ma:contentTypeVersion="12" ma:contentTypeDescription="Izveidot jaunu dokumentu." ma:contentTypeScope="" ma:versionID="18b7ef6c62a87ae0b4fd1937e6c23290">
  <xsd:schema xmlns:xsd="http://www.w3.org/2001/XMLSchema" xmlns:xs="http://www.w3.org/2001/XMLSchema" xmlns:p="http://schemas.microsoft.com/office/2006/metadata/properties" xmlns:ns1="http://schemas.microsoft.com/sharepoint/v3" xmlns:ns2="fc3ddd8f-1c4d-4493-9a53-f58b660345a3" targetNamespace="http://schemas.microsoft.com/office/2006/metadata/properties" ma:root="true" ma:fieldsID="eb8fa790f4b2bb8012c0a164fdddd260" ns1:_="" ns2:_="">
    <xsd:import namespace="http://schemas.microsoft.com/sharepoint/v3"/>
    <xsd:import namespace="fc3ddd8f-1c4d-4493-9a53-f58b66034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Vienotās atbilstības politikas rekvizīti" ma:hidden="true" ma:internalName="_ip_UnifiedCompliancePolicyProperties">
      <xsd:simpleType>
        <xsd:restriction base="dms:Note"/>
      </xsd:simpleType>
    </xsd:element>
    <xsd:element name="_ip_UnifiedCompliancePolicyUIAction" ma:index="12"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ddd8f-1c4d-4493-9a53-f58b66034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c3ddd8f-1c4d-4493-9a53-f58b660345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F2FECF0-FA72-4CB0-87F1-ACD66BA4DD85}"/>
</file>

<file path=customXml/itemProps3.xml><?xml version="1.0" encoding="utf-8"?>
<ds:datastoreItem xmlns:ds="http://schemas.openxmlformats.org/officeDocument/2006/customXml" ds:itemID="{55D6066C-4D13-4818-B296-B43B1C51FFBB}"/>
</file>

<file path=customXml/itemProps4.xml><?xml version="1.0" encoding="utf-8"?>
<ds:datastoreItem xmlns:ds="http://schemas.openxmlformats.org/officeDocument/2006/customXml" ds:itemID="{98F909B0-4CBA-487E-A2B2-6EA7ED5E9A21}"/>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1218</Words>
  <Characters>9262</Characters>
  <Application>Microsoft Office Word</Application>
  <DocSecurity>0</DocSecurity>
  <Lines>319</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Marta Cinglere</cp:lastModifiedBy>
  <cp:revision>3</cp:revision>
  <cp:lastPrinted>2026-04-01T12:44:00Z</cp:lastPrinted>
  <dcterms:created xsi:type="dcterms:W3CDTF">2026-04-17T06:45:00Z</dcterms:created>
  <dcterms:modified xsi:type="dcterms:W3CDTF">2026-04-17T09:40:00Z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d29f682d-5876-42c8-8e4b-82cb0a615cc1</vt:lpwstr>
  </property>
  <property fmtid="{D5CDD505-2E9C-101B-9397-08002B2CF9AE}" pid="3" name="ContentTypeId">
    <vt:lpwstr>0x01010096F278214D94C945B28C7527D455F4BD</vt:lpwstr>
  </property>
</Properties>
</file>