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93AA9" w14:textId="6BF2EA5A" w:rsidR="00A36328" w:rsidRPr="00C50673" w:rsidRDefault="00783860" w:rsidP="00D920F7">
      <w:pPr>
        <w:ind w:left="-851" w:right="-766"/>
        <w:contextualSpacing/>
        <w:jc w:val="center"/>
        <w:rPr>
          <w:rFonts w:ascii="Times New Roman" w:hAnsi="Times New Roman" w:cs="Times New Roman"/>
          <w:b/>
          <w:bCs/>
          <w:i/>
          <w:iCs/>
          <w:sz w:val="28"/>
          <w:szCs w:val="28"/>
          <w:lang w:val="lv-LV"/>
        </w:rPr>
      </w:pPr>
      <w:r w:rsidRPr="00C50673">
        <w:rPr>
          <w:rFonts w:ascii="Times New Roman" w:hAnsi="Times New Roman" w:cs="Times New Roman"/>
          <w:b/>
          <w:bCs/>
          <w:i/>
          <w:iCs/>
          <w:sz w:val="28"/>
          <w:szCs w:val="28"/>
          <w:lang w:val="lv-LV"/>
        </w:rPr>
        <w:t>Finanšu ministrijas Eiropas Savienības finanšu interešu aizsardzības koordinācijas dienesta (AFCOS)</w:t>
      </w:r>
      <w:r w:rsidR="00C97129">
        <w:rPr>
          <w:rFonts w:ascii="Times New Roman" w:hAnsi="Times New Roman" w:cs="Times New Roman"/>
          <w:b/>
          <w:bCs/>
          <w:i/>
          <w:iCs/>
          <w:sz w:val="28"/>
          <w:szCs w:val="28"/>
          <w:lang w:val="lv-LV"/>
        </w:rPr>
        <w:t xml:space="preserve"> </w:t>
      </w:r>
      <w:r w:rsidRPr="00C50673">
        <w:rPr>
          <w:rFonts w:ascii="Times New Roman" w:hAnsi="Times New Roman" w:cs="Times New Roman"/>
          <w:b/>
          <w:bCs/>
          <w:i/>
          <w:iCs/>
          <w:sz w:val="28"/>
          <w:szCs w:val="28"/>
          <w:lang w:val="lv-LV"/>
        </w:rPr>
        <w:t xml:space="preserve">informatīvais ziņojums </w:t>
      </w:r>
      <w:r w:rsidR="00A36328" w:rsidRPr="00C50673">
        <w:rPr>
          <w:rFonts w:ascii="Times New Roman" w:hAnsi="Times New Roman" w:cs="Times New Roman"/>
          <w:b/>
          <w:bCs/>
          <w:i/>
          <w:iCs/>
          <w:sz w:val="28"/>
          <w:szCs w:val="28"/>
          <w:lang w:val="lv-LV"/>
        </w:rPr>
        <w:t>par veiktajiem krāpšanas apkarošanas un Eiropas Savienības finanšu interešu aizsardzības pasākumiem 2025. gadā</w:t>
      </w:r>
    </w:p>
    <w:p w14:paraId="54E8DAE9" w14:textId="77777777" w:rsidR="00FB7E30" w:rsidRPr="00EA3B1B" w:rsidRDefault="00FB7E30" w:rsidP="00D920F7">
      <w:pPr>
        <w:ind w:left="-851" w:right="-766"/>
        <w:contextualSpacing/>
        <w:jc w:val="center"/>
        <w:rPr>
          <w:rFonts w:ascii="Times New Roman" w:hAnsi="Times New Roman" w:cs="Times New Roman"/>
          <w:b/>
          <w:bCs/>
          <w:i/>
          <w:iCs/>
          <w:lang w:val="lv-LV"/>
        </w:rPr>
      </w:pPr>
    </w:p>
    <w:p w14:paraId="09ECFF3B" w14:textId="144F10AA" w:rsidR="006102F2" w:rsidRPr="00E23920" w:rsidRDefault="00635271" w:rsidP="00E23920">
      <w:pPr>
        <w:pStyle w:val="ListParagraph"/>
        <w:numPr>
          <w:ilvl w:val="0"/>
          <w:numId w:val="2"/>
        </w:numPr>
        <w:spacing w:after="60"/>
        <w:ind w:right="-765"/>
        <w:jc w:val="center"/>
        <w:rPr>
          <w:rFonts w:ascii="Times New Roman" w:hAnsi="Times New Roman" w:cs="Times New Roman"/>
          <w:b/>
          <w:bCs/>
        </w:rPr>
      </w:pPr>
      <w:r w:rsidRPr="00A4786A">
        <w:rPr>
          <w:rFonts w:ascii="Times New Roman" w:hAnsi="Times New Roman" w:cs="Times New Roman"/>
          <w:b/>
          <w:bCs/>
        </w:rPr>
        <w:t xml:space="preserve">AFCOS veiktie krāpšanas apkarošanas un </w:t>
      </w:r>
      <w:r w:rsidR="00F3051E" w:rsidRPr="00A4786A">
        <w:rPr>
          <w:rFonts w:ascii="Times New Roman" w:hAnsi="Times New Roman" w:cs="Times New Roman"/>
          <w:b/>
          <w:bCs/>
        </w:rPr>
        <w:t>ES</w:t>
      </w:r>
      <w:r w:rsidRPr="00A4786A">
        <w:rPr>
          <w:rFonts w:ascii="Times New Roman" w:hAnsi="Times New Roman" w:cs="Times New Roman"/>
          <w:b/>
          <w:bCs/>
        </w:rPr>
        <w:t xml:space="preserve"> finanšu interešu aizsardzības pasākumi 2025. gadā</w:t>
      </w:r>
    </w:p>
    <w:p w14:paraId="67E620C1" w14:textId="3BEE1073" w:rsidR="00DF2394" w:rsidRPr="00FD0D0B" w:rsidRDefault="006C37B8" w:rsidP="00290485">
      <w:pPr>
        <w:spacing w:after="60"/>
        <w:ind w:left="-851" w:right="-765"/>
        <w:contextualSpacing/>
        <w:rPr>
          <w:rFonts w:ascii="Times New Roman" w:hAnsi="Times New Roman" w:cs="Times New Roman"/>
          <w:sz w:val="22"/>
          <w:szCs w:val="22"/>
          <w:lang w:val="lv-LV"/>
        </w:rPr>
      </w:pPr>
      <w:r w:rsidRPr="00FD0D0B">
        <w:rPr>
          <w:rFonts w:ascii="Times New Roman" w:hAnsi="Times New Roman" w:cs="Times New Roman"/>
          <w:sz w:val="22"/>
          <w:szCs w:val="22"/>
          <w:lang w:val="lv-LV"/>
        </w:rPr>
        <w:t>AFCOS Padome</w:t>
      </w:r>
      <w:r w:rsidR="003F6A2B" w:rsidRPr="00FD0D0B">
        <w:rPr>
          <w:rFonts w:ascii="Times New Roman" w:hAnsi="Times New Roman" w:cs="Times New Roman"/>
          <w:sz w:val="22"/>
          <w:szCs w:val="22"/>
          <w:lang w:val="lv-LV"/>
        </w:rPr>
        <w:t xml:space="preserve"> ir konsultatīva koleģiāla institūcij</w:t>
      </w:r>
      <w:r w:rsidR="008926F7" w:rsidRPr="00FD0D0B">
        <w:rPr>
          <w:rFonts w:ascii="Times New Roman" w:hAnsi="Times New Roman" w:cs="Times New Roman"/>
          <w:sz w:val="22"/>
          <w:szCs w:val="22"/>
          <w:lang w:val="lv-LV"/>
        </w:rPr>
        <w:t>a</w:t>
      </w:r>
      <w:r w:rsidR="00C20C6D">
        <w:rPr>
          <w:rFonts w:ascii="Times New Roman" w:hAnsi="Times New Roman" w:cs="Times New Roman"/>
          <w:sz w:val="22"/>
          <w:szCs w:val="22"/>
          <w:lang w:val="lv-LV"/>
        </w:rPr>
        <w:t>. T</w:t>
      </w:r>
      <w:r w:rsidR="008926F7" w:rsidRPr="00FD0D0B">
        <w:rPr>
          <w:rFonts w:ascii="Times New Roman" w:hAnsi="Times New Roman" w:cs="Times New Roman"/>
          <w:sz w:val="22"/>
          <w:szCs w:val="22"/>
          <w:lang w:val="lv-LV"/>
        </w:rPr>
        <w:t>ās</w:t>
      </w:r>
      <w:r w:rsidR="003F6A2B" w:rsidRPr="00FD0D0B">
        <w:rPr>
          <w:rFonts w:ascii="Times New Roman" w:hAnsi="Times New Roman" w:cs="Times New Roman"/>
          <w:sz w:val="22"/>
          <w:szCs w:val="22"/>
          <w:lang w:val="lv-LV"/>
        </w:rPr>
        <w:t xml:space="preserve"> viens no uzdevumiem ir </w:t>
      </w:r>
      <w:r w:rsidR="00800AD4" w:rsidRPr="00FD0D0B">
        <w:rPr>
          <w:rFonts w:ascii="Times New Roman" w:hAnsi="Times New Roman" w:cs="Times New Roman"/>
          <w:sz w:val="22"/>
          <w:szCs w:val="22"/>
          <w:lang w:val="lv-LV"/>
        </w:rPr>
        <w:t>veicināt vienotas valsts politikas ieviešanu ES finanšu intere</w:t>
      </w:r>
      <w:r w:rsidR="006354B2" w:rsidRPr="00FD0D0B">
        <w:rPr>
          <w:rFonts w:ascii="Times New Roman" w:hAnsi="Times New Roman" w:cs="Times New Roman"/>
          <w:sz w:val="22"/>
          <w:szCs w:val="22"/>
          <w:lang w:val="lv-LV"/>
        </w:rPr>
        <w:t>šu aizsardzības jomā</w:t>
      </w:r>
      <w:r w:rsidR="00800AD4" w:rsidRPr="00FD0D0B">
        <w:rPr>
          <w:rFonts w:ascii="Times New Roman" w:hAnsi="Times New Roman" w:cs="Times New Roman"/>
          <w:sz w:val="22"/>
          <w:szCs w:val="22"/>
          <w:lang w:val="lv-LV"/>
        </w:rPr>
        <w:t>.</w:t>
      </w:r>
      <w:r w:rsidR="00421D5A" w:rsidRPr="00FD0D0B">
        <w:rPr>
          <w:rFonts w:ascii="Times New Roman" w:hAnsi="Times New Roman" w:cs="Times New Roman"/>
          <w:sz w:val="22"/>
          <w:szCs w:val="22"/>
          <w:lang w:val="lv-LV"/>
        </w:rPr>
        <w:t xml:space="preserve"> AFCOS</w:t>
      </w:r>
      <w:r w:rsidR="00800AD4" w:rsidRPr="00FD0D0B">
        <w:rPr>
          <w:rFonts w:ascii="Times New Roman" w:hAnsi="Times New Roman" w:cs="Times New Roman"/>
          <w:sz w:val="22"/>
          <w:szCs w:val="22"/>
          <w:lang w:val="lv-LV"/>
        </w:rPr>
        <w:t xml:space="preserve"> Padome</w:t>
      </w:r>
      <w:r w:rsidR="006354B2" w:rsidRPr="00FD0D0B">
        <w:rPr>
          <w:rFonts w:ascii="Times New Roman" w:hAnsi="Times New Roman" w:cs="Times New Roman"/>
          <w:sz w:val="22"/>
          <w:szCs w:val="22"/>
          <w:lang w:val="lv-LV"/>
        </w:rPr>
        <w:t>s sēdes</w:t>
      </w:r>
      <w:r w:rsidRPr="00FD0D0B">
        <w:rPr>
          <w:rFonts w:ascii="Times New Roman" w:hAnsi="Times New Roman" w:cs="Times New Roman"/>
          <w:sz w:val="22"/>
          <w:szCs w:val="22"/>
          <w:lang w:val="lv-LV"/>
        </w:rPr>
        <w:t xml:space="preserve"> tiek</w:t>
      </w:r>
      <w:r w:rsidR="00421D5A" w:rsidRPr="00FD0D0B">
        <w:rPr>
          <w:rFonts w:ascii="Times New Roman" w:hAnsi="Times New Roman" w:cs="Times New Roman"/>
          <w:sz w:val="22"/>
          <w:szCs w:val="22"/>
          <w:lang w:val="lv-LV"/>
        </w:rPr>
        <w:t xml:space="preserve"> organizētas vismaz divas reizes gadā</w:t>
      </w:r>
      <w:r w:rsidRPr="00FD0D0B">
        <w:rPr>
          <w:rFonts w:ascii="Times New Roman" w:hAnsi="Times New Roman" w:cs="Times New Roman"/>
          <w:sz w:val="22"/>
          <w:szCs w:val="22"/>
          <w:lang w:val="lv-LV"/>
        </w:rPr>
        <w:t xml:space="preserve">. </w:t>
      </w:r>
      <w:r w:rsidR="00BC2ED6" w:rsidRPr="00FD0D0B">
        <w:rPr>
          <w:rFonts w:ascii="Times New Roman" w:hAnsi="Times New Roman" w:cs="Times New Roman"/>
          <w:b/>
          <w:bCs/>
          <w:sz w:val="22"/>
          <w:szCs w:val="22"/>
          <w:lang w:val="lv-LV"/>
        </w:rPr>
        <w:t>Detalizētāk</w:t>
      </w:r>
      <w:r w:rsidR="004B0C77" w:rsidRPr="00FD0D0B">
        <w:rPr>
          <w:rFonts w:ascii="Times New Roman" w:hAnsi="Times New Roman" w:cs="Times New Roman"/>
          <w:b/>
          <w:bCs/>
          <w:sz w:val="22"/>
          <w:szCs w:val="22"/>
          <w:lang w:val="lv-LV"/>
        </w:rPr>
        <w:t>a</w:t>
      </w:r>
      <w:r w:rsidR="00BC2ED6" w:rsidRPr="00FD0D0B">
        <w:rPr>
          <w:rFonts w:ascii="Times New Roman" w:hAnsi="Times New Roman" w:cs="Times New Roman"/>
          <w:b/>
          <w:bCs/>
          <w:sz w:val="22"/>
          <w:szCs w:val="22"/>
          <w:lang w:val="lv-LV"/>
        </w:rPr>
        <w:t xml:space="preserve"> informācija par AFCOS ietvaros paveikto tiek ziņota AFCOS Padomei un </w:t>
      </w:r>
      <w:r w:rsidR="00B52891">
        <w:rPr>
          <w:rFonts w:ascii="Times New Roman" w:hAnsi="Times New Roman" w:cs="Times New Roman"/>
          <w:b/>
          <w:bCs/>
          <w:sz w:val="22"/>
          <w:szCs w:val="22"/>
          <w:lang w:val="lv-LV"/>
        </w:rPr>
        <w:t xml:space="preserve">ir </w:t>
      </w:r>
      <w:r w:rsidR="004B0C77" w:rsidRPr="00FD0D0B">
        <w:rPr>
          <w:rFonts w:ascii="Times New Roman" w:hAnsi="Times New Roman" w:cs="Times New Roman"/>
          <w:b/>
          <w:bCs/>
          <w:sz w:val="22"/>
          <w:szCs w:val="22"/>
          <w:lang w:val="lv-LV"/>
        </w:rPr>
        <w:t xml:space="preserve">pieejama sabiedrībai </w:t>
      </w:r>
      <w:r w:rsidR="00C3004F" w:rsidRPr="00FD0D0B">
        <w:rPr>
          <w:rFonts w:ascii="Times New Roman" w:hAnsi="Times New Roman" w:cs="Times New Roman"/>
          <w:b/>
          <w:bCs/>
          <w:sz w:val="22"/>
          <w:szCs w:val="22"/>
          <w:lang w:val="lv-LV"/>
        </w:rPr>
        <w:t>AFCOS Padomes sēžu protokol</w:t>
      </w:r>
      <w:r w:rsidR="006354B2" w:rsidRPr="00FD0D0B">
        <w:rPr>
          <w:rFonts w:ascii="Times New Roman" w:hAnsi="Times New Roman" w:cs="Times New Roman"/>
          <w:b/>
          <w:bCs/>
          <w:sz w:val="22"/>
          <w:szCs w:val="22"/>
          <w:lang w:val="lv-LV"/>
        </w:rPr>
        <w:t>u</w:t>
      </w:r>
      <w:r w:rsidR="00C3004F" w:rsidRPr="00FD0D0B">
        <w:rPr>
          <w:rFonts w:ascii="Times New Roman" w:hAnsi="Times New Roman" w:cs="Times New Roman"/>
          <w:b/>
          <w:bCs/>
          <w:sz w:val="22"/>
          <w:szCs w:val="22"/>
          <w:lang w:val="lv-LV"/>
        </w:rPr>
        <w:t xml:space="preserve"> formātā</w:t>
      </w:r>
      <w:r w:rsidR="00C3004F" w:rsidRPr="00FD0D0B">
        <w:rPr>
          <w:rFonts w:ascii="Times New Roman" w:hAnsi="Times New Roman" w:cs="Times New Roman"/>
          <w:sz w:val="22"/>
          <w:szCs w:val="22"/>
          <w:lang w:val="lv-LV"/>
        </w:rPr>
        <w:t xml:space="preserve"> </w:t>
      </w:r>
      <w:hyperlink r:id="rId11" w:history="1">
        <w:r w:rsidR="00C3004F" w:rsidRPr="00FD0D0B">
          <w:rPr>
            <w:rStyle w:val="Hyperlink"/>
            <w:rFonts w:ascii="Times New Roman" w:hAnsi="Times New Roman" w:cs="Times New Roman"/>
            <w:sz w:val="22"/>
            <w:szCs w:val="22"/>
            <w:lang w:val="lv-LV"/>
          </w:rPr>
          <w:t>FM mājaslapā</w:t>
        </w:r>
      </w:hyperlink>
      <w:r w:rsidR="00C3004F" w:rsidRPr="00FD0D0B">
        <w:rPr>
          <w:rFonts w:ascii="Times New Roman" w:hAnsi="Times New Roman" w:cs="Times New Roman"/>
          <w:sz w:val="22"/>
          <w:szCs w:val="22"/>
          <w:lang w:val="lv-LV"/>
        </w:rPr>
        <w:t>.</w:t>
      </w:r>
      <w:r w:rsidR="008170B9" w:rsidRPr="00FD0D0B">
        <w:rPr>
          <w:rFonts w:ascii="Times New Roman" w:hAnsi="Times New Roman" w:cs="Times New Roman"/>
          <w:sz w:val="22"/>
          <w:szCs w:val="22"/>
          <w:lang w:val="lv-LV"/>
        </w:rPr>
        <w:t xml:space="preserve"> Lielākā daļa no paveiktajiem </w:t>
      </w:r>
      <w:r w:rsidR="00C3004F" w:rsidRPr="00FD0D0B">
        <w:rPr>
          <w:rFonts w:ascii="Times New Roman" w:hAnsi="Times New Roman" w:cs="Times New Roman"/>
          <w:sz w:val="22"/>
          <w:szCs w:val="22"/>
          <w:lang w:val="lv-LV"/>
        </w:rPr>
        <w:t xml:space="preserve"> </w:t>
      </w:r>
      <w:r w:rsidR="008170B9" w:rsidRPr="00FD0D0B">
        <w:rPr>
          <w:rFonts w:ascii="Times New Roman" w:hAnsi="Times New Roman" w:cs="Times New Roman"/>
          <w:sz w:val="22"/>
          <w:szCs w:val="22"/>
          <w:lang w:val="lv-LV"/>
        </w:rPr>
        <w:t xml:space="preserve">ES finanšu interešu aizsardzības pasākumiem </w:t>
      </w:r>
      <w:r w:rsidR="00AF7044" w:rsidRPr="00FD0D0B">
        <w:rPr>
          <w:rFonts w:ascii="Times New Roman" w:hAnsi="Times New Roman" w:cs="Times New Roman"/>
          <w:sz w:val="22"/>
          <w:szCs w:val="22"/>
          <w:lang w:val="lv-LV"/>
        </w:rPr>
        <w:t>izriet no AFCOS stratēģijas un Pasākumu plāna</w:t>
      </w:r>
      <w:r w:rsidR="00AF7044" w:rsidRPr="00FD0D0B">
        <w:rPr>
          <w:rStyle w:val="FootnoteReference"/>
          <w:rFonts w:ascii="Times New Roman" w:hAnsi="Times New Roman" w:cs="Times New Roman"/>
          <w:sz w:val="22"/>
          <w:szCs w:val="22"/>
          <w:lang w:val="lv-LV"/>
        </w:rPr>
        <w:footnoteReference w:id="1"/>
      </w:r>
      <w:r w:rsidR="00AF7044" w:rsidRPr="00FD0D0B">
        <w:rPr>
          <w:rFonts w:ascii="Times New Roman" w:hAnsi="Times New Roman" w:cs="Times New Roman"/>
          <w:sz w:val="22"/>
          <w:szCs w:val="22"/>
          <w:lang w:val="lv-LV"/>
        </w:rPr>
        <w:t>.</w:t>
      </w:r>
      <w:r w:rsidR="00541DA4" w:rsidRPr="00FD0D0B">
        <w:rPr>
          <w:rFonts w:ascii="Times New Roman" w:hAnsi="Times New Roman" w:cs="Times New Roman"/>
          <w:sz w:val="22"/>
          <w:szCs w:val="22"/>
          <w:lang w:val="lv-LV"/>
        </w:rPr>
        <w:t xml:space="preserve"> Informācija</w:t>
      </w:r>
      <w:r w:rsidR="006354B2" w:rsidRPr="00FD0D0B">
        <w:rPr>
          <w:rFonts w:ascii="Times New Roman" w:hAnsi="Times New Roman" w:cs="Times New Roman"/>
          <w:sz w:val="22"/>
          <w:szCs w:val="22"/>
          <w:lang w:val="lv-LV"/>
        </w:rPr>
        <w:t xml:space="preserve"> par galvenajiem krāpšanas apkarošanas un </w:t>
      </w:r>
      <w:r w:rsidR="00542A7F" w:rsidRPr="00FD0D0B">
        <w:rPr>
          <w:rFonts w:ascii="Times New Roman" w:hAnsi="Times New Roman" w:cs="Times New Roman"/>
          <w:sz w:val="22"/>
          <w:szCs w:val="22"/>
          <w:lang w:val="lv-LV"/>
        </w:rPr>
        <w:t>ES</w:t>
      </w:r>
      <w:r w:rsidR="006354B2" w:rsidRPr="00FD0D0B">
        <w:rPr>
          <w:rFonts w:ascii="Times New Roman" w:hAnsi="Times New Roman" w:cs="Times New Roman"/>
          <w:sz w:val="22"/>
          <w:szCs w:val="22"/>
          <w:lang w:val="lv-LV"/>
        </w:rPr>
        <w:t xml:space="preserve"> finanšu interešu aizsardzības pasākumiem </w:t>
      </w:r>
      <w:r w:rsidR="00801F58">
        <w:rPr>
          <w:rFonts w:ascii="Times New Roman" w:hAnsi="Times New Roman" w:cs="Times New Roman"/>
          <w:sz w:val="22"/>
          <w:szCs w:val="22"/>
          <w:lang w:val="lv-LV"/>
        </w:rPr>
        <w:t xml:space="preserve">2025.gadā </w:t>
      </w:r>
      <w:r w:rsidR="006354B2" w:rsidRPr="00FD0D0B">
        <w:rPr>
          <w:rFonts w:ascii="Times New Roman" w:hAnsi="Times New Roman" w:cs="Times New Roman"/>
          <w:sz w:val="22"/>
          <w:szCs w:val="22"/>
          <w:lang w:val="lv-LV"/>
        </w:rPr>
        <w:t>apkopota zemāk.</w:t>
      </w:r>
    </w:p>
    <w:tbl>
      <w:tblPr>
        <w:tblStyle w:val="TableGrid"/>
        <w:tblW w:w="9918" w:type="dxa"/>
        <w:tblInd w:w="-851" w:type="dxa"/>
        <w:tblLook w:val="04A0" w:firstRow="1" w:lastRow="0" w:firstColumn="1" w:lastColumn="0" w:noHBand="0" w:noVBand="1"/>
      </w:tblPr>
      <w:tblGrid>
        <w:gridCol w:w="1744"/>
        <w:gridCol w:w="8174"/>
      </w:tblGrid>
      <w:tr w:rsidR="00DF2394" w:rsidRPr="00FD0D0B" w14:paraId="15F65221" w14:textId="77777777" w:rsidTr="00630859">
        <w:tc>
          <w:tcPr>
            <w:tcW w:w="1744" w:type="dxa"/>
            <w:shd w:val="clear" w:color="auto" w:fill="FAE2D5" w:themeFill="accent2" w:themeFillTint="33"/>
          </w:tcPr>
          <w:p w14:paraId="02F8138B" w14:textId="035FF54C" w:rsidR="00DF2394" w:rsidRPr="00FD0D0B" w:rsidRDefault="00DF2394" w:rsidP="00587EF6">
            <w:pPr>
              <w:ind w:right="-109" w:firstLine="0"/>
              <w:contextualSpacing/>
              <w:jc w:val="center"/>
              <w:rPr>
                <w:rFonts w:ascii="Times New Roman" w:hAnsi="Times New Roman" w:cs="Times New Roman"/>
                <w:b/>
                <w:bCs/>
                <w:sz w:val="22"/>
                <w:szCs w:val="22"/>
                <w:lang w:val="lv-LV"/>
              </w:rPr>
            </w:pPr>
            <w:r w:rsidRPr="00FD0D0B">
              <w:rPr>
                <w:rFonts w:ascii="Times New Roman" w:hAnsi="Times New Roman" w:cs="Times New Roman"/>
                <w:b/>
                <w:bCs/>
                <w:sz w:val="22"/>
                <w:szCs w:val="22"/>
                <w:lang w:val="lv-LV"/>
              </w:rPr>
              <w:t>Pasākums</w:t>
            </w:r>
          </w:p>
        </w:tc>
        <w:tc>
          <w:tcPr>
            <w:tcW w:w="8174" w:type="dxa"/>
            <w:shd w:val="clear" w:color="auto" w:fill="FAE2D5" w:themeFill="accent2" w:themeFillTint="33"/>
          </w:tcPr>
          <w:p w14:paraId="02125FEA" w14:textId="127AEC0C" w:rsidR="00DF2394" w:rsidRPr="00FD0D0B" w:rsidRDefault="00DF2394" w:rsidP="003D54D0">
            <w:pPr>
              <w:ind w:right="-766" w:firstLine="0"/>
              <w:contextualSpacing/>
              <w:jc w:val="center"/>
              <w:rPr>
                <w:rFonts w:ascii="Times New Roman" w:hAnsi="Times New Roman" w:cs="Times New Roman"/>
                <w:b/>
                <w:bCs/>
                <w:sz w:val="22"/>
                <w:szCs w:val="22"/>
                <w:lang w:val="lv-LV"/>
              </w:rPr>
            </w:pPr>
            <w:r w:rsidRPr="00FD0D0B">
              <w:rPr>
                <w:rFonts w:ascii="Times New Roman" w:hAnsi="Times New Roman" w:cs="Times New Roman"/>
                <w:b/>
                <w:bCs/>
                <w:sz w:val="22"/>
                <w:szCs w:val="22"/>
                <w:lang w:val="lv-LV"/>
              </w:rPr>
              <w:t>Īss apraksts</w:t>
            </w:r>
          </w:p>
        </w:tc>
      </w:tr>
      <w:tr w:rsidR="00DF2394" w:rsidRPr="0017751D" w14:paraId="72EAC19A" w14:textId="77777777" w:rsidTr="00630859">
        <w:tc>
          <w:tcPr>
            <w:tcW w:w="1744" w:type="dxa"/>
          </w:tcPr>
          <w:p w14:paraId="0335FE39" w14:textId="77777777" w:rsidR="002200DF" w:rsidRPr="00FD0D0B" w:rsidRDefault="002200DF" w:rsidP="001F223E">
            <w:pPr>
              <w:ind w:right="-59" w:firstLine="0"/>
              <w:contextualSpacing/>
              <w:rPr>
                <w:rFonts w:ascii="Times New Roman" w:hAnsi="Times New Roman" w:cs="Times New Roman"/>
                <w:b/>
                <w:bCs/>
                <w:sz w:val="22"/>
                <w:szCs w:val="22"/>
                <w:lang w:val="lv-LV"/>
              </w:rPr>
            </w:pPr>
          </w:p>
          <w:p w14:paraId="7BB1EEC7" w14:textId="77777777" w:rsidR="002200DF" w:rsidRPr="00FD0D0B" w:rsidRDefault="002200DF" w:rsidP="001F223E">
            <w:pPr>
              <w:ind w:right="-59" w:firstLine="0"/>
              <w:contextualSpacing/>
              <w:rPr>
                <w:rFonts w:ascii="Times New Roman" w:hAnsi="Times New Roman" w:cs="Times New Roman"/>
                <w:b/>
                <w:bCs/>
                <w:sz w:val="22"/>
                <w:szCs w:val="22"/>
                <w:lang w:val="lv-LV"/>
              </w:rPr>
            </w:pPr>
          </w:p>
          <w:p w14:paraId="60C892F4" w14:textId="77777777" w:rsidR="002200DF" w:rsidRPr="00FD0D0B" w:rsidRDefault="002200DF" w:rsidP="001F223E">
            <w:pPr>
              <w:ind w:right="-59" w:firstLine="0"/>
              <w:contextualSpacing/>
              <w:rPr>
                <w:rFonts w:ascii="Times New Roman" w:hAnsi="Times New Roman" w:cs="Times New Roman"/>
                <w:b/>
                <w:bCs/>
                <w:sz w:val="22"/>
                <w:szCs w:val="22"/>
                <w:lang w:val="lv-LV"/>
              </w:rPr>
            </w:pPr>
          </w:p>
          <w:p w14:paraId="5318CD13" w14:textId="77777777" w:rsidR="002200DF" w:rsidRPr="00FD0D0B" w:rsidRDefault="002200DF" w:rsidP="001F223E">
            <w:pPr>
              <w:ind w:right="-59" w:firstLine="0"/>
              <w:contextualSpacing/>
              <w:rPr>
                <w:rFonts w:ascii="Times New Roman" w:hAnsi="Times New Roman" w:cs="Times New Roman"/>
                <w:b/>
                <w:bCs/>
                <w:sz w:val="22"/>
                <w:szCs w:val="22"/>
                <w:lang w:val="lv-LV"/>
              </w:rPr>
            </w:pPr>
          </w:p>
          <w:p w14:paraId="48DAFE80" w14:textId="77777777" w:rsidR="002200DF" w:rsidRPr="00FD0D0B" w:rsidRDefault="002200DF" w:rsidP="001F223E">
            <w:pPr>
              <w:ind w:right="-59" w:firstLine="0"/>
              <w:contextualSpacing/>
              <w:rPr>
                <w:rFonts w:ascii="Times New Roman" w:hAnsi="Times New Roman" w:cs="Times New Roman"/>
                <w:b/>
                <w:bCs/>
                <w:sz w:val="22"/>
                <w:szCs w:val="22"/>
                <w:lang w:val="lv-LV"/>
              </w:rPr>
            </w:pPr>
          </w:p>
          <w:p w14:paraId="1B052A0A" w14:textId="77777777" w:rsidR="002200DF" w:rsidRPr="00FD0D0B" w:rsidRDefault="002200DF" w:rsidP="001F223E">
            <w:pPr>
              <w:ind w:right="-59" w:firstLine="0"/>
              <w:contextualSpacing/>
              <w:rPr>
                <w:rFonts w:ascii="Times New Roman" w:hAnsi="Times New Roman" w:cs="Times New Roman"/>
                <w:b/>
                <w:bCs/>
                <w:sz w:val="22"/>
                <w:szCs w:val="22"/>
                <w:lang w:val="lv-LV"/>
              </w:rPr>
            </w:pPr>
          </w:p>
          <w:p w14:paraId="67B346A7" w14:textId="77777777" w:rsidR="002200DF" w:rsidRPr="00FD0D0B" w:rsidRDefault="002200DF" w:rsidP="001F223E">
            <w:pPr>
              <w:ind w:right="-59" w:firstLine="0"/>
              <w:contextualSpacing/>
              <w:rPr>
                <w:rFonts w:ascii="Times New Roman" w:hAnsi="Times New Roman" w:cs="Times New Roman"/>
                <w:b/>
                <w:bCs/>
                <w:sz w:val="22"/>
                <w:szCs w:val="22"/>
                <w:lang w:val="lv-LV"/>
              </w:rPr>
            </w:pPr>
          </w:p>
          <w:p w14:paraId="1A670250" w14:textId="77777777" w:rsidR="002200DF" w:rsidRPr="00FD0D0B" w:rsidRDefault="002200DF" w:rsidP="001F223E">
            <w:pPr>
              <w:ind w:right="-59" w:firstLine="0"/>
              <w:contextualSpacing/>
              <w:rPr>
                <w:rFonts w:ascii="Times New Roman" w:hAnsi="Times New Roman" w:cs="Times New Roman"/>
                <w:b/>
                <w:bCs/>
                <w:sz w:val="22"/>
                <w:szCs w:val="22"/>
                <w:lang w:val="lv-LV"/>
              </w:rPr>
            </w:pPr>
          </w:p>
          <w:p w14:paraId="621B473C" w14:textId="77777777" w:rsidR="002200DF" w:rsidRPr="00FD0D0B" w:rsidRDefault="002200DF" w:rsidP="001F223E">
            <w:pPr>
              <w:ind w:right="-59" w:firstLine="0"/>
              <w:contextualSpacing/>
              <w:rPr>
                <w:rFonts w:ascii="Times New Roman" w:hAnsi="Times New Roman" w:cs="Times New Roman"/>
                <w:b/>
                <w:bCs/>
                <w:sz w:val="22"/>
                <w:szCs w:val="22"/>
                <w:lang w:val="lv-LV"/>
              </w:rPr>
            </w:pPr>
          </w:p>
          <w:p w14:paraId="56B3F7C7" w14:textId="77777777" w:rsidR="002200DF" w:rsidRPr="00FD0D0B" w:rsidRDefault="002200DF" w:rsidP="001F223E">
            <w:pPr>
              <w:ind w:right="-59" w:firstLine="0"/>
              <w:contextualSpacing/>
              <w:rPr>
                <w:rFonts w:ascii="Times New Roman" w:hAnsi="Times New Roman" w:cs="Times New Roman"/>
                <w:b/>
                <w:bCs/>
                <w:sz w:val="22"/>
                <w:szCs w:val="22"/>
                <w:lang w:val="lv-LV"/>
              </w:rPr>
            </w:pPr>
          </w:p>
          <w:p w14:paraId="0B90F4B2" w14:textId="77777777" w:rsidR="002200DF" w:rsidRPr="00FD0D0B" w:rsidRDefault="002200DF" w:rsidP="001F223E">
            <w:pPr>
              <w:ind w:right="-59" w:firstLine="0"/>
              <w:contextualSpacing/>
              <w:rPr>
                <w:rFonts w:ascii="Times New Roman" w:hAnsi="Times New Roman" w:cs="Times New Roman"/>
                <w:b/>
                <w:bCs/>
                <w:sz w:val="22"/>
                <w:szCs w:val="22"/>
                <w:lang w:val="lv-LV"/>
              </w:rPr>
            </w:pPr>
          </w:p>
          <w:p w14:paraId="25B9765B" w14:textId="513579DD" w:rsidR="00DF2394" w:rsidRPr="00FD0D0B" w:rsidRDefault="003D54D0" w:rsidP="00FD38F5">
            <w:pPr>
              <w:ind w:right="-59" w:firstLine="0"/>
              <w:contextualSpacing/>
              <w:jc w:val="center"/>
              <w:rPr>
                <w:rFonts w:ascii="Times New Roman" w:hAnsi="Times New Roman" w:cs="Times New Roman"/>
                <w:b/>
                <w:bCs/>
                <w:sz w:val="22"/>
                <w:szCs w:val="22"/>
                <w:lang w:val="lv-LV"/>
              </w:rPr>
            </w:pPr>
            <w:r w:rsidRPr="00FD0D0B">
              <w:rPr>
                <w:rFonts w:ascii="Times New Roman" w:hAnsi="Times New Roman" w:cs="Times New Roman"/>
                <w:b/>
                <w:bCs/>
                <w:sz w:val="22"/>
                <w:szCs w:val="22"/>
                <w:lang w:val="lv-LV"/>
              </w:rPr>
              <w:t>AFCOS diskusijas</w:t>
            </w:r>
          </w:p>
        </w:tc>
        <w:tc>
          <w:tcPr>
            <w:tcW w:w="8174" w:type="dxa"/>
          </w:tcPr>
          <w:p w14:paraId="3AA9B808" w14:textId="76ED3E21" w:rsidR="003D54D0" w:rsidRPr="00FD0D0B" w:rsidRDefault="003D54D0" w:rsidP="001F223E">
            <w:pPr>
              <w:pStyle w:val="ListParagraph"/>
              <w:numPr>
                <w:ilvl w:val="0"/>
                <w:numId w:val="1"/>
              </w:numPr>
              <w:spacing w:after="0"/>
              <w:ind w:left="182" w:right="33" w:firstLine="0"/>
              <w:jc w:val="both"/>
              <w:rPr>
                <w:rFonts w:ascii="Times New Roman" w:hAnsi="Times New Roman" w:cs="Times New Roman"/>
                <w:b/>
                <w:bCs/>
                <w:sz w:val="22"/>
                <w:szCs w:val="22"/>
              </w:rPr>
            </w:pPr>
            <w:r w:rsidRPr="00FD0D0B">
              <w:rPr>
                <w:rFonts w:ascii="Times New Roman" w:hAnsi="Times New Roman" w:cs="Times New Roman"/>
                <w:b/>
                <w:bCs/>
                <w:sz w:val="22"/>
                <w:szCs w:val="22"/>
              </w:rPr>
              <w:t>Diskusija par pasākumiem finansējuma saņēmēju reputācijas atjaunošanai</w:t>
            </w:r>
            <w:r w:rsidRPr="00FD0D0B">
              <w:rPr>
                <w:rFonts w:ascii="Times New Roman" w:hAnsi="Times New Roman" w:cs="Times New Roman"/>
                <w:sz w:val="22"/>
                <w:szCs w:val="22"/>
              </w:rPr>
              <w:t xml:space="preserve">, kas bija noslēdzošā diskusija 2024.gadā uzsāktajā diskusiju ciklā. Rezultātā sagatavots </w:t>
            </w:r>
            <w:r w:rsidRPr="00FD0D0B">
              <w:rPr>
                <w:rFonts w:ascii="Times New Roman" w:hAnsi="Times New Roman" w:cs="Times New Roman"/>
                <w:b/>
                <w:bCs/>
                <w:sz w:val="22"/>
                <w:szCs w:val="22"/>
              </w:rPr>
              <w:t>analīzes apkopojums par diskusiju ciklā analizēto informāciju</w:t>
            </w:r>
            <w:r w:rsidRPr="00FD0D0B">
              <w:rPr>
                <w:rStyle w:val="FootnoteReference"/>
                <w:rFonts w:ascii="Times New Roman" w:hAnsi="Times New Roman" w:cs="Times New Roman"/>
                <w:b/>
                <w:bCs/>
                <w:sz w:val="22"/>
                <w:szCs w:val="22"/>
              </w:rPr>
              <w:footnoteReference w:id="2"/>
            </w:r>
            <w:r w:rsidRPr="00FD0D0B">
              <w:rPr>
                <w:rFonts w:ascii="Times New Roman" w:hAnsi="Times New Roman" w:cs="Times New Roman"/>
                <w:b/>
                <w:bCs/>
                <w:sz w:val="22"/>
                <w:szCs w:val="22"/>
              </w:rPr>
              <w:t>, kas pieejama AFCOS Padomes institūcijām.</w:t>
            </w:r>
          </w:p>
          <w:p w14:paraId="08AB395B" w14:textId="749E0D0F" w:rsidR="003D54D0" w:rsidRPr="00FD0D0B" w:rsidRDefault="003D54D0" w:rsidP="001F223E">
            <w:pPr>
              <w:pStyle w:val="ListParagraph"/>
              <w:numPr>
                <w:ilvl w:val="0"/>
                <w:numId w:val="1"/>
              </w:numPr>
              <w:spacing w:after="0"/>
              <w:ind w:left="182" w:right="33" w:firstLine="0"/>
              <w:jc w:val="both"/>
              <w:rPr>
                <w:rFonts w:ascii="Times New Roman" w:hAnsi="Times New Roman" w:cs="Times New Roman"/>
                <w:b/>
                <w:bCs/>
                <w:sz w:val="22"/>
                <w:szCs w:val="22"/>
              </w:rPr>
            </w:pPr>
            <w:r w:rsidRPr="00FD0D0B">
              <w:rPr>
                <w:rFonts w:ascii="Times New Roman" w:hAnsi="Times New Roman" w:cs="Times New Roman"/>
                <w:sz w:val="22"/>
                <w:szCs w:val="22"/>
              </w:rPr>
              <w:t xml:space="preserve">Sadarbībā ar ZAB </w:t>
            </w:r>
            <w:proofErr w:type="spellStart"/>
            <w:r w:rsidRPr="00FD0D0B">
              <w:rPr>
                <w:rFonts w:ascii="Times New Roman" w:hAnsi="Times New Roman" w:cs="Times New Roman"/>
                <w:sz w:val="22"/>
                <w:szCs w:val="22"/>
              </w:rPr>
              <w:t>Rodl</w:t>
            </w:r>
            <w:proofErr w:type="spellEnd"/>
            <w:r w:rsidRPr="00FD0D0B">
              <w:rPr>
                <w:rFonts w:ascii="Times New Roman" w:hAnsi="Times New Roman" w:cs="Times New Roman"/>
                <w:sz w:val="22"/>
                <w:szCs w:val="22"/>
              </w:rPr>
              <w:t xml:space="preserve"> &amp; </w:t>
            </w:r>
            <w:proofErr w:type="spellStart"/>
            <w:r w:rsidRPr="00FD0D0B">
              <w:rPr>
                <w:rFonts w:ascii="Times New Roman" w:hAnsi="Times New Roman" w:cs="Times New Roman"/>
                <w:sz w:val="22"/>
                <w:szCs w:val="22"/>
              </w:rPr>
              <w:t>Partner</w:t>
            </w:r>
            <w:proofErr w:type="spellEnd"/>
            <w:r w:rsidRPr="00FD0D0B">
              <w:rPr>
                <w:rFonts w:ascii="Times New Roman" w:hAnsi="Times New Roman" w:cs="Times New Roman"/>
                <w:sz w:val="22"/>
                <w:szCs w:val="22"/>
              </w:rPr>
              <w:t xml:space="preserve"> </w:t>
            </w:r>
            <w:r w:rsidR="008B59CA" w:rsidRPr="00FD0D0B">
              <w:rPr>
                <w:rFonts w:ascii="Times New Roman" w:hAnsi="Times New Roman" w:cs="Times New Roman"/>
                <w:sz w:val="22"/>
                <w:szCs w:val="22"/>
              </w:rPr>
              <w:t>organizēta</w:t>
            </w:r>
            <w:r w:rsidRPr="00FD0D0B">
              <w:rPr>
                <w:rFonts w:ascii="Times New Roman" w:hAnsi="Times New Roman" w:cs="Times New Roman"/>
                <w:sz w:val="22"/>
                <w:szCs w:val="22"/>
              </w:rPr>
              <w:t xml:space="preserve"> diskusija </w:t>
            </w:r>
            <w:r w:rsidRPr="00FD0D0B">
              <w:rPr>
                <w:rFonts w:ascii="Times New Roman" w:hAnsi="Times New Roman" w:cs="Times New Roman"/>
                <w:b/>
                <w:bCs/>
                <w:sz w:val="22"/>
                <w:szCs w:val="22"/>
              </w:rPr>
              <w:t>Kā izvērtēt Eiropas fondu atbalsta programmās īstenoto projektu iespējamo pārkāpumu ietekmi uz ES budžeta līdzekļiem 2024.gada 10.oktobra ES tiesas sprieduma lietā C-175/23 kontekstā?</w:t>
            </w:r>
            <w:r w:rsidRPr="00FD0D0B">
              <w:rPr>
                <w:rFonts w:ascii="Times New Roman" w:hAnsi="Times New Roman" w:cs="Times New Roman"/>
                <w:sz w:val="22"/>
                <w:szCs w:val="22"/>
              </w:rPr>
              <w:t xml:space="preserve"> </w:t>
            </w:r>
            <w:r w:rsidRPr="00FD0D0B">
              <w:rPr>
                <w:rFonts w:ascii="Times New Roman" w:hAnsi="Times New Roman" w:cs="Times New Roman"/>
                <w:b/>
                <w:bCs/>
                <w:sz w:val="22"/>
                <w:szCs w:val="22"/>
              </w:rPr>
              <w:t>Secināts, ka tiesas spriedums neveido jaunu judikatūru, bet raksturo ES tiesas skatījumu uz dalībvalstu atbildību korekciju piemērošanā.</w:t>
            </w:r>
          </w:p>
          <w:p w14:paraId="293B92CE" w14:textId="1E6CBAB5" w:rsidR="003D54D0" w:rsidRPr="00FD0D0B" w:rsidRDefault="009851A6" w:rsidP="001F223E">
            <w:pPr>
              <w:pStyle w:val="ListParagraph"/>
              <w:numPr>
                <w:ilvl w:val="0"/>
                <w:numId w:val="1"/>
              </w:numPr>
              <w:spacing w:after="0"/>
              <w:ind w:left="182" w:right="33" w:firstLine="0"/>
              <w:jc w:val="both"/>
              <w:rPr>
                <w:rFonts w:ascii="Times New Roman" w:hAnsi="Times New Roman" w:cs="Times New Roman"/>
                <w:b/>
                <w:bCs/>
                <w:sz w:val="22"/>
                <w:szCs w:val="22"/>
              </w:rPr>
            </w:pPr>
            <w:r w:rsidRPr="00FD0D0B">
              <w:rPr>
                <w:rFonts w:ascii="Times New Roman" w:hAnsi="Times New Roman" w:cs="Times New Roman"/>
                <w:sz w:val="22"/>
                <w:szCs w:val="22"/>
              </w:rPr>
              <w:t xml:space="preserve">Sadarbībā ar ZAB </w:t>
            </w:r>
            <w:proofErr w:type="spellStart"/>
            <w:r w:rsidRPr="00FD0D0B">
              <w:rPr>
                <w:rFonts w:ascii="Times New Roman" w:hAnsi="Times New Roman" w:cs="Times New Roman"/>
                <w:sz w:val="22"/>
                <w:szCs w:val="22"/>
              </w:rPr>
              <w:t>Rodl</w:t>
            </w:r>
            <w:proofErr w:type="spellEnd"/>
            <w:r w:rsidRPr="00FD0D0B">
              <w:rPr>
                <w:rFonts w:ascii="Times New Roman" w:hAnsi="Times New Roman" w:cs="Times New Roman"/>
                <w:sz w:val="22"/>
                <w:szCs w:val="22"/>
              </w:rPr>
              <w:t xml:space="preserve"> &amp; </w:t>
            </w:r>
            <w:proofErr w:type="spellStart"/>
            <w:r w:rsidRPr="00FD0D0B">
              <w:rPr>
                <w:rFonts w:ascii="Times New Roman" w:hAnsi="Times New Roman" w:cs="Times New Roman"/>
                <w:sz w:val="22"/>
                <w:szCs w:val="22"/>
              </w:rPr>
              <w:t>Partner</w:t>
            </w:r>
            <w:proofErr w:type="spellEnd"/>
            <w:r w:rsidRPr="00FD0D0B">
              <w:rPr>
                <w:rFonts w:ascii="Times New Roman" w:hAnsi="Times New Roman" w:cs="Times New Roman"/>
                <w:sz w:val="22"/>
                <w:szCs w:val="22"/>
              </w:rPr>
              <w:t xml:space="preserve"> </w:t>
            </w:r>
            <w:r w:rsidR="00CE70F5" w:rsidRPr="00FD0D0B">
              <w:rPr>
                <w:rFonts w:ascii="Times New Roman" w:hAnsi="Times New Roman" w:cs="Times New Roman"/>
                <w:sz w:val="22"/>
                <w:szCs w:val="22"/>
              </w:rPr>
              <w:t>organizēta</w:t>
            </w:r>
            <w:r w:rsidRPr="00FD0D0B">
              <w:rPr>
                <w:rFonts w:ascii="Times New Roman" w:hAnsi="Times New Roman" w:cs="Times New Roman"/>
                <w:sz w:val="22"/>
                <w:szCs w:val="22"/>
              </w:rPr>
              <w:t xml:space="preserve"> diskusija </w:t>
            </w:r>
            <w:r w:rsidRPr="00FD0D0B">
              <w:rPr>
                <w:rFonts w:ascii="Times New Roman" w:hAnsi="Times New Roman" w:cs="Times New Roman"/>
                <w:b/>
                <w:bCs/>
                <w:sz w:val="22"/>
                <w:szCs w:val="22"/>
              </w:rPr>
              <w:t>Par ES finanšu līdzekļu izkrāpšanas veidiem attiecībā uz IT projektu realizāciju un PVN saistītu krāpšanu apkarošanu.</w:t>
            </w:r>
            <w:r w:rsidRPr="00FD0D0B">
              <w:rPr>
                <w:rFonts w:ascii="Times New Roman" w:hAnsi="Times New Roman" w:cs="Times New Roman"/>
                <w:sz w:val="22"/>
                <w:szCs w:val="22"/>
              </w:rPr>
              <w:t xml:space="preserve"> Diskusiju rezultātā tika sagatavots informatīvs apkopojums, kas pieejams AFCOS Padomei</w:t>
            </w:r>
            <w:r w:rsidR="00E3584F" w:rsidRPr="00FD0D0B">
              <w:rPr>
                <w:sz w:val="22"/>
                <w:szCs w:val="22"/>
              </w:rPr>
              <w:t>.</w:t>
            </w:r>
          </w:p>
          <w:p w14:paraId="3C66E94A" w14:textId="60130F1B" w:rsidR="00DF2394" w:rsidRPr="00FD0D0B" w:rsidRDefault="005E429A" w:rsidP="001F223E">
            <w:pPr>
              <w:pStyle w:val="ListParagraph"/>
              <w:numPr>
                <w:ilvl w:val="0"/>
                <w:numId w:val="1"/>
              </w:numPr>
              <w:spacing w:after="0"/>
              <w:ind w:left="182" w:right="33" w:firstLine="0"/>
              <w:jc w:val="both"/>
              <w:rPr>
                <w:rFonts w:ascii="Times New Roman" w:hAnsi="Times New Roman" w:cs="Times New Roman"/>
                <w:sz w:val="22"/>
                <w:szCs w:val="22"/>
              </w:rPr>
            </w:pPr>
            <w:r w:rsidRPr="00FD0D0B">
              <w:rPr>
                <w:rFonts w:ascii="Times New Roman" w:hAnsi="Times New Roman" w:cs="Times New Roman"/>
                <w:sz w:val="22"/>
                <w:szCs w:val="22"/>
              </w:rPr>
              <w:t xml:space="preserve">Diskusija </w:t>
            </w:r>
            <w:r w:rsidRPr="00FD0D0B">
              <w:rPr>
                <w:rFonts w:ascii="Times New Roman" w:hAnsi="Times New Roman" w:cs="Times New Roman"/>
                <w:b/>
                <w:bCs/>
                <w:sz w:val="22"/>
                <w:szCs w:val="22"/>
              </w:rPr>
              <w:t>par birokrātijas mazināšanas pasākumiem ES fondu jomā, kuras rezultātā tika sagatavoti priekšlikumi pa kategorijām</w:t>
            </w:r>
            <w:r w:rsidRPr="00FD0D0B">
              <w:rPr>
                <w:rFonts w:ascii="Times New Roman" w:hAnsi="Times New Roman" w:cs="Times New Roman"/>
                <w:sz w:val="22"/>
                <w:szCs w:val="22"/>
              </w:rPr>
              <w:t>. Priekšlikumu kopsavilkums tika iesniegts Valsts Kancelejā.</w:t>
            </w:r>
          </w:p>
          <w:p w14:paraId="56FE4004" w14:textId="566D0E6D" w:rsidR="005E429A" w:rsidRPr="00FD0D0B" w:rsidRDefault="007E1D72" w:rsidP="001F223E">
            <w:pPr>
              <w:pStyle w:val="ListParagraph"/>
              <w:numPr>
                <w:ilvl w:val="0"/>
                <w:numId w:val="1"/>
              </w:numPr>
              <w:spacing w:after="0"/>
              <w:ind w:left="182" w:right="33" w:firstLine="0"/>
              <w:jc w:val="both"/>
              <w:rPr>
                <w:rFonts w:ascii="Times New Roman" w:hAnsi="Times New Roman" w:cs="Times New Roman"/>
                <w:sz w:val="22"/>
                <w:szCs w:val="22"/>
              </w:rPr>
            </w:pPr>
            <w:r w:rsidRPr="00FD0D0B">
              <w:rPr>
                <w:rFonts w:ascii="Times New Roman" w:hAnsi="Times New Roman" w:cs="Times New Roman"/>
                <w:sz w:val="22"/>
                <w:szCs w:val="22"/>
              </w:rPr>
              <w:t xml:space="preserve">Pēc FM Vadošās iestādes lūguma tika organizēta </w:t>
            </w:r>
            <w:r w:rsidRPr="00FD0D0B">
              <w:rPr>
                <w:rFonts w:ascii="Times New Roman" w:hAnsi="Times New Roman" w:cs="Times New Roman"/>
                <w:b/>
                <w:bCs/>
                <w:sz w:val="22"/>
                <w:szCs w:val="22"/>
              </w:rPr>
              <w:t xml:space="preserve">diskusija par MK noteikumu Nr.104 </w:t>
            </w:r>
            <w:r w:rsidRPr="00FD0D0B">
              <w:rPr>
                <w:rStyle w:val="FootnoteReference"/>
                <w:rFonts w:ascii="Times New Roman" w:hAnsi="Times New Roman" w:cs="Times New Roman"/>
                <w:b/>
                <w:bCs/>
                <w:sz w:val="22"/>
                <w:szCs w:val="22"/>
              </w:rPr>
              <w:footnoteReference w:id="3"/>
            </w:r>
            <w:r w:rsidRPr="00FD0D0B">
              <w:rPr>
                <w:rFonts w:ascii="Times New Roman" w:hAnsi="Times New Roman" w:cs="Times New Roman"/>
                <w:b/>
                <w:bCs/>
                <w:sz w:val="22"/>
                <w:szCs w:val="22"/>
              </w:rPr>
              <w:t xml:space="preserve"> nepieciešamību</w:t>
            </w:r>
            <w:r w:rsidRPr="00FD0D0B">
              <w:rPr>
                <w:rFonts w:ascii="Times New Roman" w:hAnsi="Times New Roman" w:cs="Times New Roman"/>
                <w:sz w:val="22"/>
                <w:szCs w:val="22"/>
              </w:rPr>
              <w:t xml:space="preserve">, kuras rezultātā tika secināts, ka </w:t>
            </w:r>
            <w:r w:rsidRPr="00FD0D0B">
              <w:rPr>
                <w:rFonts w:ascii="Times New Roman" w:hAnsi="Times New Roman" w:cs="Times New Roman"/>
                <w:b/>
                <w:bCs/>
                <w:sz w:val="22"/>
                <w:szCs w:val="22"/>
              </w:rPr>
              <w:t>noteikumi ir jāpiemēro saprātīgi un elastīgi, kā arī liela daļa diskusijas dalībnieku pauda atbalstu procedūras vienkāršošanai.</w:t>
            </w:r>
          </w:p>
        </w:tc>
      </w:tr>
      <w:tr w:rsidR="00DF2394" w:rsidRPr="0017751D" w14:paraId="31990AAA" w14:textId="77777777" w:rsidTr="00630859">
        <w:tc>
          <w:tcPr>
            <w:tcW w:w="1744" w:type="dxa"/>
          </w:tcPr>
          <w:p w14:paraId="33121D38" w14:textId="27EE2BEF" w:rsidR="00DF2394" w:rsidRPr="00FD0D0B" w:rsidRDefault="007E1D72" w:rsidP="001F223E">
            <w:pPr>
              <w:ind w:right="-766" w:firstLine="0"/>
              <w:contextualSpacing/>
              <w:rPr>
                <w:rFonts w:ascii="Times New Roman" w:hAnsi="Times New Roman" w:cs="Times New Roman"/>
                <w:sz w:val="22"/>
                <w:szCs w:val="22"/>
                <w:lang w:val="lv-LV"/>
              </w:rPr>
            </w:pPr>
            <w:r w:rsidRPr="00FD0D0B">
              <w:rPr>
                <w:rFonts w:ascii="Times New Roman" w:hAnsi="Times New Roman" w:cs="Times New Roman"/>
                <w:b/>
                <w:bCs/>
                <w:sz w:val="22"/>
                <w:szCs w:val="22"/>
                <w:lang w:val="lv-LV"/>
              </w:rPr>
              <w:t>AFCOS ēnošana</w:t>
            </w:r>
          </w:p>
        </w:tc>
        <w:tc>
          <w:tcPr>
            <w:tcW w:w="8174" w:type="dxa"/>
          </w:tcPr>
          <w:p w14:paraId="58F7B2F3" w14:textId="448DFCDD" w:rsidR="00DF2394" w:rsidRPr="00FD0D0B" w:rsidRDefault="007E1D72" w:rsidP="001F223E">
            <w:pPr>
              <w:ind w:left="176" w:right="33" w:firstLine="0"/>
              <w:contextualSpacing/>
              <w:rPr>
                <w:rFonts w:ascii="Times New Roman" w:hAnsi="Times New Roman" w:cs="Times New Roman"/>
                <w:sz w:val="22"/>
                <w:szCs w:val="22"/>
                <w:lang w:val="lv-LV"/>
              </w:rPr>
            </w:pPr>
            <w:r w:rsidRPr="00FD0D0B">
              <w:rPr>
                <w:rFonts w:ascii="Times New Roman" w:hAnsi="Times New Roman" w:cs="Times New Roman"/>
                <w:sz w:val="22"/>
                <w:szCs w:val="22"/>
                <w:lang w:val="lv-LV"/>
              </w:rPr>
              <w:t xml:space="preserve">Turpinot iesākto, arī  2025. gadā AFCOS organizēja ēnošanas aktivitāti. AFCOS sadarbības tīklā esošās iestādes piedāvāja pasākumus (prezentācijas, diskusijas, pārbaudes uz vietas projektu īstenošanas vietās u.c.), kurus apmeklēja kolēģi no citām iestādēm. </w:t>
            </w:r>
            <w:r w:rsidRPr="00FD0D0B">
              <w:rPr>
                <w:rFonts w:ascii="Times New Roman" w:hAnsi="Times New Roman" w:cs="Times New Roman"/>
                <w:b/>
                <w:bCs/>
                <w:sz w:val="22"/>
                <w:szCs w:val="22"/>
                <w:lang w:val="lv-LV"/>
              </w:rPr>
              <w:t>4 mēnešu periodā tika organizēti 9 pasākumi, kurus apmeklēja 63 dalībnieki</w:t>
            </w:r>
            <w:r w:rsidRPr="00FD0D0B">
              <w:rPr>
                <w:rFonts w:ascii="Times New Roman" w:hAnsi="Times New Roman" w:cs="Times New Roman"/>
                <w:sz w:val="22"/>
                <w:szCs w:val="22"/>
                <w:lang w:val="lv-LV"/>
              </w:rPr>
              <w:t>.  Pasākumu dalībnieki AFCOS ēnošanas aktivitāti atzina kā veiksmīgu un lietderīgu ar vidējo vērtējumu 9,09 (no 10) .</w:t>
            </w:r>
          </w:p>
        </w:tc>
      </w:tr>
      <w:tr w:rsidR="00DF2394" w:rsidRPr="0017751D" w14:paraId="5B7EAF70" w14:textId="77777777" w:rsidTr="00630859">
        <w:tc>
          <w:tcPr>
            <w:tcW w:w="1744" w:type="dxa"/>
          </w:tcPr>
          <w:p w14:paraId="573AF54C" w14:textId="2A5A7E27" w:rsidR="00DF2394" w:rsidRPr="00FD0D0B" w:rsidRDefault="007E1D72" w:rsidP="00FD38F5">
            <w:pPr>
              <w:ind w:firstLine="0"/>
              <w:contextualSpacing/>
              <w:jc w:val="center"/>
              <w:rPr>
                <w:rFonts w:ascii="Times New Roman" w:hAnsi="Times New Roman" w:cs="Times New Roman"/>
                <w:sz w:val="22"/>
                <w:szCs w:val="22"/>
                <w:lang w:val="lv-LV"/>
              </w:rPr>
            </w:pPr>
            <w:r w:rsidRPr="00FD0D0B">
              <w:rPr>
                <w:rFonts w:ascii="Times New Roman" w:hAnsi="Times New Roman" w:cs="Times New Roman"/>
                <w:b/>
                <w:bCs/>
                <w:sz w:val="22"/>
                <w:szCs w:val="22"/>
                <w:lang w:val="lv-LV"/>
              </w:rPr>
              <w:t>#Atkrāpies! iniciatīvas turpināšana</w:t>
            </w:r>
          </w:p>
        </w:tc>
        <w:tc>
          <w:tcPr>
            <w:tcW w:w="8174" w:type="dxa"/>
          </w:tcPr>
          <w:p w14:paraId="0BE140C6" w14:textId="0D9F681E" w:rsidR="00DF2394" w:rsidRPr="00FD0D0B" w:rsidRDefault="007E1D72" w:rsidP="001F223E">
            <w:pPr>
              <w:ind w:left="176" w:right="33" w:firstLine="0"/>
              <w:contextualSpacing/>
              <w:rPr>
                <w:rFonts w:ascii="Times New Roman" w:hAnsi="Times New Roman" w:cs="Times New Roman"/>
                <w:sz w:val="22"/>
                <w:szCs w:val="22"/>
                <w:lang w:val="lv-LV"/>
              </w:rPr>
            </w:pPr>
            <w:r w:rsidRPr="00FD0D0B">
              <w:rPr>
                <w:rFonts w:ascii="Times New Roman" w:hAnsi="Times New Roman" w:cs="Times New Roman"/>
                <w:sz w:val="22"/>
                <w:szCs w:val="22"/>
                <w:lang w:val="lv-LV"/>
              </w:rPr>
              <w:t xml:space="preserve">2025.gadā tika izstrādāts jauns </w:t>
            </w:r>
            <w:hyperlink r:id="rId12" w:history="1">
              <w:r w:rsidRPr="00FD0D0B">
                <w:rPr>
                  <w:rStyle w:val="Hyperlink"/>
                  <w:rFonts w:ascii="Times New Roman" w:hAnsi="Times New Roman" w:cs="Times New Roman"/>
                  <w:b/>
                  <w:sz w:val="22"/>
                  <w:szCs w:val="22"/>
                  <w:lang w:val="lv-LV"/>
                </w:rPr>
                <w:t>www.atkrapies.lv</w:t>
              </w:r>
            </w:hyperlink>
            <w:r w:rsidRPr="002C26ED">
              <w:rPr>
                <w:b/>
                <w:sz w:val="22"/>
                <w:szCs w:val="22"/>
                <w:lang w:val="lv-LV"/>
              </w:rPr>
              <w:t xml:space="preserve"> </w:t>
            </w:r>
            <w:r w:rsidRPr="00FD0D0B">
              <w:rPr>
                <w:rFonts w:ascii="Times New Roman" w:hAnsi="Times New Roman" w:cs="Times New Roman"/>
                <w:sz w:val="22"/>
                <w:szCs w:val="22"/>
                <w:lang w:val="lv-LV"/>
              </w:rPr>
              <w:t xml:space="preserve">tīmekļvietnes dizains un saturiskā informācija pārvietota uz jauno platformu. Tika saglabāts Atkrāpies! ziņošanas rīks ar iespēju izvēlēties opciju </w:t>
            </w:r>
            <w:r w:rsidRPr="00FD0D0B">
              <w:rPr>
                <w:rFonts w:ascii="Times New Roman" w:hAnsi="Times New Roman" w:cs="Times New Roman"/>
                <w:i/>
                <w:iCs/>
                <w:sz w:val="22"/>
                <w:szCs w:val="22"/>
                <w:lang w:val="lv-LV"/>
              </w:rPr>
              <w:t>Nezinu, kam ziņot</w:t>
            </w:r>
            <w:r w:rsidRPr="00FD0D0B">
              <w:rPr>
                <w:rFonts w:ascii="Times New Roman" w:hAnsi="Times New Roman" w:cs="Times New Roman"/>
                <w:sz w:val="22"/>
                <w:szCs w:val="22"/>
                <w:lang w:val="lv-LV"/>
              </w:rPr>
              <w:t>. Šāda veida ziņojumi nonāk</w:t>
            </w:r>
            <w:r w:rsidR="007A1C34" w:rsidRPr="00FD0D0B">
              <w:rPr>
                <w:rFonts w:ascii="Times New Roman" w:hAnsi="Times New Roman" w:cs="Times New Roman"/>
                <w:sz w:val="22"/>
                <w:szCs w:val="22"/>
                <w:lang w:val="lv-LV"/>
              </w:rPr>
              <w:t xml:space="preserve"> </w:t>
            </w:r>
            <w:r w:rsidRPr="00FD0D0B">
              <w:rPr>
                <w:rFonts w:ascii="Times New Roman" w:hAnsi="Times New Roman" w:cs="Times New Roman"/>
                <w:sz w:val="22"/>
                <w:szCs w:val="22"/>
                <w:lang w:val="lv-LV"/>
              </w:rPr>
              <w:t>Atkrāpies! e-pastā, kuru administrē AFCOS. Izvērtējot saņemto iesniegumu saturu, tie ti</w:t>
            </w:r>
            <w:r w:rsidR="00B52891">
              <w:rPr>
                <w:rFonts w:ascii="Times New Roman" w:hAnsi="Times New Roman" w:cs="Times New Roman"/>
                <w:sz w:val="22"/>
                <w:szCs w:val="22"/>
                <w:lang w:val="lv-LV"/>
              </w:rPr>
              <w:t>ek</w:t>
            </w:r>
            <w:r w:rsidRPr="00FD0D0B">
              <w:rPr>
                <w:rFonts w:ascii="Times New Roman" w:hAnsi="Times New Roman" w:cs="Times New Roman"/>
                <w:sz w:val="22"/>
                <w:szCs w:val="22"/>
                <w:lang w:val="lv-LV"/>
              </w:rPr>
              <w:t xml:space="preserve"> pārsūtīti adresātiem. 2026.gadā plānots tīmekļvietni papildināt ar jaunu sadaļu par atklātajiem krāpšanas gadījumiem.</w:t>
            </w:r>
          </w:p>
        </w:tc>
      </w:tr>
      <w:tr w:rsidR="00DF2394" w:rsidRPr="00FD0D0B" w14:paraId="10B2A407" w14:textId="77777777" w:rsidTr="00630859">
        <w:tc>
          <w:tcPr>
            <w:tcW w:w="1744" w:type="dxa"/>
          </w:tcPr>
          <w:p w14:paraId="261D4EC7" w14:textId="4FC96516" w:rsidR="00DF2394" w:rsidRPr="00FD0D0B" w:rsidRDefault="007E1D72" w:rsidP="00FD38F5">
            <w:pPr>
              <w:ind w:right="38" w:firstLine="0"/>
              <w:contextualSpacing/>
              <w:jc w:val="center"/>
              <w:rPr>
                <w:rFonts w:ascii="Times New Roman" w:hAnsi="Times New Roman" w:cs="Times New Roman"/>
                <w:sz w:val="22"/>
                <w:szCs w:val="22"/>
                <w:lang w:val="lv-LV"/>
              </w:rPr>
            </w:pPr>
            <w:r w:rsidRPr="00FD0D0B">
              <w:rPr>
                <w:rFonts w:ascii="Times New Roman" w:hAnsi="Times New Roman" w:cs="Times New Roman"/>
                <w:b/>
                <w:bCs/>
                <w:sz w:val="22"/>
                <w:szCs w:val="22"/>
                <w:lang w:val="lv-LV"/>
              </w:rPr>
              <w:t>Sadarbība ar IMC</w:t>
            </w:r>
          </w:p>
        </w:tc>
        <w:tc>
          <w:tcPr>
            <w:tcW w:w="8174" w:type="dxa"/>
          </w:tcPr>
          <w:p w14:paraId="4D640222" w14:textId="4E95306A" w:rsidR="00DF2394" w:rsidRPr="00FD0D0B" w:rsidRDefault="007E1D72" w:rsidP="00427E4B">
            <w:pPr>
              <w:ind w:left="129" w:right="33" w:firstLine="0"/>
              <w:contextualSpacing/>
              <w:rPr>
                <w:rFonts w:ascii="Times New Roman" w:hAnsi="Times New Roman" w:cs="Times New Roman"/>
                <w:sz w:val="22"/>
                <w:szCs w:val="22"/>
                <w:lang w:val="lv-LV"/>
              </w:rPr>
            </w:pPr>
            <w:r w:rsidRPr="00FD0D0B">
              <w:rPr>
                <w:rFonts w:ascii="Times New Roman" w:hAnsi="Times New Roman" w:cs="Times New Roman"/>
                <w:sz w:val="22"/>
                <w:szCs w:val="22"/>
                <w:lang w:val="lv-LV"/>
              </w:rPr>
              <w:t xml:space="preserve">2025. gadā tika </w:t>
            </w:r>
            <w:r w:rsidRPr="00FD0D0B">
              <w:rPr>
                <w:rFonts w:ascii="Times New Roman" w:hAnsi="Times New Roman" w:cs="Times New Roman"/>
                <w:b/>
                <w:bCs/>
                <w:sz w:val="22"/>
                <w:szCs w:val="22"/>
                <w:lang w:val="lv-LV"/>
              </w:rPr>
              <w:t>izveidota sadarbība ar Valsts policijas koledžas Izmeklētāju mācību centru (IMC)</w:t>
            </w:r>
            <w:r w:rsidRPr="00FD0D0B">
              <w:rPr>
                <w:rFonts w:ascii="Times New Roman" w:hAnsi="Times New Roman" w:cs="Times New Roman"/>
                <w:sz w:val="22"/>
                <w:szCs w:val="22"/>
                <w:lang w:val="lv-LV"/>
              </w:rPr>
              <w:t xml:space="preserve"> ar mērķi īstenot profesionālās pilnveides izglītības pasākumus jautājumos </w:t>
            </w:r>
            <w:r w:rsidRPr="00FD0D0B">
              <w:rPr>
                <w:rFonts w:ascii="Times New Roman" w:hAnsi="Times New Roman" w:cs="Times New Roman"/>
                <w:sz w:val="22"/>
                <w:szCs w:val="22"/>
                <w:lang w:val="lv-LV"/>
              </w:rPr>
              <w:lastRenderedPageBreak/>
              <w:t>par ES finanšu interešu aizsardzību</w:t>
            </w:r>
            <w:r w:rsidR="003E1316">
              <w:rPr>
                <w:rFonts w:ascii="Times New Roman" w:hAnsi="Times New Roman" w:cs="Times New Roman"/>
                <w:sz w:val="22"/>
                <w:szCs w:val="22"/>
                <w:lang w:val="lv-LV"/>
              </w:rPr>
              <w:t xml:space="preserve"> </w:t>
            </w:r>
            <w:r w:rsidRPr="00FD0D0B">
              <w:rPr>
                <w:rFonts w:ascii="Times New Roman" w:hAnsi="Times New Roman" w:cs="Times New Roman"/>
                <w:sz w:val="22"/>
                <w:szCs w:val="22"/>
                <w:lang w:val="lv-LV"/>
              </w:rPr>
              <w:t>izmeklēšanas iestāžu darbiniekiem. Apmācības norisinājās 2026.gada janvārī.</w:t>
            </w:r>
          </w:p>
        </w:tc>
      </w:tr>
      <w:tr w:rsidR="00DF2394" w:rsidRPr="00FD0D0B" w14:paraId="1115BA75" w14:textId="77777777" w:rsidTr="00630859">
        <w:tc>
          <w:tcPr>
            <w:tcW w:w="1744" w:type="dxa"/>
          </w:tcPr>
          <w:p w14:paraId="304B5392" w14:textId="4D8F08B7" w:rsidR="00DF2394" w:rsidRPr="00FD0D0B" w:rsidRDefault="007E1D72" w:rsidP="00FD38F5">
            <w:pPr>
              <w:ind w:firstLine="0"/>
              <w:contextualSpacing/>
              <w:jc w:val="center"/>
              <w:rPr>
                <w:rFonts w:ascii="Times New Roman" w:hAnsi="Times New Roman" w:cs="Times New Roman"/>
                <w:sz w:val="22"/>
                <w:szCs w:val="22"/>
                <w:lang w:val="lv-LV"/>
              </w:rPr>
            </w:pPr>
            <w:r w:rsidRPr="00FD0D0B">
              <w:rPr>
                <w:rFonts w:ascii="Times New Roman" w:hAnsi="Times New Roman" w:cs="Times New Roman"/>
                <w:b/>
                <w:bCs/>
                <w:sz w:val="22"/>
                <w:szCs w:val="22"/>
                <w:lang w:val="lv-LV"/>
              </w:rPr>
              <w:lastRenderedPageBreak/>
              <w:t>EPPO konstatētās Krimināllikuma nepilnības</w:t>
            </w:r>
          </w:p>
        </w:tc>
        <w:tc>
          <w:tcPr>
            <w:tcW w:w="8174" w:type="dxa"/>
          </w:tcPr>
          <w:p w14:paraId="54D1D643" w14:textId="74437E44" w:rsidR="00DF2394" w:rsidRPr="00FD0D0B" w:rsidRDefault="007E1D72" w:rsidP="00427E4B">
            <w:pPr>
              <w:ind w:left="125" w:right="33" w:firstLine="0"/>
              <w:contextualSpacing/>
              <w:rPr>
                <w:rFonts w:ascii="Times New Roman" w:hAnsi="Times New Roman" w:cs="Times New Roman"/>
                <w:sz w:val="22"/>
                <w:szCs w:val="22"/>
                <w:lang w:val="lv-LV"/>
              </w:rPr>
            </w:pPr>
            <w:r w:rsidRPr="00FD0D0B">
              <w:rPr>
                <w:rFonts w:ascii="Times New Roman" w:hAnsi="Times New Roman" w:cs="Times New Roman"/>
                <w:sz w:val="22"/>
                <w:szCs w:val="22"/>
                <w:lang w:val="lv-LV"/>
              </w:rPr>
              <w:t>EPPO konstatēja vairākas Krimināllikuma neatbilstības PIF direktīvai.</w:t>
            </w:r>
            <w:r w:rsidRPr="00FD0D0B">
              <w:rPr>
                <w:rStyle w:val="FootnoteReference"/>
                <w:rFonts w:ascii="Times New Roman" w:hAnsi="Times New Roman" w:cs="Times New Roman"/>
                <w:sz w:val="22"/>
                <w:szCs w:val="22"/>
                <w:lang w:val="lv-LV"/>
              </w:rPr>
              <w:footnoteReference w:id="4"/>
            </w:r>
            <w:r w:rsidRPr="00FD0D0B">
              <w:rPr>
                <w:rFonts w:ascii="Times New Roman" w:hAnsi="Times New Roman" w:cs="Times New Roman"/>
                <w:sz w:val="22"/>
                <w:szCs w:val="22"/>
                <w:lang w:val="lv-LV"/>
              </w:rPr>
              <w:t xml:space="preserve"> 2025.gadā norisinājās darbs pie Krimināllikuma grozījumu projekta, par ko TM pārstāvji ziņoja AFCOS Padomes sēdē.</w:t>
            </w:r>
            <w:r w:rsidRPr="00FD0D0B">
              <w:rPr>
                <w:rStyle w:val="FootnoteReference"/>
                <w:rFonts w:ascii="Times New Roman" w:hAnsi="Times New Roman" w:cs="Times New Roman"/>
                <w:sz w:val="22"/>
                <w:szCs w:val="22"/>
                <w:lang w:val="lv-LV"/>
              </w:rPr>
              <w:footnoteReference w:id="5"/>
            </w:r>
            <w:r w:rsidRPr="00FD0D0B">
              <w:rPr>
                <w:rFonts w:ascii="Times New Roman" w:hAnsi="Times New Roman" w:cs="Times New Roman"/>
                <w:sz w:val="22"/>
                <w:szCs w:val="22"/>
                <w:lang w:val="lv-LV"/>
              </w:rPr>
              <w:t xml:space="preserve"> Plānoti grozījumi Krimināllikuma 210. un 220. pantā, lai novērstu konstatētās nepilnības.</w:t>
            </w:r>
          </w:p>
        </w:tc>
      </w:tr>
      <w:tr w:rsidR="007E1D72" w:rsidRPr="0017751D" w14:paraId="69594E14" w14:textId="77777777" w:rsidTr="00630859">
        <w:tc>
          <w:tcPr>
            <w:tcW w:w="1744" w:type="dxa"/>
          </w:tcPr>
          <w:p w14:paraId="4205DF87" w14:textId="7389ABDA" w:rsidR="007E1D72" w:rsidRPr="00FD0D0B" w:rsidRDefault="002D39F5" w:rsidP="00FD38F5">
            <w:pPr>
              <w:ind w:firstLine="0"/>
              <w:contextualSpacing/>
              <w:jc w:val="center"/>
              <w:rPr>
                <w:rFonts w:ascii="Times New Roman" w:hAnsi="Times New Roman" w:cs="Times New Roman"/>
                <w:b/>
                <w:bCs/>
                <w:sz w:val="22"/>
                <w:szCs w:val="22"/>
                <w:lang w:val="lv-LV"/>
              </w:rPr>
            </w:pPr>
            <w:r w:rsidRPr="00FD0D0B">
              <w:rPr>
                <w:rFonts w:ascii="Times New Roman" w:hAnsi="Times New Roman" w:cs="Times New Roman"/>
                <w:b/>
                <w:bCs/>
                <w:sz w:val="22"/>
                <w:szCs w:val="22"/>
                <w:lang w:val="lv-LV"/>
              </w:rPr>
              <w:t>AFCOS Padomes nolikuma</w:t>
            </w:r>
            <w:r w:rsidRPr="00FD0D0B">
              <w:rPr>
                <w:rStyle w:val="FootnoteReference"/>
                <w:rFonts w:ascii="Times New Roman" w:hAnsi="Times New Roman" w:cs="Times New Roman"/>
                <w:sz w:val="22"/>
                <w:szCs w:val="22"/>
                <w:lang w:val="lv-LV"/>
              </w:rPr>
              <w:footnoteReference w:id="6"/>
            </w:r>
            <w:r w:rsidRPr="00FD0D0B">
              <w:rPr>
                <w:rFonts w:ascii="Times New Roman" w:hAnsi="Times New Roman" w:cs="Times New Roman"/>
                <w:b/>
                <w:bCs/>
                <w:sz w:val="22"/>
                <w:szCs w:val="22"/>
                <w:lang w:val="lv-LV"/>
              </w:rPr>
              <w:t xml:space="preserve"> grozījumi</w:t>
            </w:r>
          </w:p>
        </w:tc>
        <w:tc>
          <w:tcPr>
            <w:tcW w:w="8174" w:type="dxa"/>
          </w:tcPr>
          <w:p w14:paraId="765D036C" w14:textId="28F65596" w:rsidR="007E1D72" w:rsidRPr="00FD0D0B" w:rsidRDefault="007E1D72" w:rsidP="000243E7">
            <w:pPr>
              <w:ind w:left="125" w:right="33" w:firstLine="0"/>
              <w:contextualSpacing/>
              <w:rPr>
                <w:rFonts w:ascii="Times New Roman" w:hAnsi="Times New Roman" w:cs="Times New Roman"/>
                <w:sz w:val="22"/>
                <w:szCs w:val="22"/>
                <w:lang w:val="lv-LV"/>
              </w:rPr>
            </w:pPr>
            <w:r w:rsidRPr="00FD0D0B">
              <w:rPr>
                <w:rFonts w:ascii="Times New Roman" w:hAnsi="Times New Roman" w:cs="Times New Roman"/>
                <w:sz w:val="22"/>
                <w:szCs w:val="22"/>
                <w:lang w:val="lv-LV"/>
              </w:rPr>
              <w:t>2025. gadā tika uzsākts darbs pie AFCOS Padomes nolikuma grozījumu projekta. Grozījumi nepieciešami, lai aktualizētu AFCOS Padomes sastāvu, tajā iekļaujot VID reorganizācijas rezultātā izveidoto iestādi – Nodokļu un muitas policiju, kā arī veiktu labojumus, kuru nepieciešamība identificēta AFCOS Padomes darba gaitā.</w:t>
            </w:r>
          </w:p>
        </w:tc>
      </w:tr>
    </w:tbl>
    <w:p w14:paraId="50B1BB6A" w14:textId="77777777" w:rsidR="00D576AF" w:rsidRPr="00FD0D0B" w:rsidRDefault="00D576AF" w:rsidP="007E1D72">
      <w:pPr>
        <w:ind w:right="-766" w:firstLine="0"/>
        <w:contextualSpacing/>
        <w:rPr>
          <w:rFonts w:ascii="Times New Roman" w:hAnsi="Times New Roman" w:cs="Times New Roman"/>
          <w:sz w:val="22"/>
          <w:szCs w:val="22"/>
          <w:lang w:val="lv-LV"/>
        </w:rPr>
      </w:pPr>
    </w:p>
    <w:p w14:paraId="4EA9363B" w14:textId="228C9FF0" w:rsidR="00FD5E01" w:rsidRPr="00A4786A" w:rsidRDefault="008F342F" w:rsidP="00A4786A">
      <w:pPr>
        <w:pStyle w:val="ListParagraph"/>
        <w:numPr>
          <w:ilvl w:val="0"/>
          <w:numId w:val="2"/>
        </w:numPr>
        <w:ind w:right="-766"/>
        <w:jc w:val="center"/>
        <w:rPr>
          <w:rFonts w:ascii="Times New Roman" w:hAnsi="Times New Roman" w:cs="Times New Roman"/>
          <w:b/>
          <w:bCs/>
        </w:rPr>
      </w:pPr>
      <w:r w:rsidRPr="00A4786A">
        <w:rPr>
          <w:rFonts w:ascii="Times New Roman" w:hAnsi="Times New Roman" w:cs="Times New Roman"/>
          <w:b/>
          <w:bCs/>
        </w:rPr>
        <w:t>Informatīvs pārskats un statistikas dati par konstatētajām neatbilstībām ES fondos</w:t>
      </w:r>
    </w:p>
    <w:p w14:paraId="64D4CE15" w14:textId="3AAF8276" w:rsidR="000A74C3" w:rsidRDefault="00A4786A" w:rsidP="000A74C3">
      <w:pPr>
        <w:ind w:left="-851" w:right="-766" w:firstLine="0"/>
        <w:contextualSpacing/>
        <w:jc w:val="center"/>
        <w:rPr>
          <w:rFonts w:ascii="Times New Roman" w:hAnsi="Times New Roman" w:cs="Times New Roman"/>
          <w:b/>
          <w:bCs/>
          <w:lang w:val="lv-LV"/>
        </w:rPr>
      </w:pPr>
      <w:r>
        <w:rPr>
          <w:rFonts w:ascii="Times New Roman" w:hAnsi="Times New Roman" w:cs="Times New Roman"/>
          <w:b/>
          <w:bCs/>
          <w:lang w:val="lv-LV"/>
        </w:rPr>
        <w:t>2</w:t>
      </w:r>
      <w:r w:rsidR="00FD5E01" w:rsidRPr="00FD5E01">
        <w:rPr>
          <w:rFonts w:ascii="Times New Roman" w:hAnsi="Times New Roman" w:cs="Times New Roman"/>
          <w:b/>
          <w:bCs/>
          <w:lang w:val="lv-LV"/>
        </w:rPr>
        <w:t>.1. Kopējie neatbilstību apjomi</w:t>
      </w:r>
      <w:r w:rsidR="0048422B">
        <w:rPr>
          <w:rFonts w:ascii="Times New Roman" w:hAnsi="Times New Roman" w:cs="Times New Roman"/>
          <w:b/>
          <w:bCs/>
          <w:lang w:val="lv-LV"/>
        </w:rPr>
        <w:t xml:space="preserve"> 2021.-2027. plānošanas periodā</w:t>
      </w:r>
      <w:r w:rsidR="00FD5E01" w:rsidRPr="00FD5E01">
        <w:rPr>
          <w:rFonts w:ascii="Times New Roman" w:hAnsi="Times New Roman" w:cs="Times New Roman"/>
          <w:b/>
          <w:bCs/>
          <w:lang w:val="lv-LV"/>
        </w:rPr>
        <w:t xml:space="preserve"> 202</w:t>
      </w:r>
      <w:r w:rsidR="00D07D1F">
        <w:rPr>
          <w:rFonts w:ascii="Times New Roman" w:hAnsi="Times New Roman" w:cs="Times New Roman"/>
          <w:b/>
          <w:bCs/>
          <w:lang w:val="lv-LV"/>
        </w:rPr>
        <w:t>5</w:t>
      </w:r>
      <w:r w:rsidR="00FD5E01" w:rsidRPr="00FD5E01">
        <w:rPr>
          <w:rFonts w:ascii="Times New Roman" w:hAnsi="Times New Roman" w:cs="Times New Roman"/>
          <w:b/>
          <w:bCs/>
          <w:lang w:val="lv-LV"/>
        </w:rPr>
        <w:t>. gadā</w:t>
      </w:r>
    </w:p>
    <w:p w14:paraId="5AF9B778" w14:textId="52DC3472" w:rsidR="00FD5E01" w:rsidRDefault="00FD5E01" w:rsidP="00D920F7">
      <w:pPr>
        <w:ind w:left="-851" w:right="-766" w:firstLine="0"/>
        <w:contextualSpacing/>
        <w:rPr>
          <w:rFonts w:ascii="Times New Roman" w:hAnsi="Times New Roman" w:cs="Times New Roman"/>
          <w:b/>
          <w:bCs/>
          <w:lang w:val="lv-LV"/>
        </w:rPr>
      </w:pPr>
      <w:r w:rsidRPr="00FD5E01">
        <w:rPr>
          <w:rFonts w:ascii="Times New Roman" w:hAnsi="Times New Roman" w:cs="Times New Roman"/>
          <w:b/>
          <w:bCs/>
          <w:lang w:val="lv-LV"/>
        </w:rPr>
        <w:t xml:space="preserve"> </w:t>
      </w:r>
    </w:p>
    <w:p w14:paraId="4695816F" w14:textId="18BCACBF" w:rsidR="00F869E5" w:rsidRPr="00FD0D0B" w:rsidRDefault="00F33F31" w:rsidP="00506BDA">
      <w:pPr>
        <w:ind w:left="-851" w:right="-766" w:firstLine="851"/>
        <w:contextualSpacing/>
        <w:rPr>
          <w:rFonts w:ascii="Times New Roman" w:hAnsi="Times New Roman" w:cs="Times New Roman"/>
          <w:sz w:val="22"/>
          <w:szCs w:val="22"/>
          <w:lang w:val="lv-LV"/>
        </w:rPr>
      </w:pPr>
      <w:r w:rsidRPr="00FD0D0B">
        <w:rPr>
          <w:rFonts w:ascii="Times New Roman" w:hAnsi="Times New Roman" w:cs="Times New Roman"/>
          <w:b/>
          <w:bCs/>
          <w:sz w:val="22"/>
          <w:szCs w:val="22"/>
          <w:lang w:val="lv-LV"/>
        </w:rPr>
        <w:t xml:space="preserve">Kopējā attiecināmo izdevumu summa 2025.gadā sastādīja vairāk </w:t>
      </w:r>
      <w:r w:rsidR="00B73D9D" w:rsidRPr="00FD0D0B">
        <w:rPr>
          <w:rFonts w:ascii="Times New Roman" w:hAnsi="Times New Roman" w:cs="Times New Roman"/>
          <w:b/>
          <w:bCs/>
          <w:sz w:val="22"/>
          <w:szCs w:val="22"/>
          <w:lang w:val="lv-LV"/>
        </w:rPr>
        <w:t>ne</w:t>
      </w:r>
      <w:r w:rsidRPr="00FD0D0B">
        <w:rPr>
          <w:rFonts w:ascii="Times New Roman" w:hAnsi="Times New Roman" w:cs="Times New Roman"/>
          <w:b/>
          <w:bCs/>
          <w:sz w:val="22"/>
          <w:szCs w:val="22"/>
          <w:lang w:val="lv-LV"/>
        </w:rPr>
        <w:t>kā EUR 1,4 mljr</w:t>
      </w:r>
      <w:r w:rsidR="00861882" w:rsidRPr="00FD0D0B">
        <w:rPr>
          <w:rFonts w:ascii="Times New Roman" w:hAnsi="Times New Roman" w:cs="Times New Roman"/>
          <w:b/>
          <w:bCs/>
          <w:sz w:val="22"/>
          <w:szCs w:val="22"/>
          <w:lang w:val="lv-LV"/>
        </w:rPr>
        <w:t>d</w:t>
      </w:r>
      <w:r w:rsidR="00861882" w:rsidRPr="00FD0D0B">
        <w:rPr>
          <w:rFonts w:ascii="Times New Roman" w:hAnsi="Times New Roman" w:cs="Times New Roman"/>
          <w:sz w:val="22"/>
          <w:szCs w:val="22"/>
          <w:lang w:val="lv-LV"/>
        </w:rPr>
        <w:t>.</w:t>
      </w:r>
      <w:r w:rsidRPr="00FD0D0B">
        <w:rPr>
          <w:rFonts w:ascii="Times New Roman" w:hAnsi="Times New Roman" w:cs="Times New Roman"/>
          <w:sz w:val="22"/>
          <w:szCs w:val="22"/>
          <w:lang w:val="lv-LV"/>
        </w:rPr>
        <w:t xml:space="preserve">, savukārt </w:t>
      </w:r>
      <w:r w:rsidR="009B4E62" w:rsidRPr="00FD0D0B">
        <w:rPr>
          <w:rFonts w:ascii="Times New Roman" w:hAnsi="Times New Roman" w:cs="Times New Roman"/>
          <w:sz w:val="22"/>
          <w:szCs w:val="22"/>
          <w:lang w:val="lv-LV"/>
        </w:rPr>
        <w:t xml:space="preserve">konstatētas </w:t>
      </w:r>
      <w:r w:rsidRPr="00FD0D0B">
        <w:rPr>
          <w:rFonts w:ascii="Times New Roman" w:hAnsi="Times New Roman" w:cs="Times New Roman"/>
          <w:sz w:val="22"/>
          <w:szCs w:val="22"/>
          <w:lang w:val="lv-LV"/>
        </w:rPr>
        <w:t xml:space="preserve">tika </w:t>
      </w:r>
      <w:r w:rsidR="008E00BC" w:rsidRPr="00FD0D0B">
        <w:rPr>
          <w:rFonts w:ascii="Times New Roman" w:hAnsi="Times New Roman" w:cs="Times New Roman"/>
          <w:b/>
          <w:bCs/>
          <w:sz w:val="22"/>
          <w:szCs w:val="22"/>
          <w:lang w:val="lv-LV"/>
        </w:rPr>
        <w:t xml:space="preserve">3707 </w:t>
      </w:r>
      <w:r w:rsidR="009B4E62" w:rsidRPr="00FD0D0B">
        <w:rPr>
          <w:rFonts w:ascii="Times New Roman" w:hAnsi="Times New Roman" w:cs="Times New Roman"/>
          <w:b/>
          <w:bCs/>
          <w:sz w:val="22"/>
          <w:szCs w:val="22"/>
          <w:lang w:val="lv-LV"/>
        </w:rPr>
        <w:t>neatbilstības</w:t>
      </w:r>
      <w:r w:rsidR="009B4E62" w:rsidRPr="00FD0D0B">
        <w:rPr>
          <w:rFonts w:ascii="Times New Roman" w:hAnsi="Times New Roman" w:cs="Times New Roman"/>
          <w:sz w:val="22"/>
          <w:szCs w:val="22"/>
          <w:lang w:val="lv-LV"/>
        </w:rPr>
        <w:t xml:space="preserve"> (</w:t>
      </w:r>
      <w:r w:rsidR="008E00BC" w:rsidRPr="00FD0D0B">
        <w:rPr>
          <w:rFonts w:ascii="Times New Roman" w:hAnsi="Times New Roman" w:cs="Times New Roman"/>
          <w:sz w:val="22"/>
          <w:szCs w:val="22"/>
          <w:lang w:val="lv-LV"/>
        </w:rPr>
        <w:t xml:space="preserve">2024.gadā – 733, </w:t>
      </w:r>
      <w:r w:rsidR="009B4E62" w:rsidRPr="00FD0D0B">
        <w:rPr>
          <w:rFonts w:ascii="Times New Roman" w:hAnsi="Times New Roman" w:cs="Times New Roman"/>
          <w:sz w:val="22"/>
          <w:szCs w:val="22"/>
          <w:lang w:val="lv-LV"/>
        </w:rPr>
        <w:t xml:space="preserve">2023. gadā – 10 neatbilstības) par kopējo summu </w:t>
      </w:r>
      <w:r w:rsidR="009B4E62" w:rsidRPr="00FD0D0B">
        <w:rPr>
          <w:rFonts w:ascii="Times New Roman" w:hAnsi="Times New Roman" w:cs="Times New Roman"/>
          <w:b/>
          <w:bCs/>
          <w:sz w:val="22"/>
          <w:szCs w:val="22"/>
          <w:lang w:val="lv-LV"/>
        </w:rPr>
        <w:t xml:space="preserve">EUR </w:t>
      </w:r>
      <w:r w:rsidR="005979E2" w:rsidRPr="00FD0D0B">
        <w:rPr>
          <w:rFonts w:ascii="Times New Roman" w:hAnsi="Times New Roman" w:cs="Times New Roman"/>
          <w:b/>
          <w:bCs/>
          <w:sz w:val="22"/>
          <w:szCs w:val="22"/>
          <w:lang w:val="lv-LV"/>
        </w:rPr>
        <w:t>2 40</w:t>
      </w:r>
      <w:r w:rsidR="00F67733" w:rsidRPr="00FD0D0B">
        <w:rPr>
          <w:rFonts w:ascii="Times New Roman" w:hAnsi="Times New Roman" w:cs="Times New Roman"/>
          <w:b/>
          <w:bCs/>
          <w:sz w:val="22"/>
          <w:szCs w:val="22"/>
          <w:lang w:val="lv-LV"/>
        </w:rPr>
        <w:t>6</w:t>
      </w:r>
      <w:r w:rsidR="005979E2" w:rsidRPr="00FD0D0B">
        <w:rPr>
          <w:rFonts w:ascii="Times New Roman" w:hAnsi="Times New Roman" w:cs="Times New Roman"/>
          <w:b/>
          <w:bCs/>
          <w:sz w:val="22"/>
          <w:szCs w:val="22"/>
          <w:lang w:val="lv-LV"/>
        </w:rPr>
        <w:t> 641,87</w:t>
      </w:r>
      <w:r w:rsidR="005979E2" w:rsidRPr="00FD0D0B">
        <w:rPr>
          <w:rFonts w:ascii="Times New Roman" w:hAnsi="Times New Roman" w:cs="Times New Roman"/>
          <w:sz w:val="22"/>
          <w:szCs w:val="22"/>
          <w:lang w:val="lv-LV"/>
        </w:rPr>
        <w:t xml:space="preserve"> </w:t>
      </w:r>
      <w:r w:rsidR="009B4E62" w:rsidRPr="00FD0D0B">
        <w:rPr>
          <w:rFonts w:ascii="Times New Roman" w:hAnsi="Times New Roman" w:cs="Times New Roman"/>
          <w:sz w:val="22"/>
          <w:szCs w:val="22"/>
          <w:lang w:val="lv-LV"/>
        </w:rPr>
        <w:t>(</w:t>
      </w:r>
      <w:r w:rsidR="008E00BC" w:rsidRPr="00FD0D0B">
        <w:rPr>
          <w:rFonts w:ascii="Times New Roman" w:hAnsi="Times New Roman" w:cs="Times New Roman"/>
          <w:sz w:val="22"/>
          <w:szCs w:val="22"/>
          <w:lang w:val="lv-LV"/>
        </w:rPr>
        <w:t>2024.gadā EUR 646 939,45,</w:t>
      </w:r>
      <w:r w:rsidR="00AB0216" w:rsidRPr="00FD0D0B">
        <w:rPr>
          <w:rFonts w:ascii="Times New Roman" w:hAnsi="Times New Roman" w:cs="Times New Roman"/>
          <w:sz w:val="22"/>
          <w:szCs w:val="22"/>
          <w:lang w:val="lv-LV"/>
        </w:rPr>
        <w:t xml:space="preserve"> </w:t>
      </w:r>
      <w:r w:rsidR="009B4E62" w:rsidRPr="00FD0D0B">
        <w:rPr>
          <w:rFonts w:ascii="Times New Roman" w:hAnsi="Times New Roman" w:cs="Times New Roman"/>
          <w:sz w:val="22"/>
          <w:szCs w:val="22"/>
          <w:lang w:val="lv-LV"/>
        </w:rPr>
        <w:t>2023. gadā –  EUR 2 367.73)</w:t>
      </w:r>
      <w:r w:rsidR="0087277B" w:rsidRPr="00FD0D0B">
        <w:rPr>
          <w:rFonts w:ascii="Times New Roman" w:hAnsi="Times New Roman" w:cs="Times New Roman"/>
          <w:sz w:val="22"/>
          <w:szCs w:val="22"/>
          <w:lang w:val="lv-LV"/>
        </w:rPr>
        <w:t xml:space="preserve">. </w:t>
      </w:r>
      <w:r w:rsidR="0087277B" w:rsidRPr="00FD0D0B">
        <w:rPr>
          <w:rFonts w:ascii="Times New Roman" w:hAnsi="Times New Roman" w:cs="Times New Roman"/>
          <w:b/>
          <w:bCs/>
          <w:sz w:val="22"/>
          <w:szCs w:val="22"/>
          <w:lang w:val="lv-LV"/>
        </w:rPr>
        <w:t>N</w:t>
      </w:r>
      <w:r w:rsidR="009B4E62" w:rsidRPr="00FD0D0B">
        <w:rPr>
          <w:rFonts w:ascii="Times New Roman" w:hAnsi="Times New Roman" w:cs="Times New Roman"/>
          <w:b/>
          <w:bCs/>
          <w:sz w:val="22"/>
          <w:szCs w:val="22"/>
          <w:lang w:val="lv-LV"/>
        </w:rPr>
        <w:t>eatbilstību summas īpatsvars pret kopējiem attiecināmajiem izdevumiem ir 0.1</w:t>
      </w:r>
      <w:r w:rsidR="00DE1A5C" w:rsidRPr="00FD0D0B">
        <w:rPr>
          <w:rFonts w:ascii="Times New Roman" w:hAnsi="Times New Roman" w:cs="Times New Roman"/>
          <w:b/>
          <w:bCs/>
          <w:sz w:val="22"/>
          <w:szCs w:val="22"/>
          <w:lang w:val="lv-LV"/>
        </w:rPr>
        <w:t>7</w:t>
      </w:r>
      <w:r w:rsidR="009B4E62" w:rsidRPr="00FD0D0B">
        <w:rPr>
          <w:rFonts w:ascii="Times New Roman" w:hAnsi="Times New Roman" w:cs="Times New Roman"/>
          <w:b/>
          <w:bCs/>
          <w:sz w:val="22"/>
          <w:szCs w:val="22"/>
          <w:lang w:val="lv-LV"/>
        </w:rPr>
        <w:t xml:space="preserve"> %</w:t>
      </w:r>
      <w:r w:rsidR="009B4E62" w:rsidRPr="00FD0D0B">
        <w:rPr>
          <w:rFonts w:ascii="Times New Roman" w:hAnsi="Times New Roman" w:cs="Times New Roman"/>
          <w:sz w:val="22"/>
          <w:szCs w:val="22"/>
          <w:lang w:val="lv-LV"/>
        </w:rPr>
        <w:t xml:space="preserve"> (</w:t>
      </w:r>
      <w:r w:rsidR="00DE1A5C" w:rsidRPr="00FD0D0B">
        <w:rPr>
          <w:rFonts w:ascii="Times New Roman" w:hAnsi="Times New Roman" w:cs="Times New Roman"/>
          <w:sz w:val="22"/>
          <w:szCs w:val="22"/>
          <w:lang w:val="lv-LV"/>
        </w:rPr>
        <w:t xml:space="preserve">2024. gadā – 0.10% </w:t>
      </w:r>
      <w:r w:rsidR="009B4E62" w:rsidRPr="00FD0D0B">
        <w:rPr>
          <w:rFonts w:ascii="Times New Roman" w:hAnsi="Times New Roman" w:cs="Times New Roman"/>
          <w:sz w:val="22"/>
          <w:szCs w:val="22"/>
          <w:lang w:val="lv-LV"/>
        </w:rPr>
        <w:t>2023. gadā –  0.0007%)</w:t>
      </w:r>
      <w:r w:rsidR="006C474C" w:rsidRPr="00FD0D0B">
        <w:rPr>
          <w:rFonts w:ascii="Times New Roman" w:hAnsi="Times New Roman" w:cs="Times New Roman"/>
          <w:sz w:val="22"/>
          <w:szCs w:val="22"/>
          <w:lang w:val="lv-LV"/>
        </w:rPr>
        <w:t xml:space="preserve"> (detali</w:t>
      </w:r>
      <w:r w:rsidR="00182E54" w:rsidRPr="00FD0D0B">
        <w:rPr>
          <w:rFonts w:ascii="Times New Roman" w:hAnsi="Times New Roman" w:cs="Times New Roman"/>
          <w:sz w:val="22"/>
          <w:szCs w:val="22"/>
          <w:lang w:val="lv-LV"/>
        </w:rPr>
        <w:t>z</w:t>
      </w:r>
      <w:r w:rsidR="006C474C" w:rsidRPr="00FD0D0B">
        <w:rPr>
          <w:rFonts w:ascii="Times New Roman" w:hAnsi="Times New Roman" w:cs="Times New Roman"/>
          <w:sz w:val="22"/>
          <w:szCs w:val="22"/>
          <w:lang w:val="lv-LV"/>
        </w:rPr>
        <w:t xml:space="preserve">ētu </w:t>
      </w:r>
      <w:r w:rsidR="007802C1" w:rsidRPr="00FD0D0B">
        <w:rPr>
          <w:rFonts w:ascii="Times New Roman" w:hAnsi="Times New Roman" w:cs="Times New Roman"/>
          <w:sz w:val="22"/>
          <w:szCs w:val="22"/>
          <w:lang w:val="lv-LV"/>
        </w:rPr>
        <w:t xml:space="preserve">statistisko </w:t>
      </w:r>
      <w:r w:rsidR="006C474C" w:rsidRPr="00FD0D0B">
        <w:rPr>
          <w:rFonts w:ascii="Times New Roman" w:hAnsi="Times New Roman" w:cs="Times New Roman"/>
          <w:sz w:val="22"/>
          <w:szCs w:val="22"/>
          <w:lang w:val="lv-LV"/>
        </w:rPr>
        <w:t>pārskatu skatīt</w:t>
      </w:r>
      <w:r w:rsidR="00182E54" w:rsidRPr="00FD0D0B">
        <w:rPr>
          <w:rFonts w:ascii="Times New Roman" w:hAnsi="Times New Roman" w:cs="Times New Roman"/>
          <w:sz w:val="22"/>
          <w:szCs w:val="22"/>
          <w:lang w:val="lv-LV"/>
        </w:rPr>
        <w:t xml:space="preserve"> </w:t>
      </w:r>
      <w:r w:rsidR="00182E54" w:rsidRPr="0077701B">
        <w:rPr>
          <w:rFonts w:ascii="Times New Roman" w:hAnsi="Times New Roman" w:cs="Times New Roman"/>
          <w:sz w:val="22"/>
          <w:szCs w:val="22"/>
          <w:lang w:val="lv-LV"/>
        </w:rPr>
        <w:t>2.pielikumā)</w:t>
      </w:r>
      <w:r w:rsidR="0077701B">
        <w:rPr>
          <w:rFonts w:ascii="Times New Roman" w:hAnsi="Times New Roman" w:cs="Times New Roman"/>
          <w:sz w:val="22"/>
          <w:szCs w:val="22"/>
          <w:lang w:val="lv-LV"/>
        </w:rPr>
        <w:t>.</w:t>
      </w:r>
      <w:r w:rsidR="009B4E62" w:rsidRPr="00FD0D0B">
        <w:rPr>
          <w:rFonts w:ascii="Times New Roman" w:hAnsi="Times New Roman" w:cs="Times New Roman"/>
          <w:sz w:val="22"/>
          <w:szCs w:val="22"/>
          <w:lang w:val="lv-LV"/>
        </w:rPr>
        <w:t xml:space="preserve"> Neatbilstību skaita un summas kāpums izskaidrojams ar plānošanas perioda aktīvāku ieviešanu, līdz ar to  pieaugot arī neatbilstību apjomam, kas atklāts veicot ES fondu uzraudzību.</w:t>
      </w:r>
    </w:p>
    <w:p w14:paraId="4BD9F7AB" w14:textId="2D866108" w:rsidR="003A2F92" w:rsidRDefault="009B4E62" w:rsidP="00E64EEE">
      <w:pPr>
        <w:ind w:left="-851" w:right="-766" w:firstLine="851"/>
        <w:contextualSpacing/>
        <w:rPr>
          <w:rFonts w:ascii="Times New Roman" w:hAnsi="Times New Roman" w:cs="Times New Roman"/>
          <w:sz w:val="22"/>
          <w:szCs w:val="22"/>
          <w:lang w:val="lv-LV"/>
        </w:rPr>
      </w:pPr>
      <w:r w:rsidRPr="00FD0D0B">
        <w:rPr>
          <w:rFonts w:ascii="Times New Roman" w:hAnsi="Times New Roman" w:cs="Times New Roman"/>
          <w:sz w:val="22"/>
          <w:szCs w:val="22"/>
          <w:lang w:val="lv-LV"/>
        </w:rPr>
        <w:t>Izvērtējot neatbilstības sadalījumā pa ES fondiem 202</w:t>
      </w:r>
      <w:r w:rsidR="00DC3D9C" w:rsidRPr="00FD0D0B">
        <w:rPr>
          <w:rFonts w:ascii="Times New Roman" w:hAnsi="Times New Roman" w:cs="Times New Roman"/>
          <w:sz w:val="22"/>
          <w:szCs w:val="22"/>
          <w:lang w:val="lv-LV"/>
        </w:rPr>
        <w:t>5</w:t>
      </w:r>
      <w:r w:rsidRPr="00FD0D0B">
        <w:rPr>
          <w:rFonts w:ascii="Times New Roman" w:hAnsi="Times New Roman" w:cs="Times New Roman"/>
          <w:sz w:val="22"/>
          <w:szCs w:val="22"/>
          <w:lang w:val="lv-LV"/>
        </w:rPr>
        <w:t xml:space="preserve">. gadā </w:t>
      </w:r>
      <w:r w:rsidRPr="00290485">
        <w:rPr>
          <w:rFonts w:ascii="Times New Roman" w:hAnsi="Times New Roman" w:cs="Times New Roman"/>
          <w:sz w:val="22"/>
          <w:szCs w:val="22"/>
          <w:lang w:val="lv-LV"/>
        </w:rPr>
        <w:t>(</w:t>
      </w:r>
      <w:r w:rsidR="00D712CB">
        <w:rPr>
          <w:rFonts w:ascii="Times New Roman" w:hAnsi="Times New Roman" w:cs="Times New Roman"/>
          <w:sz w:val="22"/>
          <w:szCs w:val="22"/>
          <w:lang w:val="lv-LV"/>
        </w:rPr>
        <w:t xml:space="preserve">skatīt </w:t>
      </w:r>
      <w:r w:rsidRPr="00290485">
        <w:rPr>
          <w:rFonts w:ascii="Times New Roman" w:hAnsi="Times New Roman" w:cs="Times New Roman"/>
          <w:sz w:val="22"/>
          <w:szCs w:val="22"/>
          <w:lang w:val="lv-LV"/>
        </w:rPr>
        <w:t>attēl</w:t>
      </w:r>
      <w:r w:rsidR="00D712CB">
        <w:rPr>
          <w:rFonts w:ascii="Times New Roman" w:hAnsi="Times New Roman" w:cs="Times New Roman"/>
          <w:sz w:val="22"/>
          <w:szCs w:val="22"/>
          <w:lang w:val="lv-LV"/>
        </w:rPr>
        <w:t>u</w:t>
      </w:r>
      <w:r w:rsidRPr="00290485">
        <w:rPr>
          <w:rFonts w:ascii="Times New Roman" w:hAnsi="Times New Roman" w:cs="Times New Roman"/>
          <w:sz w:val="22"/>
          <w:szCs w:val="22"/>
          <w:lang w:val="lv-LV"/>
        </w:rPr>
        <w:t xml:space="preserve"> Nr.</w:t>
      </w:r>
      <w:r w:rsidR="00290485" w:rsidRPr="00290485">
        <w:rPr>
          <w:rFonts w:ascii="Times New Roman" w:hAnsi="Times New Roman" w:cs="Times New Roman"/>
          <w:sz w:val="22"/>
          <w:szCs w:val="22"/>
          <w:lang w:val="lv-LV"/>
        </w:rPr>
        <w:t>1</w:t>
      </w:r>
      <w:r w:rsidRPr="00290485">
        <w:rPr>
          <w:rFonts w:ascii="Times New Roman" w:hAnsi="Times New Roman" w:cs="Times New Roman"/>
          <w:sz w:val="22"/>
          <w:szCs w:val="22"/>
          <w:lang w:val="lv-LV"/>
        </w:rPr>
        <w:t>),</w:t>
      </w:r>
      <w:r w:rsidRPr="00FD0D0B">
        <w:rPr>
          <w:rFonts w:ascii="Times New Roman" w:hAnsi="Times New Roman" w:cs="Times New Roman"/>
          <w:sz w:val="22"/>
          <w:szCs w:val="22"/>
          <w:lang w:val="lv-LV"/>
        </w:rPr>
        <w:t xml:space="preserve"> konstatējams, ka </w:t>
      </w:r>
      <w:r w:rsidRPr="00FD0D0B">
        <w:rPr>
          <w:rFonts w:ascii="Times New Roman" w:hAnsi="Times New Roman" w:cs="Times New Roman"/>
          <w:b/>
          <w:bCs/>
          <w:sz w:val="22"/>
          <w:szCs w:val="22"/>
          <w:lang w:val="lv-LV"/>
        </w:rPr>
        <w:t>visvairāk neatbilstību</w:t>
      </w:r>
      <w:r w:rsidRPr="00FD0D0B">
        <w:rPr>
          <w:rFonts w:ascii="Times New Roman" w:hAnsi="Times New Roman" w:cs="Times New Roman"/>
          <w:sz w:val="22"/>
          <w:szCs w:val="22"/>
          <w:lang w:val="lv-LV"/>
        </w:rPr>
        <w:t xml:space="preserve"> </w:t>
      </w:r>
      <w:r w:rsidR="006D715B" w:rsidRPr="00FD0D0B">
        <w:rPr>
          <w:rFonts w:ascii="Times New Roman" w:hAnsi="Times New Roman" w:cs="Times New Roman"/>
          <w:sz w:val="22"/>
          <w:szCs w:val="22"/>
          <w:lang w:val="lv-LV"/>
        </w:rPr>
        <w:t xml:space="preserve">līdzīgi kā 2024.gadā </w:t>
      </w:r>
      <w:r w:rsidRPr="00FD0D0B">
        <w:rPr>
          <w:rFonts w:ascii="Times New Roman" w:hAnsi="Times New Roman" w:cs="Times New Roman"/>
          <w:sz w:val="22"/>
          <w:szCs w:val="22"/>
          <w:lang w:val="lv-LV"/>
        </w:rPr>
        <w:t xml:space="preserve">tika atklātas </w:t>
      </w:r>
      <w:r w:rsidRPr="00FD0D0B">
        <w:rPr>
          <w:rFonts w:ascii="Times New Roman" w:hAnsi="Times New Roman" w:cs="Times New Roman"/>
          <w:b/>
          <w:bCs/>
          <w:sz w:val="22"/>
          <w:szCs w:val="22"/>
          <w:lang w:val="lv-LV"/>
        </w:rPr>
        <w:t>ELGF (</w:t>
      </w:r>
      <w:r w:rsidR="00292481" w:rsidRPr="00FD0D0B">
        <w:rPr>
          <w:rFonts w:ascii="Times New Roman" w:hAnsi="Times New Roman" w:cs="Times New Roman"/>
          <w:b/>
          <w:bCs/>
          <w:sz w:val="22"/>
          <w:szCs w:val="22"/>
          <w:lang w:val="lv-LV"/>
        </w:rPr>
        <w:t>3073</w:t>
      </w:r>
      <w:r w:rsidRPr="00FD0D0B">
        <w:rPr>
          <w:rFonts w:ascii="Times New Roman" w:hAnsi="Times New Roman" w:cs="Times New Roman"/>
          <w:b/>
          <w:bCs/>
          <w:sz w:val="22"/>
          <w:szCs w:val="22"/>
          <w:lang w:val="lv-LV"/>
        </w:rPr>
        <w:t xml:space="preserve"> neatbilstības jeb </w:t>
      </w:r>
      <w:r w:rsidR="00455ED4" w:rsidRPr="00FD0D0B">
        <w:rPr>
          <w:rFonts w:ascii="Times New Roman" w:hAnsi="Times New Roman" w:cs="Times New Roman"/>
          <w:b/>
          <w:bCs/>
          <w:sz w:val="22"/>
          <w:szCs w:val="22"/>
          <w:lang w:val="lv-LV"/>
        </w:rPr>
        <w:t>83</w:t>
      </w:r>
      <w:r w:rsidRPr="00FD0D0B">
        <w:rPr>
          <w:rFonts w:ascii="Times New Roman" w:hAnsi="Times New Roman" w:cs="Times New Roman"/>
          <w:b/>
          <w:bCs/>
          <w:sz w:val="22"/>
          <w:szCs w:val="22"/>
          <w:lang w:val="lv-LV"/>
        </w:rPr>
        <w:t xml:space="preserve"> % pret kopējo </w:t>
      </w:r>
      <w:r w:rsidR="007802C1" w:rsidRPr="00FD0D0B">
        <w:rPr>
          <w:rFonts w:ascii="Times New Roman" w:hAnsi="Times New Roman" w:cs="Times New Roman"/>
          <w:b/>
          <w:bCs/>
          <w:sz w:val="22"/>
          <w:szCs w:val="22"/>
          <w:lang w:val="lv-LV"/>
        </w:rPr>
        <w:t xml:space="preserve">neatbilstību </w:t>
      </w:r>
      <w:r w:rsidRPr="00FD0D0B">
        <w:rPr>
          <w:rFonts w:ascii="Times New Roman" w:hAnsi="Times New Roman" w:cs="Times New Roman"/>
          <w:b/>
          <w:bCs/>
          <w:sz w:val="22"/>
          <w:szCs w:val="22"/>
          <w:lang w:val="lv-LV"/>
        </w:rPr>
        <w:t>skaitu</w:t>
      </w:r>
      <w:r w:rsidR="00455ED4" w:rsidRPr="00FD0D0B">
        <w:rPr>
          <w:rFonts w:ascii="Times New Roman" w:hAnsi="Times New Roman" w:cs="Times New Roman"/>
          <w:b/>
          <w:bCs/>
          <w:sz w:val="22"/>
          <w:szCs w:val="22"/>
          <w:lang w:val="lv-LV"/>
        </w:rPr>
        <w:t>; EUR 1 237 860 jeb 51% pret kopējo neatbilstību summu</w:t>
      </w:r>
      <w:r w:rsidRPr="00FD0D0B">
        <w:rPr>
          <w:rFonts w:ascii="Times New Roman" w:hAnsi="Times New Roman" w:cs="Times New Roman"/>
          <w:b/>
          <w:bCs/>
          <w:sz w:val="22"/>
          <w:szCs w:val="22"/>
          <w:lang w:val="lv-LV"/>
        </w:rPr>
        <w:t>)</w:t>
      </w:r>
      <w:r w:rsidR="006D715B" w:rsidRPr="00FD0D0B">
        <w:rPr>
          <w:rFonts w:ascii="Times New Roman" w:hAnsi="Times New Roman" w:cs="Times New Roman"/>
          <w:b/>
          <w:bCs/>
          <w:sz w:val="22"/>
          <w:szCs w:val="22"/>
          <w:lang w:val="lv-LV"/>
        </w:rPr>
        <w:t>,</w:t>
      </w:r>
      <w:r w:rsidR="006D715B" w:rsidRPr="00FD0D0B">
        <w:rPr>
          <w:rFonts w:ascii="Times New Roman" w:hAnsi="Times New Roman" w:cs="Times New Roman"/>
          <w:sz w:val="22"/>
          <w:szCs w:val="22"/>
          <w:lang w:val="lv-LV"/>
        </w:rPr>
        <w:t xml:space="preserve"> </w:t>
      </w:r>
      <w:r w:rsidRPr="00FD0D0B">
        <w:rPr>
          <w:rFonts w:ascii="Times New Roman" w:hAnsi="Times New Roman" w:cs="Times New Roman"/>
          <w:sz w:val="22"/>
          <w:szCs w:val="22"/>
          <w:lang w:val="lv-LV"/>
        </w:rPr>
        <w:t>ELFLA (</w:t>
      </w:r>
      <w:r w:rsidR="00411637" w:rsidRPr="00FD0D0B">
        <w:rPr>
          <w:rFonts w:ascii="Times New Roman" w:hAnsi="Times New Roman" w:cs="Times New Roman"/>
          <w:sz w:val="22"/>
          <w:szCs w:val="22"/>
          <w:lang w:val="lv-LV"/>
        </w:rPr>
        <w:t xml:space="preserve">551 neatbilstības jeb </w:t>
      </w:r>
      <w:r w:rsidR="00925C6F" w:rsidRPr="00FD0D0B">
        <w:rPr>
          <w:rFonts w:ascii="Times New Roman" w:hAnsi="Times New Roman" w:cs="Times New Roman"/>
          <w:sz w:val="22"/>
          <w:szCs w:val="22"/>
          <w:lang w:val="lv-LV"/>
        </w:rPr>
        <w:t>15</w:t>
      </w:r>
      <w:r w:rsidR="00411637" w:rsidRPr="00FD0D0B">
        <w:rPr>
          <w:rFonts w:ascii="Times New Roman" w:hAnsi="Times New Roman" w:cs="Times New Roman"/>
          <w:sz w:val="22"/>
          <w:szCs w:val="22"/>
          <w:lang w:val="lv-LV"/>
        </w:rPr>
        <w:t xml:space="preserve"> % pret kopējo skaitu; EUR </w:t>
      </w:r>
      <w:r w:rsidR="00925C6F" w:rsidRPr="00FD0D0B">
        <w:rPr>
          <w:rFonts w:ascii="Times New Roman" w:hAnsi="Times New Roman" w:cs="Times New Roman"/>
          <w:sz w:val="22"/>
          <w:szCs w:val="22"/>
          <w:lang w:val="lv-LV"/>
        </w:rPr>
        <w:t>494 132 jeb</w:t>
      </w:r>
      <w:r w:rsidR="00411637" w:rsidRPr="00FD0D0B">
        <w:rPr>
          <w:rFonts w:ascii="Times New Roman" w:hAnsi="Times New Roman" w:cs="Times New Roman"/>
          <w:sz w:val="22"/>
          <w:szCs w:val="22"/>
          <w:lang w:val="lv-LV"/>
        </w:rPr>
        <w:t xml:space="preserve"> </w:t>
      </w:r>
      <w:r w:rsidR="00C53331" w:rsidRPr="00FD0D0B">
        <w:rPr>
          <w:rFonts w:ascii="Times New Roman" w:hAnsi="Times New Roman" w:cs="Times New Roman"/>
          <w:sz w:val="22"/>
          <w:szCs w:val="22"/>
          <w:lang w:val="lv-LV"/>
        </w:rPr>
        <w:t>21</w:t>
      </w:r>
      <w:r w:rsidR="00411637" w:rsidRPr="00FD0D0B">
        <w:rPr>
          <w:rFonts w:ascii="Times New Roman" w:hAnsi="Times New Roman" w:cs="Times New Roman"/>
          <w:sz w:val="22"/>
          <w:szCs w:val="22"/>
          <w:lang w:val="lv-LV"/>
        </w:rPr>
        <w:t>% pret kopējo neatbilstību summu</w:t>
      </w:r>
      <w:r w:rsidRPr="00FD0D0B">
        <w:rPr>
          <w:rFonts w:ascii="Times New Roman" w:hAnsi="Times New Roman" w:cs="Times New Roman"/>
          <w:sz w:val="22"/>
          <w:szCs w:val="22"/>
          <w:lang w:val="lv-LV"/>
        </w:rPr>
        <w:t>)</w:t>
      </w:r>
      <w:r w:rsidR="006D715B" w:rsidRPr="00FD0D0B">
        <w:rPr>
          <w:rFonts w:ascii="Times New Roman" w:hAnsi="Times New Roman" w:cs="Times New Roman"/>
          <w:sz w:val="22"/>
          <w:szCs w:val="22"/>
          <w:lang w:val="lv-LV"/>
        </w:rPr>
        <w:t xml:space="preserve"> un </w:t>
      </w:r>
      <w:r w:rsidR="0057644C" w:rsidRPr="00FD0D0B">
        <w:rPr>
          <w:rFonts w:ascii="Times New Roman" w:hAnsi="Times New Roman" w:cs="Times New Roman"/>
          <w:sz w:val="22"/>
          <w:szCs w:val="22"/>
          <w:lang w:val="lv-LV"/>
        </w:rPr>
        <w:t>EJZAF</w:t>
      </w:r>
      <w:r w:rsidR="006D715B" w:rsidRPr="00FD0D0B">
        <w:rPr>
          <w:rFonts w:ascii="Times New Roman" w:hAnsi="Times New Roman" w:cs="Times New Roman"/>
          <w:sz w:val="22"/>
          <w:szCs w:val="22"/>
          <w:lang w:val="lv-LV"/>
        </w:rPr>
        <w:t xml:space="preserve"> ( 5 neatbilstības; EUR </w:t>
      </w:r>
      <w:r w:rsidR="0057644C" w:rsidRPr="00FD0D0B">
        <w:rPr>
          <w:rFonts w:ascii="Times New Roman" w:hAnsi="Times New Roman" w:cs="Times New Roman"/>
          <w:sz w:val="22"/>
          <w:szCs w:val="22"/>
          <w:lang w:val="lv-LV"/>
        </w:rPr>
        <w:t>240 225</w:t>
      </w:r>
      <w:r w:rsidR="006D715B" w:rsidRPr="00FD0D0B">
        <w:rPr>
          <w:rFonts w:ascii="Times New Roman" w:hAnsi="Times New Roman" w:cs="Times New Roman"/>
          <w:sz w:val="22"/>
          <w:szCs w:val="22"/>
          <w:lang w:val="lv-LV"/>
        </w:rPr>
        <w:t xml:space="preserve"> jeb </w:t>
      </w:r>
      <w:r w:rsidR="007D3FDD" w:rsidRPr="00FD0D0B">
        <w:rPr>
          <w:rFonts w:ascii="Times New Roman" w:hAnsi="Times New Roman" w:cs="Times New Roman"/>
          <w:sz w:val="22"/>
          <w:szCs w:val="22"/>
          <w:lang w:val="lv-LV"/>
        </w:rPr>
        <w:t xml:space="preserve">10 </w:t>
      </w:r>
      <w:r w:rsidR="006D715B" w:rsidRPr="00FD0D0B">
        <w:rPr>
          <w:rFonts w:ascii="Times New Roman" w:hAnsi="Times New Roman" w:cs="Times New Roman"/>
          <w:sz w:val="22"/>
          <w:szCs w:val="22"/>
          <w:lang w:val="lv-LV"/>
        </w:rPr>
        <w:t>% pret kopējo neatbilstību summu)</w:t>
      </w:r>
      <w:r w:rsidRPr="00FD0D0B">
        <w:rPr>
          <w:rFonts w:ascii="Times New Roman" w:hAnsi="Times New Roman" w:cs="Times New Roman"/>
          <w:sz w:val="22"/>
          <w:szCs w:val="22"/>
          <w:lang w:val="lv-LV"/>
        </w:rPr>
        <w:t xml:space="preserve">. </w:t>
      </w:r>
      <w:r w:rsidR="00C35E74">
        <w:rPr>
          <w:rFonts w:ascii="Times New Roman" w:hAnsi="Times New Roman" w:cs="Times New Roman"/>
          <w:sz w:val="22"/>
          <w:szCs w:val="22"/>
          <w:lang w:val="lv-LV"/>
        </w:rPr>
        <w:t>Daļēji tas skaidrojams arī ar to, ka ELGF, ELFLA un EJZAF projektu ieviešana tika uzsākta agrāk nekā Struktūrfondu un Kohēzijas fonda ieviešana, kuros tradicionāli ir lielāki projekti, līdz ar to lielākas neatbilstības.</w:t>
      </w:r>
    </w:p>
    <w:p w14:paraId="59601891" w14:textId="77777777" w:rsidR="001473C3" w:rsidRPr="00FD0D0B" w:rsidRDefault="001473C3" w:rsidP="001473C3">
      <w:pPr>
        <w:ind w:left="-142" w:right="-766" w:firstLine="0"/>
        <w:contextualSpacing/>
        <w:rPr>
          <w:rFonts w:ascii="Times New Roman" w:hAnsi="Times New Roman" w:cs="Times New Roman"/>
          <w:sz w:val="22"/>
          <w:szCs w:val="22"/>
          <w:lang w:val="lv-LV"/>
        </w:rPr>
      </w:pPr>
    </w:p>
    <w:p w14:paraId="272691E6" w14:textId="34530A38" w:rsidR="005149FD" w:rsidRPr="00290485" w:rsidRDefault="00D11B6D" w:rsidP="001473C3">
      <w:pPr>
        <w:ind w:left="-284" w:right="-766" w:firstLine="0"/>
        <w:contextualSpacing/>
        <w:rPr>
          <w:rFonts w:ascii="Times New Roman" w:hAnsi="Times New Roman" w:cs="Times New Roman"/>
          <w:i/>
          <w:iCs/>
          <w:noProof/>
          <w:sz w:val="20"/>
          <w:szCs w:val="20"/>
          <w:lang w:val="lv-LV"/>
        </w:rPr>
      </w:pPr>
      <w:r w:rsidRPr="00290485">
        <w:rPr>
          <w:rFonts w:ascii="Times New Roman" w:hAnsi="Times New Roman" w:cs="Times New Roman"/>
          <w:i/>
          <w:iCs/>
          <w:sz w:val="20"/>
          <w:szCs w:val="20"/>
          <w:lang w:val="lv-LV"/>
        </w:rPr>
        <w:t>Attēls Nr.</w:t>
      </w:r>
      <w:r w:rsidR="00290485" w:rsidRPr="00290485">
        <w:rPr>
          <w:rFonts w:ascii="Times New Roman" w:hAnsi="Times New Roman" w:cs="Times New Roman"/>
          <w:i/>
          <w:iCs/>
          <w:sz w:val="20"/>
          <w:szCs w:val="20"/>
          <w:lang w:val="lv-LV"/>
        </w:rPr>
        <w:t>1</w:t>
      </w:r>
      <w:r w:rsidRPr="002C26ED">
        <w:rPr>
          <w:i/>
          <w:iCs/>
          <w:sz w:val="20"/>
          <w:szCs w:val="20"/>
          <w:lang w:val="lv-LV"/>
        </w:rPr>
        <w:t xml:space="preserve"> </w:t>
      </w:r>
      <w:r w:rsidRPr="00290485">
        <w:rPr>
          <w:rFonts w:ascii="Times New Roman" w:hAnsi="Times New Roman" w:cs="Times New Roman"/>
          <w:i/>
          <w:iCs/>
          <w:sz w:val="20"/>
          <w:szCs w:val="20"/>
          <w:lang w:val="lv-LV"/>
        </w:rPr>
        <w:t>Neatbilstību skaits un summas 2021.-2027. gada plānošanas periodā 2025. gadā sadalījumā</w:t>
      </w:r>
      <w:r w:rsidR="005149FD" w:rsidRPr="00290485">
        <w:rPr>
          <w:rFonts w:ascii="Times New Roman" w:hAnsi="Times New Roman" w:cs="Times New Roman"/>
          <w:i/>
          <w:iCs/>
          <w:sz w:val="20"/>
          <w:szCs w:val="20"/>
          <w:lang w:val="lv-LV"/>
        </w:rPr>
        <w:t xml:space="preserve"> pa fondiem</w:t>
      </w:r>
    </w:p>
    <w:p w14:paraId="6465745B" w14:textId="0BEEBBF0" w:rsidR="005149FD" w:rsidRDefault="00291712" w:rsidP="00C14671">
      <w:pPr>
        <w:ind w:left="-851" w:right="-766" w:firstLine="0"/>
        <w:contextualSpacing/>
        <w:jc w:val="center"/>
        <w:rPr>
          <w:rFonts w:ascii="Times New Roman" w:hAnsi="Times New Roman" w:cs="Times New Roman"/>
          <w:noProof/>
          <w:highlight w:val="yellow"/>
          <w:lang w:val="lv-LV"/>
        </w:rPr>
      </w:pPr>
      <w:r>
        <w:rPr>
          <w:rFonts w:ascii="Times New Roman" w:hAnsi="Times New Roman" w:cs="Times New Roman"/>
          <w:noProof/>
          <w:highlight w:val="yellow"/>
          <w:lang w:val="lv-LV"/>
        </w:rPr>
        <w:drawing>
          <wp:inline distT="0" distB="0" distL="0" distR="0" wp14:anchorId="25CC0120" wp14:editId="5F5B2B5B">
            <wp:extent cx="5971964" cy="2799460"/>
            <wp:effectExtent l="0" t="0" r="0" b="1270"/>
            <wp:docPr id="17741312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64758" cy="2842959"/>
                    </a:xfrm>
                    <a:prstGeom prst="rect">
                      <a:avLst/>
                    </a:prstGeom>
                    <a:noFill/>
                  </pic:spPr>
                </pic:pic>
              </a:graphicData>
            </a:graphic>
          </wp:inline>
        </w:drawing>
      </w:r>
    </w:p>
    <w:p w14:paraId="4B07C7CA" w14:textId="5F88624A" w:rsidR="00D11B6D" w:rsidRDefault="00D11B6D" w:rsidP="00D11B6D">
      <w:pPr>
        <w:ind w:left="-851" w:right="-766" w:firstLine="0"/>
        <w:contextualSpacing/>
        <w:jc w:val="right"/>
        <w:rPr>
          <w:rFonts w:ascii="Times New Roman" w:hAnsi="Times New Roman" w:cs="Times New Roman"/>
          <w:lang w:val="lv-LV"/>
        </w:rPr>
      </w:pPr>
    </w:p>
    <w:p w14:paraId="5AE8E043" w14:textId="174E62A3" w:rsidR="00FD0D0B" w:rsidRPr="00FD0D0B" w:rsidRDefault="00FD0D0B" w:rsidP="00FD0D0B">
      <w:pPr>
        <w:ind w:left="-851" w:right="-766" w:firstLine="851"/>
        <w:contextualSpacing/>
        <w:rPr>
          <w:rFonts w:ascii="Times New Roman" w:hAnsi="Times New Roman" w:cs="Times New Roman"/>
          <w:sz w:val="22"/>
          <w:szCs w:val="22"/>
          <w:lang w:val="lv-LV"/>
        </w:rPr>
      </w:pPr>
      <w:r w:rsidRPr="00FD0D0B">
        <w:rPr>
          <w:rFonts w:ascii="Times New Roman" w:hAnsi="Times New Roman" w:cs="Times New Roman"/>
          <w:sz w:val="22"/>
          <w:szCs w:val="22"/>
          <w:lang w:val="lv-LV"/>
        </w:rPr>
        <w:t>Lai ar</w:t>
      </w:r>
      <w:r w:rsidR="004345F3">
        <w:rPr>
          <w:rFonts w:ascii="Times New Roman" w:hAnsi="Times New Roman" w:cs="Times New Roman"/>
          <w:sz w:val="22"/>
          <w:szCs w:val="22"/>
          <w:lang w:val="lv-LV"/>
        </w:rPr>
        <w:t>ī</w:t>
      </w:r>
      <w:r w:rsidRPr="00FD0D0B">
        <w:rPr>
          <w:rFonts w:ascii="Times New Roman" w:hAnsi="Times New Roman" w:cs="Times New Roman"/>
          <w:sz w:val="22"/>
          <w:szCs w:val="22"/>
          <w:lang w:val="lv-LV"/>
        </w:rPr>
        <w:t xml:space="preserve"> ELGF </w:t>
      </w:r>
      <w:r w:rsidR="004345F3">
        <w:rPr>
          <w:rFonts w:ascii="Times New Roman" w:hAnsi="Times New Roman" w:cs="Times New Roman"/>
          <w:sz w:val="22"/>
          <w:szCs w:val="22"/>
          <w:lang w:val="lv-LV"/>
        </w:rPr>
        <w:t xml:space="preserve">un </w:t>
      </w:r>
      <w:r w:rsidRPr="00FD0D0B">
        <w:rPr>
          <w:rFonts w:ascii="Times New Roman" w:hAnsi="Times New Roman" w:cs="Times New Roman"/>
          <w:sz w:val="22"/>
          <w:szCs w:val="22"/>
          <w:lang w:val="lv-LV"/>
        </w:rPr>
        <w:t>ELFLA ietvaros vērojams būtiskākais neatbilstību apjoms, tomēr vidējais vienas neatbilstības apjoms</w:t>
      </w:r>
      <w:r w:rsidR="003B383E">
        <w:rPr>
          <w:rFonts w:ascii="Times New Roman" w:hAnsi="Times New Roman" w:cs="Times New Roman"/>
          <w:sz w:val="22"/>
          <w:szCs w:val="22"/>
          <w:lang w:val="lv-LV"/>
        </w:rPr>
        <w:t xml:space="preserve"> ir salīdzinoši</w:t>
      </w:r>
      <w:r w:rsidR="008D3829">
        <w:rPr>
          <w:rFonts w:ascii="Times New Roman" w:hAnsi="Times New Roman" w:cs="Times New Roman"/>
          <w:sz w:val="22"/>
          <w:szCs w:val="22"/>
          <w:lang w:val="lv-LV"/>
        </w:rPr>
        <w:t xml:space="preserve"> </w:t>
      </w:r>
      <w:r w:rsidR="0025352E">
        <w:rPr>
          <w:rFonts w:ascii="Times New Roman" w:hAnsi="Times New Roman" w:cs="Times New Roman"/>
          <w:sz w:val="22"/>
          <w:szCs w:val="22"/>
          <w:lang w:val="lv-LV"/>
        </w:rPr>
        <w:t xml:space="preserve">zems - </w:t>
      </w:r>
      <w:r w:rsidR="008D3829" w:rsidRPr="00FD0D0B">
        <w:rPr>
          <w:rFonts w:ascii="Times New Roman" w:hAnsi="Times New Roman" w:cs="Times New Roman"/>
          <w:sz w:val="22"/>
          <w:szCs w:val="22"/>
          <w:lang w:val="lv-LV"/>
        </w:rPr>
        <w:t xml:space="preserve">ELGF – EUR 403 (2024. gadā – </w:t>
      </w:r>
      <w:r w:rsidR="004266ED" w:rsidRPr="00FD0D0B">
        <w:rPr>
          <w:rFonts w:ascii="Times New Roman" w:hAnsi="Times New Roman" w:cs="Times New Roman"/>
          <w:sz w:val="22"/>
          <w:szCs w:val="22"/>
          <w:lang w:val="lv-LV"/>
        </w:rPr>
        <w:t xml:space="preserve">EUR </w:t>
      </w:r>
      <w:r w:rsidR="008D3829" w:rsidRPr="00FD0D0B">
        <w:rPr>
          <w:rFonts w:ascii="Times New Roman" w:hAnsi="Times New Roman" w:cs="Times New Roman"/>
          <w:sz w:val="22"/>
          <w:szCs w:val="22"/>
          <w:lang w:val="lv-LV"/>
        </w:rPr>
        <w:t>285)</w:t>
      </w:r>
      <w:r w:rsidR="008D3829">
        <w:rPr>
          <w:rFonts w:ascii="Times New Roman" w:hAnsi="Times New Roman" w:cs="Times New Roman"/>
          <w:sz w:val="22"/>
          <w:szCs w:val="22"/>
          <w:lang w:val="lv-LV"/>
        </w:rPr>
        <w:t>.</w:t>
      </w:r>
      <w:r w:rsidRPr="00FD0D0B">
        <w:rPr>
          <w:rFonts w:ascii="Times New Roman" w:hAnsi="Times New Roman" w:cs="Times New Roman"/>
          <w:sz w:val="22"/>
          <w:szCs w:val="22"/>
          <w:lang w:val="lv-LV"/>
        </w:rPr>
        <w:t xml:space="preserve"> ELFLA ietvaros veido EUR 897 eiro (2024. gadā - EUR 682), bet EJZAF ietvaros – EUR 48 045 eiro (2024. gadā – EUR 36 734) (fondā ir neliels atklāto neatbilstību skaits, bet projekti, ar plānotā mērķa vai sasniedzamā rādītāja neizpildi, ir finanšu ietilpīgi).</w:t>
      </w:r>
    </w:p>
    <w:p w14:paraId="3BDEA47B" w14:textId="238C429F" w:rsidR="00FD0D0B" w:rsidRPr="00D26B16" w:rsidRDefault="00FD0D0B" w:rsidP="00FD0D0B">
      <w:pPr>
        <w:ind w:left="-851" w:right="-766" w:firstLine="851"/>
        <w:contextualSpacing/>
        <w:rPr>
          <w:rFonts w:ascii="Times New Roman" w:hAnsi="Times New Roman" w:cs="Times New Roman"/>
          <w:sz w:val="22"/>
          <w:szCs w:val="22"/>
          <w:lang w:val="lv-LV"/>
        </w:rPr>
      </w:pPr>
      <w:r w:rsidRPr="00FD0D0B">
        <w:rPr>
          <w:rFonts w:ascii="Times New Roman" w:hAnsi="Times New Roman" w:cs="Times New Roman"/>
          <w:sz w:val="22"/>
          <w:szCs w:val="22"/>
          <w:lang w:val="lv-LV"/>
        </w:rPr>
        <w:lastRenderedPageBreak/>
        <w:t xml:space="preserve">Izvērtējot neatbilstību apjomus attiecībā pret 2025.gada attiecināmajiem izdevumiem, vērojams, ka lielākais neatbilstību apjoms konstatēts EJZAF – 0,84%, RPVP – 0,44% un ETS – 0,38% </w:t>
      </w:r>
      <w:r w:rsidRPr="00180A7F">
        <w:rPr>
          <w:rFonts w:ascii="Times New Roman" w:hAnsi="Times New Roman" w:cs="Times New Roman"/>
          <w:sz w:val="22"/>
          <w:szCs w:val="22"/>
          <w:lang w:val="lv-LV"/>
        </w:rPr>
        <w:t>(skatīt 2.pielikum</w:t>
      </w:r>
      <w:r w:rsidR="0087504C" w:rsidRPr="00180A7F">
        <w:rPr>
          <w:rFonts w:ascii="Times New Roman" w:hAnsi="Times New Roman" w:cs="Times New Roman"/>
          <w:sz w:val="22"/>
          <w:szCs w:val="22"/>
          <w:lang w:val="lv-LV"/>
        </w:rPr>
        <w:t>u</w:t>
      </w:r>
      <w:r w:rsidRPr="00180A7F">
        <w:rPr>
          <w:rFonts w:ascii="Times New Roman" w:hAnsi="Times New Roman" w:cs="Times New Roman"/>
          <w:sz w:val="22"/>
          <w:szCs w:val="22"/>
          <w:lang w:val="lv-LV"/>
        </w:rPr>
        <w:t>).</w:t>
      </w:r>
      <w:r w:rsidRPr="00FD0D0B">
        <w:rPr>
          <w:rFonts w:ascii="Times New Roman" w:hAnsi="Times New Roman" w:cs="Times New Roman"/>
          <w:sz w:val="22"/>
          <w:szCs w:val="22"/>
          <w:lang w:val="lv-LV"/>
        </w:rPr>
        <w:t xml:space="preserve"> </w:t>
      </w:r>
      <w:r w:rsidRPr="00FD0D0B">
        <w:rPr>
          <w:rFonts w:ascii="Times New Roman" w:hAnsi="Times New Roman" w:cs="Times New Roman"/>
          <w:b/>
          <w:bCs/>
          <w:sz w:val="22"/>
          <w:szCs w:val="22"/>
          <w:lang w:val="lv-LV"/>
        </w:rPr>
        <w:t>Analizējot iepriekšminēto, secināms, ka vadības un kontroles sistēma darbojas efektīvi, jo visos fondos neatbilstību īpatsvars ir ievērojami zem 2% būtiskuma sliekšņa.</w:t>
      </w:r>
      <w:r w:rsidR="00D26B16">
        <w:rPr>
          <w:rFonts w:ascii="Times New Roman" w:hAnsi="Times New Roman" w:cs="Times New Roman"/>
          <w:b/>
          <w:bCs/>
          <w:sz w:val="22"/>
          <w:szCs w:val="22"/>
          <w:lang w:val="lv-LV"/>
        </w:rPr>
        <w:t xml:space="preserve"> </w:t>
      </w:r>
      <w:r w:rsidR="00D26B16" w:rsidRPr="00D26B16">
        <w:rPr>
          <w:rFonts w:ascii="Times New Roman" w:hAnsi="Times New Roman" w:cs="Times New Roman"/>
          <w:sz w:val="22"/>
          <w:szCs w:val="22"/>
          <w:lang w:val="lv-LV"/>
        </w:rPr>
        <w:t>Turklāt</w:t>
      </w:r>
      <w:r w:rsidR="00D26B16">
        <w:rPr>
          <w:rFonts w:ascii="Times New Roman" w:hAnsi="Times New Roman" w:cs="Times New Roman"/>
          <w:sz w:val="22"/>
          <w:szCs w:val="22"/>
          <w:lang w:val="lv-LV"/>
        </w:rPr>
        <w:t xml:space="preserve">, 2025.gadā atgūti </w:t>
      </w:r>
      <w:r w:rsidR="00936AFE">
        <w:rPr>
          <w:rFonts w:ascii="Times New Roman" w:hAnsi="Times New Roman" w:cs="Times New Roman"/>
          <w:sz w:val="22"/>
          <w:szCs w:val="22"/>
          <w:lang w:val="lv-LV"/>
        </w:rPr>
        <w:t xml:space="preserve">neatbilstoši izmaksātie izdevumi </w:t>
      </w:r>
      <w:r w:rsidR="0018044C">
        <w:rPr>
          <w:rFonts w:ascii="Times New Roman" w:hAnsi="Times New Roman" w:cs="Times New Roman"/>
          <w:sz w:val="22"/>
          <w:szCs w:val="22"/>
          <w:lang w:val="lv-LV"/>
        </w:rPr>
        <w:t xml:space="preserve">EUR </w:t>
      </w:r>
      <w:r w:rsidR="00844C51">
        <w:rPr>
          <w:rFonts w:ascii="Times New Roman" w:hAnsi="Times New Roman" w:cs="Times New Roman"/>
          <w:sz w:val="22"/>
          <w:szCs w:val="22"/>
          <w:lang w:val="lv-LV"/>
        </w:rPr>
        <w:t>1 971</w:t>
      </w:r>
      <w:r w:rsidR="0018044C">
        <w:rPr>
          <w:rFonts w:ascii="Times New Roman" w:hAnsi="Times New Roman" w:cs="Times New Roman"/>
          <w:sz w:val="22"/>
          <w:szCs w:val="22"/>
          <w:lang w:val="lv-LV"/>
        </w:rPr>
        <w:t> </w:t>
      </w:r>
      <w:r w:rsidR="00844C51">
        <w:rPr>
          <w:rFonts w:ascii="Times New Roman" w:hAnsi="Times New Roman" w:cs="Times New Roman"/>
          <w:sz w:val="22"/>
          <w:szCs w:val="22"/>
          <w:lang w:val="lv-LV"/>
        </w:rPr>
        <w:t>207</w:t>
      </w:r>
      <w:r w:rsidR="0018044C">
        <w:rPr>
          <w:rFonts w:ascii="Times New Roman" w:hAnsi="Times New Roman" w:cs="Times New Roman"/>
          <w:sz w:val="22"/>
          <w:szCs w:val="22"/>
          <w:lang w:val="lv-LV"/>
        </w:rPr>
        <w:t>,95</w:t>
      </w:r>
      <w:r w:rsidR="00936AFE">
        <w:rPr>
          <w:rFonts w:ascii="Times New Roman" w:hAnsi="Times New Roman" w:cs="Times New Roman"/>
          <w:sz w:val="22"/>
          <w:szCs w:val="22"/>
          <w:lang w:val="lv-LV"/>
        </w:rPr>
        <w:t xml:space="preserve"> apmērā </w:t>
      </w:r>
      <w:r w:rsidR="00756535">
        <w:rPr>
          <w:rFonts w:ascii="Times New Roman" w:hAnsi="Times New Roman" w:cs="Times New Roman"/>
          <w:sz w:val="22"/>
          <w:szCs w:val="22"/>
          <w:lang w:val="lv-LV"/>
        </w:rPr>
        <w:t xml:space="preserve">jeb </w:t>
      </w:r>
      <w:r w:rsidR="0018044C">
        <w:rPr>
          <w:rFonts w:ascii="Times New Roman" w:hAnsi="Times New Roman" w:cs="Times New Roman"/>
          <w:sz w:val="22"/>
          <w:szCs w:val="22"/>
          <w:lang w:val="lv-LV"/>
        </w:rPr>
        <w:t xml:space="preserve">82% </w:t>
      </w:r>
      <w:r w:rsidR="00160060">
        <w:rPr>
          <w:rFonts w:ascii="Times New Roman" w:hAnsi="Times New Roman" w:cs="Times New Roman"/>
          <w:sz w:val="22"/>
          <w:szCs w:val="22"/>
          <w:lang w:val="lv-LV"/>
        </w:rPr>
        <w:t>no</w:t>
      </w:r>
      <w:r w:rsidR="0018044C">
        <w:rPr>
          <w:rFonts w:ascii="Times New Roman" w:hAnsi="Times New Roman" w:cs="Times New Roman"/>
          <w:sz w:val="22"/>
          <w:szCs w:val="22"/>
          <w:lang w:val="lv-LV"/>
        </w:rPr>
        <w:t xml:space="preserve"> neatbilstoši veiktajiem izdevumiem 2025.gadā.</w:t>
      </w:r>
    </w:p>
    <w:p w14:paraId="1F8F766F" w14:textId="305401E9" w:rsidR="00C87E10" w:rsidRPr="00FD0D0B" w:rsidRDefault="00710119" w:rsidP="00FD0D0B">
      <w:pPr>
        <w:ind w:left="-851" w:right="-766" w:firstLine="851"/>
        <w:contextualSpacing/>
        <w:rPr>
          <w:rFonts w:ascii="Times New Roman" w:hAnsi="Times New Roman" w:cs="Times New Roman"/>
          <w:b/>
          <w:bCs/>
          <w:sz w:val="22"/>
          <w:szCs w:val="22"/>
          <w:lang w:val="lv-LV"/>
        </w:rPr>
      </w:pPr>
      <w:r w:rsidRPr="00FD0D0B">
        <w:rPr>
          <w:rFonts w:ascii="Times New Roman" w:hAnsi="Times New Roman" w:cs="Times New Roman"/>
          <w:b/>
          <w:bCs/>
          <w:sz w:val="22"/>
          <w:szCs w:val="22"/>
          <w:lang w:val="lv-LV"/>
        </w:rPr>
        <w:t xml:space="preserve">ANM ietvaros </w:t>
      </w:r>
      <w:r w:rsidR="00542116" w:rsidRPr="00FD0D0B">
        <w:rPr>
          <w:rFonts w:ascii="Times New Roman" w:hAnsi="Times New Roman" w:cs="Times New Roman"/>
          <w:b/>
          <w:bCs/>
          <w:sz w:val="22"/>
          <w:szCs w:val="22"/>
          <w:lang w:val="lv-LV"/>
        </w:rPr>
        <w:t xml:space="preserve">2025. gadā </w:t>
      </w:r>
      <w:r w:rsidRPr="00FD0D0B">
        <w:rPr>
          <w:rFonts w:ascii="Times New Roman" w:hAnsi="Times New Roman" w:cs="Times New Roman"/>
          <w:b/>
          <w:bCs/>
          <w:sz w:val="22"/>
          <w:szCs w:val="22"/>
          <w:lang w:val="lv-LV"/>
        </w:rPr>
        <w:t>konstatēts 1 nopietns pārkāpums</w:t>
      </w:r>
      <w:r w:rsidRPr="00FD0D0B">
        <w:rPr>
          <w:rFonts w:ascii="Times New Roman" w:hAnsi="Times New Roman" w:cs="Times New Roman"/>
          <w:sz w:val="22"/>
          <w:szCs w:val="22"/>
          <w:lang w:val="lv-LV"/>
        </w:rPr>
        <w:t xml:space="preserve"> </w:t>
      </w:r>
      <w:r w:rsidR="0003514E" w:rsidRPr="00FD0D0B">
        <w:rPr>
          <w:rFonts w:ascii="Times New Roman" w:hAnsi="Times New Roman" w:cs="Times New Roman"/>
          <w:sz w:val="22"/>
          <w:szCs w:val="22"/>
          <w:lang w:val="lv-LV"/>
        </w:rPr>
        <w:t>(</w:t>
      </w:r>
      <w:r w:rsidRPr="00FD0D0B">
        <w:rPr>
          <w:rFonts w:ascii="Times New Roman" w:hAnsi="Times New Roman" w:cs="Times New Roman"/>
          <w:sz w:val="22"/>
          <w:szCs w:val="22"/>
          <w:lang w:val="lv-LV"/>
        </w:rPr>
        <w:t xml:space="preserve">dubultais </w:t>
      </w:r>
      <w:r w:rsidR="00542116" w:rsidRPr="00FD0D0B">
        <w:rPr>
          <w:rFonts w:ascii="Times New Roman" w:hAnsi="Times New Roman" w:cs="Times New Roman"/>
          <w:sz w:val="22"/>
          <w:szCs w:val="22"/>
          <w:lang w:val="lv-LV"/>
        </w:rPr>
        <w:t>finansējums</w:t>
      </w:r>
      <w:r w:rsidR="0003514E" w:rsidRPr="00FD0D0B">
        <w:rPr>
          <w:rFonts w:ascii="Times New Roman" w:hAnsi="Times New Roman" w:cs="Times New Roman"/>
          <w:sz w:val="22"/>
          <w:szCs w:val="22"/>
          <w:lang w:val="lv-LV"/>
        </w:rPr>
        <w:t>)</w:t>
      </w:r>
      <w:r w:rsidR="00542116" w:rsidRPr="00FD0D0B">
        <w:rPr>
          <w:rFonts w:ascii="Times New Roman" w:hAnsi="Times New Roman" w:cs="Times New Roman"/>
          <w:sz w:val="22"/>
          <w:szCs w:val="22"/>
          <w:lang w:val="lv-LV"/>
        </w:rPr>
        <w:t xml:space="preserve"> ar finansiālo ietekmi EUR 14</w:t>
      </w:r>
      <w:r w:rsidR="00756535">
        <w:rPr>
          <w:rFonts w:ascii="Times New Roman" w:hAnsi="Times New Roman" w:cs="Times New Roman"/>
          <w:sz w:val="22"/>
          <w:szCs w:val="22"/>
          <w:lang w:val="lv-LV"/>
        </w:rPr>
        <w:t xml:space="preserve"> </w:t>
      </w:r>
      <w:r w:rsidR="00542116" w:rsidRPr="00FD0D0B">
        <w:rPr>
          <w:rFonts w:ascii="Times New Roman" w:hAnsi="Times New Roman" w:cs="Times New Roman"/>
          <w:sz w:val="22"/>
          <w:szCs w:val="22"/>
          <w:lang w:val="lv-LV"/>
        </w:rPr>
        <w:t>336</w:t>
      </w:r>
      <w:r w:rsidR="0003514E" w:rsidRPr="00FD0D0B">
        <w:rPr>
          <w:rFonts w:ascii="Times New Roman" w:hAnsi="Times New Roman" w:cs="Times New Roman"/>
          <w:sz w:val="22"/>
          <w:szCs w:val="22"/>
          <w:lang w:val="lv-LV"/>
        </w:rPr>
        <w:t>,00</w:t>
      </w:r>
      <w:r w:rsidR="00542116" w:rsidRPr="00FD0D0B">
        <w:rPr>
          <w:rFonts w:ascii="Times New Roman" w:hAnsi="Times New Roman" w:cs="Times New Roman"/>
          <w:sz w:val="22"/>
          <w:szCs w:val="22"/>
          <w:lang w:val="lv-LV"/>
        </w:rPr>
        <w:t xml:space="preserve"> apmērā un </w:t>
      </w:r>
      <w:r w:rsidR="0003514E" w:rsidRPr="00FD0D0B">
        <w:rPr>
          <w:rFonts w:ascii="Times New Roman" w:hAnsi="Times New Roman" w:cs="Times New Roman"/>
          <w:b/>
          <w:bCs/>
          <w:sz w:val="22"/>
          <w:szCs w:val="22"/>
          <w:lang w:val="lv-LV"/>
        </w:rPr>
        <w:t>30 trūkumi</w:t>
      </w:r>
      <w:r w:rsidR="0003514E" w:rsidRPr="00FD0D0B">
        <w:rPr>
          <w:rFonts w:ascii="Times New Roman" w:hAnsi="Times New Roman" w:cs="Times New Roman"/>
          <w:sz w:val="22"/>
          <w:szCs w:val="22"/>
          <w:lang w:val="lv-LV"/>
        </w:rPr>
        <w:t xml:space="preserve"> (</w:t>
      </w:r>
      <w:r w:rsidR="00085794" w:rsidRPr="00FD0D0B">
        <w:rPr>
          <w:rFonts w:ascii="Times New Roman" w:hAnsi="Times New Roman" w:cs="Times New Roman"/>
          <w:sz w:val="22"/>
          <w:szCs w:val="22"/>
          <w:lang w:val="lv-LV"/>
        </w:rPr>
        <w:t xml:space="preserve"> 28 – iepirkumu normu pārkāpumi un</w:t>
      </w:r>
      <w:r w:rsidR="00632B85" w:rsidRPr="00FD0D0B">
        <w:rPr>
          <w:rFonts w:ascii="Times New Roman" w:hAnsi="Times New Roman" w:cs="Times New Roman"/>
          <w:sz w:val="22"/>
          <w:szCs w:val="22"/>
          <w:lang w:val="lv-LV"/>
        </w:rPr>
        <w:t xml:space="preserve"> </w:t>
      </w:r>
      <w:r w:rsidR="00085794" w:rsidRPr="00FD0D0B">
        <w:rPr>
          <w:rFonts w:ascii="Times New Roman" w:hAnsi="Times New Roman" w:cs="Times New Roman"/>
          <w:sz w:val="22"/>
          <w:szCs w:val="22"/>
          <w:lang w:val="lv-LV"/>
        </w:rPr>
        <w:t>2 komercdarbības atbalsta normu pārkāpumi)</w:t>
      </w:r>
      <w:r w:rsidR="00632B85" w:rsidRPr="00FD0D0B">
        <w:rPr>
          <w:rFonts w:ascii="Times New Roman" w:hAnsi="Times New Roman" w:cs="Times New Roman"/>
          <w:sz w:val="22"/>
          <w:szCs w:val="22"/>
          <w:lang w:val="lv-LV"/>
        </w:rPr>
        <w:t xml:space="preserve">. </w:t>
      </w:r>
      <w:r w:rsidR="006C1714" w:rsidRPr="00FD0D0B">
        <w:rPr>
          <w:rFonts w:ascii="Times New Roman" w:hAnsi="Times New Roman" w:cs="Times New Roman"/>
          <w:sz w:val="22"/>
          <w:szCs w:val="22"/>
          <w:lang w:val="lv-LV"/>
        </w:rPr>
        <w:t>2025.gadā tika konstatēts pirmais nopietnais pārkāpums kopš ANM ieviešanas. Kumulatīvi</w:t>
      </w:r>
      <w:r w:rsidR="001C69A6" w:rsidRPr="00FD0D0B">
        <w:rPr>
          <w:rFonts w:ascii="Times New Roman" w:hAnsi="Times New Roman" w:cs="Times New Roman"/>
          <w:sz w:val="22"/>
          <w:szCs w:val="22"/>
          <w:lang w:val="lv-LV"/>
        </w:rPr>
        <w:t xml:space="preserve"> (2023., 2024. un 2025.) ANM ietvaros konstatēts 1 nopietns pārkāpums un 45 trūkumi</w:t>
      </w:r>
      <w:r w:rsidR="00421A24" w:rsidRPr="00FD0D0B">
        <w:rPr>
          <w:rFonts w:ascii="Times New Roman" w:hAnsi="Times New Roman" w:cs="Times New Roman"/>
          <w:sz w:val="22"/>
          <w:szCs w:val="22"/>
          <w:lang w:val="lv-LV"/>
        </w:rPr>
        <w:t xml:space="preserve"> </w:t>
      </w:r>
      <w:r w:rsidR="00421A24" w:rsidRPr="00180A7F">
        <w:rPr>
          <w:rFonts w:ascii="Times New Roman" w:hAnsi="Times New Roman" w:cs="Times New Roman"/>
          <w:sz w:val="22"/>
          <w:szCs w:val="22"/>
          <w:lang w:val="lv-LV"/>
        </w:rPr>
        <w:t>(skatīt 2.pielikumu).</w:t>
      </w:r>
    </w:p>
    <w:p w14:paraId="6D82F0AE" w14:textId="77777777" w:rsidR="00A73128" w:rsidRDefault="00A73128" w:rsidP="00916991">
      <w:pPr>
        <w:ind w:right="-766" w:firstLine="0"/>
        <w:contextualSpacing/>
        <w:rPr>
          <w:rFonts w:ascii="Times New Roman" w:hAnsi="Times New Roman" w:cs="Times New Roman"/>
          <w:b/>
          <w:bCs/>
          <w:lang w:val="lv-LV"/>
        </w:rPr>
      </w:pPr>
    </w:p>
    <w:p w14:paraId="73883031" w14:textId="54C256F5" w:rsidR="0041582B" w:rsidRDefault="00521C42" w:rsidP="00521C42">
      <w:pPr>
        <w:ind w:left="-851" w:right="-766" w:firstLine="0"/>
        <w:contextualSpacing/>
        <w:jc w:val="center"/>
        <w:rPr>
          <w:rFonts w:ascii="Times New Roman" w:hAnsi="Times New Roman" w:cs="Times New Roman"/>
          <w:b/>
          <w:bCs/>
          <w:lang w:val="lv-LV"/>
        </w:rPr>
      </w:pPr>
      <w:r>
        <w:rPr>
          <w:rFonts w:ascii="Times New Roman" w:hAnsi="Times New Roman" w:cs="Times New Roman"/>
          <w:b/>
          <w:bCs/>
          <w:lang w:val="lv-LV"/>
        </w:rPr>
        <w:t>2</w:t>
      </w:r>
      <w:r w:rsidR="0041582B" w:rsidRPr="0041582B">
        <w:rPr>
          <w:rFonts w:ascii="Times New Roman" w:hAnsi="Times New Roman" w:cs="Times New Roman"/>
          <w:b/>
          <w:bCs/>
          <w:lang w:val="lv-LV"/>
        </w:rPr>
        <w:t>.2.  Neatbilstību veidi</w:t>
      </w:r>
    </w:p>
    <w:p w14:paraId="1C00AA00" w14:textId="77777777" w:rsidR="00D7415D" w:rsidRDefault="00D7415D" w:rsidP="00916991">
      <w:pPr>
        <w:ind w:left="-851" w:right="-766" w:firstLine="0"/>
        <w:contextualSpacing/>
        <w:jc w:val="center"/>
        <w:rPr>
          <w:rFonts w:ascii="Times New Roman" w:hAnsi="Times New Roman" w:cs="Times New Roman"/>
          <w:b/>
          <w:bCs/>
          <w:lang w:val="lv-LV"/>
        </w:rPr>
      </w:pPr>
    </w:p>
    <w:p w14:paraId="5F4CE334" w14:textId="596B46A8" w:rsidR="007C4D8A" w:rsidRPr="00FD0D0B" w:rsidRDefault="00047584" w:rsidP="005F43F7">
      <w:pPr>
        <w:ind w:left="-851" w:right="-766" w:firstLine="851"/>
        <w:contextualSpacing/>
        <w:rPr>
          <w:rFonts w:ascii="Times New Roman" w:hAnsi="Times New Roman" w:cs="Times New Roman"/>
          <w:sz w:val="22"/>
          <w:szCs w:val="22"/>
          <w:lang w:val="lv-LV"/>
        </w:rPr>
      </w:pPr>
      <w:r w:rsidRPr="00FD0D0B">
        <w:rPr>
          <w:rFonts w:ascii="Times New Roman" w:hAnsi="Times New Roman" w:cs="Times New Roman"/>
          <w:sz w:val="22"/>
          <w:szCs w:val="22"/>
          <w:lang w:val="lv-LV"/>
        </w:rPr>
        <w:t>Analizējot neatbilstības sadalījumā pa to v</w:t>
      </w:r>
      <w:r w:rsidR="00D57FDE" w:rsidRPr="00FD0D0B">
        <w:rPr>
          <w:rFonts w:ascii="Times New Roman" w:hAnsi="Times New Roman" w:cs="Times New Roman"/>
          <w:sz w:val="22"/>
          <w:szCs w:val="22"/>
          <w:lang w:val="lv-LV"/>
        </w:rPr>
        <w:t>ei</w:t>
      </w:r>
      <w:r w:rsidRPr="00FD0D0B">
        <w:rPr>
          <w:rFonts w:ascii="Times New Roman" w:hAnsi="Times New Roman" w:cs="Times New Roman"/>
          <w:sz w:val="22"/>
          <w:szCs w:val="22"/>
          <w:lang w:val="lv-LV"/>
        </w:rPr>
        <w:t xml:space="preserve">diem secināms, ka </w:t>
      </w:r>
      <w:r w:rsidR="00E537E5" w:rsidRPr="00FD0D0B">
        <w:rPr>
          <w:rFonts w:ascii="Times New Roman" w:hAnsi="Times New Roman" w:cs="Times New Roman"/>
          <w:sz w:val="22"/>
          <w:szCs w:val="22"/>
          <w:lang w:val="lv-LV"/>
        </w:rPr>
        <w:t>neatbilstību TOP5 veido tās pašas kategorijas neatbilstības, kas 2024.</w:t>
      </w:r>
      <w:r w:rsidR="00E537E5" w:rsidRPr="00452D86">
        <w:rPr>
          <w:rFonts w:ascii="Times New Roman" w:hAnsi="Times New Roman" w:cs="Times New Roman"/>
          <w:sz w:val="22"/>
          <w:szCs w:val="22"/>
          <w:lang w:val="lv-LV"/>
        </w:rPr>
        <w:t>gadā (skatīt attēlu Nr.</w:t>
      </w:r>
      <w:r w:rsidR="00452D86" w:rsidRPr="00452D86">
        <w:rPr>
          <w:rFonts w:ascii="Times New Roman" w:hAnsi="Times New Roman" w:cs="Times New Roman"/>
          <w:sz w:val="22"/>
          <w:szCs w:val="22"/>
          <w:lang w:val="lv-LV"/>
        </w:rPr>
        <w:t>2</w:t>
      </w:r>
      <w:r w:rsidR="008E53A1" w:rsidRPr="00452D86">
        <w:rPr>
          <w:rFonts w:ascii="Times New Roman" w:hAnsi="Times New Roman" w:cs="Times New Roman"/>
          <w:sz w:val="22"/>
          <w:szCs w:val="22"/>
          <w:lang w:val="lv-LV"/>
        </w:rPr>
        <w:t>).</w:t>
      </w:r>
      <w:r w:rsidR="00EE1BC7" w:rsidRPr="00FD0D0B">
        <w:rPr>
          <w:rFonts w:ascii="Times New Roman" w:hAnsi="Times New Roman" w:cs="Times New Roman"/>
          <w:b/>
          <w:bCs/>
          <w:sz w:val="22"/>
          <w:szCs w:val="22"/>
          <w:lang w:val="lv-LV"/>
        </w:rPr>
        <w:t>Visvairāk neatbilstību konstatēts saistībā ar noteikto ieviešanas nosacījumu neizpildi</w:t>
      </w:r>
      <w:r w:rsidR="00653275" w:rsidRPr="00FD0D0B">
        <w:rPr>
          <w:rFonts w:ascii="Times New Roman" w:hAnsi="Times New Roman" w:cs="Times New Roman"/>
          <w:sz w:val="22"/>
          <w:szCs w:val="22"/>
          <w:lang w:val="lv-LV"/>
        </w:rPr>
        <w:t xml:space="preserve"> (</w:t>
      </w:r>
      <w:r w:rsidR="00DE65B5" w:rsidRPr="00FD0D0B">
        <w:rPr>
          <w:rFonts w:ascii="Times New Roman" w:hAnsi="Times New Roman" w:cs="Times New Roman"/>
          <w:sz w:val="22"/>
          <w:szCs w:val="22"/>
          <w:lang w:val="lv-LV"/>
        </w:rPr>
        <w:t>98,08% no visa neatbilstību skaita un 71.81</w:t>
      </w:r>
      <w:r w:rsidR="001F75B7" w:rsidRPr="00FD0D0B">
        <w:rPr>
          <w:rFonts w:ascii="Times New Roman" w:hAnsi="Times New Roman" w:cs="Times New Roman"/>
          <w:sz w:val="22"/>
          <w:szCs w:val="22"/>
          <w:lang w:val="lv-LV"/>
        </w:rPr>
        <w:t>%</w:t>
      </w:r>
      <w:r w:rsidR="00DE65B5" w:rsidRPr="00FD0D0B">
        <w:rPr>
          <w:rFonts w:ascii="Times New Roman" w:hAnsi="Times New Roman" w:cs="Times New Roman"/>
          <w:sz w:val="22"/>
          <w:szCs w:val="22"/>
          <w:lang w:val="lv-LV"/>
        </w:rPr>
        <w:t xml:space="preserve"> no kopējās neatbilstību summas</w:t>
      </w:r>
      <w:r w:rsidR="00653275" w:rsidRPr="00FD0D0B">
        <w:rPr>
          <w:rFonts w:ascii="Times New Roman" w:hAnsi="Times New Roman" w:cs="Times New Roman"/>
          <w:sz w:val="22"/>
          <w:szCs w:val="22"/>
          <w:lang w:val="lv-LV"/>
        </w:rPr>
        <w:t>)</w:t>
      </w:r>
      <w:r w:rsidR="00681AAB" w:rsidRPr="00FD0D0B">
        <w:rPr>
          <w:rFonts w:ascii="Times New Roman" w:hAnsi="Times New Roman" w:cs="Times New Roman"/>
          <w:sz w:val="22"/>
          <w:szCs w:val="22"/>
          <w:lang w:val="lv-LV"/>
        </w:rPr>
        <w:t xml:space="preserve">, kam seko </w:t>
      </w:r>
      <w:r w:rsidR="00681AAB" w:rsidRPr="00FD0D0B">
        <w:rPr>
          <w:rFonts w:ascii="Times New Roman" w:hAnsi="Times New Roman" w:cs="Times New Roman"/>
          <w:b/>
          <w:bCs/>
          <w:sz w:val="22"/>
          <w:szCs w:val="22"/>
          <w:lang w:val="lv-LV"/>
        </w:rPr>
        <w:t>iepirkumu normu pārkāpumi</w:t>
      </w:r>
      <w:r w:rsidR="00653275" w:rsidRPr="00FD0D0B">
        <w:rPr>
          <w:rFonts w:ascii="Times New Roman" w:hAnsi="Times New Roman" w:cs="Times New Roman"/>
          <w:sz w:val="22"/>
          <w:szCs w:val="22"/>
          <w:lang w:val="lv-LV"/>
        </w:rPr>
        <w:t xml:space="preserve"> (</w:t>
      </w:r>
      <w:r w:rsidR="00681AAB" w:rsidRPr="00FD0D0B">
        <w:rPr>
          <w:rFonts w:ascii="Times New Roman" w:hAnsi="Times New Roman" w:cs="Times New Roman"/>
          <w:sz w:val="22"/>
          <w:szCs w:val="22"/>
          <w:lang w:val="lv-LV"/>
        </w:rPr>
        <w:t>1.29% no kopējā neatbilstību skaita</w:t>
      </w:r>
      <w:r w:rsidR="00193799" w:rsidRPr="00FD0D0B">
        <w:rPr>
          <w:rFonts w:ascii="Times New Roman" w:hAnsi="Times New Roman" w:cs="Times New Roman"/>
          <w:sz w:val="22"/>
          <w:szCs w:val="22"/>
          <w:lang w:val="lv-LV"/>
        </w:rPr>
        <w:t xml:space="preserve"> un 12.79% no kopējās neatbilstību summas</w:t>
      </w:r>
      <w:r w:rsidR="00653275" w:rsidRPr="00FD0D0B">
        <w:rPr>
          <w:rFonts w:ascii="Times New Roman" w:hAnsi="Times New Roman" w:cs="Times New Roman"/>
          <w:sz w:val="22"/>
          <w:szCs w:val="22"/>
          <w:lang w:val="lv-LV"/>
        </w:rPr>
        <w:t xml:space="preserve">) un </w:t>
      </w:r>
      <w:r w:rsidR="00653275" w:rsidRPr="00FD0D0B">
        <w:rPr>
          <w:rFonts w:ascii="Times New Roman" w:hAnsi="Times New Roman" w:cs="Times New Roman"/>
          <w:b/>
          <w:bCs/>
          <w:sz w:val="22"/>
          <w:szCs w:val="22"/>
          <w:lang w:val="lv-LV"/>
        </w:rPr>
        <w:t>projekta mērķa un vai rādītāju</w:t>
      </w:r>
      <w:r w:rsidR="001E1808" w:rsidRPr="00FD0D0B">
        <w:rPr>
          <w:rFonts w:ascii="Times New Roman" w:hAnsi="Times New Roman" w:cs="Times New Roman"/>
          <w:b/>
          <w:bCs/>
          <w:sz w:val="22"/>
          <w:szCs w:val="22"/>
          <w:lang w:val="lv-LV"/>
        </w:rPr>
        <w:t xml:space="preserve"> neizpilde</w:t>
      </w:r>
      <w:r w:rsidR="001E1808" w:rsidRPr="00FD0D0B">
        <w:rPr>
          <w:rFonts w:ascii="Times New Roman" w:hAnsi="Times New Roman" w:cs="Times New Roman"/>
          <w:sz w:val="22"/>
          <w:szCs w:val="22"/>
          <w:lang w:val="lv-LV"/>
        </w:rPr>
        <w:t xml:space="preserve"> (0.32% no kopējā neatbilstību skaita un </w:t>
      </w:r>
      <w:r w:rsidR="00182B51" w:rsidRPr="00FD0D0B">
        <w:rPr>
          <w:rFonts w:ascii="Times New Roman" w:hAnsi="Times New Roman" w:cs="Times New Roman"/>
          <w:sz w:val="22"/>
          <w:szCs w:val="22"/>
          <w:lang w:val="lv-LV"/>
        </w:rPr>
        <w:t>14,06</w:t>
      </w:r>
      <w:r w:rsidR="001E1808" w:rsidRPr="00FD0D0B">
        <w:rPr>
          <w:rFonts w:ascii="Times New Roman" w:hAnsi="Times New Roman" w:cs="Times New Roman"/>
          <w:sz w:val="22"/>
          <w:szCs w:val="22"/>
          <w:lang w:val="lv-LV"/>
        </w:rPr>
        <w:t>% no kopējās neatbilstību summas)</w:t>
      </w:r>
      <w:r w:rsidR="00182B51" w:rsidRPr="00FD0D0B">
        <w:rPr>
          <w:rFonts w:ascii="Times New Roman" w:hAnsi="Times New Roman" w:cs="Times New Roman"/>
          <w:sz w:val="22"/>
          <w:szCs w:val="22"/>
          <w:lang w:val="lv-LV"/>
        </w:rPr>
        <w:t>.</w:t>
      </w:r>
    </w:p>
    <w:p w14:paraId="4F6BAD04" w14:textId="6D4DF9FD" w:rsidR="005F43F7" w:rsidRPr="00FD0D0B" w:rsidRDefault="005F43F7" w:rsidP="16CD5074">
      <w:pPr>
        <w:ind w:left="-851" w:right="-766" w:firstLine="851"/>
        <w:contextualSpacing/>
        <w:rPr>
          <w:rFonts w:ascii="Times New Roman" w:hAnsi="Times New Roman" w:cs="Times New Roman"/>
          <w:sz w:val="22"/>
          <w:szCs w:val="22"/>
          <w:lang w:val="lv-LV"/>
        </w:rPr>
      </w:pPr>
      <w:r w:rsidRPr="16CD5074">
        <w:rPr>
          <w:rFonts w:ascii="Times New Roman" w:hAnsi="Times New Roman" w:cs="Times New Roman"/>
          <w:sz w:val="22"/>
          <w:szCs w:val="22"/>
          <w:lang w:val="lv-LV"/>
        </w:rPr>
        <w:t xml:space="preserve"> 2025.gadā </w:t>
      </w:r>
      <w:r w:rsidRPr="16CD5074">
        <w:rPr>
          <w:rFonts w:ascii="Times New Roman" w:hAnsi="Times New Roman" w:cs="Times New Roman"/>
          <w:b/>
          <w:bCs/>
          <w:sz w:val="22"/>
          <w:szCs w:val="22"/>
          <w:lang w:val="lv-LV"/>
        </w:rPr>
        <w:t>2021.-2027.plānošanas perioda ietvaros tika konstatēti</w:t>
      </w:r>
      <w:r w:rsidRPr="16CD5074">
        <w:rPr>
          <w:rFonts w:ascii="Times New Roman" w:hAnsi="Times New Roman" w:cs="Times New Roman"/>
          <w:sz w:val="22"/>
          <w:szCs w:val="22"/>
          <w:lang w:val="lv-LV"/>
        </w:rPr>
        <w:t xml:space="preserve"> </w:t>
      </w:r>
      <w:r w:rsidRPr="16CD5074">
        <w:rPr>
          <w:rFonts w:ascii="Times New Roman" w:hAnsi="Times New Roman" w:cs="Times New Roman"/>
          <w:b/>
          <w:bCs/>
          <w:sz w:val="22"/>
          <w:szCs w:val="22"/>
          <w:lang w:val="lv-LV"/>
        </w:rPr>
        <w:t xml:space="preserve">2 aizdomu par krāpšanu gadījumi </w:t>
      </w:r>
      <w:r w:rsidRPr="16CD5074">
        <w:rPr>
          <w:rFonts w:ascii="Times New Roman" w:hAnsi="Times New Roman" w:cs="Times New Roman"/>
          <w:sz w:val="22"/>
          <w:szCs w:val="22"/>
          <w:lang w:val="lv-LV"/>
        </w:rPr>
        <w:t>(</w:t>
      </w:r>
      <w:r w:rsidR="008E514E" w:rsidRPr="16CD5074">
        <w:rPr>
          <w:rFonts w:ascii="Times New Roman" w:hAnsi="Times New Roman" w:cs="Times New Roman"/>
          <w:sz w:val="22"/>
          <w:szCs w:val="22"/>
          <w:lang w:val="lv-LV"/>
        </w:rPr>
        <w:t> </w:t>
      </w:r>
      <w:r w:rsidRPr="16CD5074">
        <w:rPr>
          <w:rFonts w:ascii="Times New Roman" w:hAnsi="Times New Roman" w:cs="Times New Roman"/>
          <w:sz w:val="22"/>
          <w:szCs w:val="22"/>
          <w:lang w:val="lv-LV"/>
        </w:rPr>
        <w:t>salīdzinājumam – 2024.gadā konstatēti 13 gadījumi). Viens no gadījumiem konstatēts ESF+</w:t>
      </w:r>
      <w:r w:rsidR="002C26ED" w:rsidRPr="16CD5074">
        <w:rPr>
          <w:rFonts w:ascii="Times New Roman" w:hAnsi="Times New Roman" w:cs="Times New Roman"/>
          <w:sz w:val="22"/>
          <w:szCs w:val="22"/>
          <w:lang w:val="lv-LV"/>
        </w:rPr>
        <w:t xml:space="preserve"> programm</w:t>
      </w:r>
      <w:r w:rsidR="00467587" w:rsidRPr="16CD5074">
        <w:rPr>
          <w:rFonts w:ascii="Times New Roman" w:hAnsi="Times New Roman" w:cs="Times New Roman"/>
          <w:sz w:val="22"/>
          <w:szCs w:val="22"/>
          <w:lang w:val="lv-LV"/>
        </w:rPr>
        <w:t>as</w:t>
      </w:r>
      <w:r w:rsidRPr="16CD5074">
        <w:rPr>
          <w:rFonts w:ascii="Times New Roman" w:hAnsi="Times New Roman" w:cs="Times New Roman"/>
          <w:sz w:val="22"/>
          <w:szCs w:val="22"/>
          <w:lang w:val="lv-LV"/>
        </w:rPr>
        <w:t xml:space="preserve"> ietvaros, kas tika atklāts </w:t>
      </w:r>
      <w:proofErr w:type="spellStart"/>
      <w:r w:rsidRPr="16CD5074">
        <w:rPr>
          <w:rFonts w:ascii="Times New Roman" w:hAnsi="Times New Roman" w:cs="Times New Roman"/>
          <w:sz w:val="22"/>
          <w:szCs w:val="22"/>
          <w:lang w:val="lv-LV"/>
        </w:rPr>
        <w:t>partnerorganizācijas</w:t>
      </w:r>
      <w:proofErr w:type="spellEnd"/>
      <w:r w:rsidRPr="16CD5074">
        <w:rPr>
          <w:rFonts w:ascii="Times New Roman" w:hAnsi="Times New Roman" w:cs="Times New Roman"/>
          <w:sz w:val="22"/>
          <w:szCs w:val="22"/>
          <w:lang w:val="lv-LV"/>
        </w:rPr>
        <w:t xml:space="preserve"> pārskata pārbaudes ietvaros</w:t>
      </w:r>
      <w:r w:rsidRPr="16CD5074">
        <w:rPr>
          <w:sz w:val="22"/>
          <w:szCs w:val="22"/>
          <w:lang w:val="lv-LV"/>
        </w:rPr>
        <w:t>, p</w:t>
      </w:r>
      <w:r w:rsidRPr="16CD5074">
        <w:rPr>
          <w:rFonts w:ascii="Times New Roman" w:hAnsi="Times New Roman" w:cs="Times New Roman"/>
          <w:sz w:val="22"/>
          <w:szCs w:val="22"/>
          <w:lang w:val="lv-LV"/>
        </w:rPr>
        <w:t xml:space="preserve">ar konstatēto tika ziņots Valsts policijai, kas uzsāka kriminālprocesu. Visa neatbilstoši veikto izdevumu summa </w:t>
      </w:r>
      <w:r w:rsidR="00000393" w:rsidRPr="16CD5074">
        <w:rPr>
          <w:rFonts w:ascii="Times New Roman" w:hAnsi="Times New Roman" w:cs="Times New Roman"/>
          <w:sz w:val="22"/>
          <w:szCs w:val="22"/>
          <w:lang w:val="lv-LV"/>
        </w:rPr>
        <w:t>tika</w:t>
      </w:r>
      <w:r w:rsidRPr="16CD5074">
        <w:rPr>
          <w:rFonts w:ascii="Times New Roman" w:hAnsi="Times New Roman" w:cs="Times New Roman"/>
          <w:sz w:val="22"/>
          <w:szCs w:val="22"/>
          <w:lang w:val="lv-LV"/>
        </w:rPr>
        <w:t xml:space="preserve"> ieturēta no nākamā maksājuma, līdz ar to neietekmējot ne nacionālo, ne ES budžetu. Savukārt, otrs gadījums konstatēts ELFLA ietvaros, saņemot informāciju no tiesībaizsardzības iestādes par uzsāktu kriminālprocesu. Projekta ietvaros netika izmaksāts finansējums, līdz ar to netika ietekmēts ne nacionālais, ne ES budžets.</w:t>
      </w:r>
    </w:p>
    <w:p w14:paraId="683777DB" w14:textId="77777777" w:rsidR="00556B0D" w:rsidRPr="00763332" w:rsidRDefault="005F43F7" w:rsidP="00556B0D">
      <w:pPr>
        <w:ind w:left="-851" w:right="-766" w:firstLine="851"/>
        <w:contextualSpacing/>
        <w:rPr>
          <w:rFonts w:ascii="Times New Roman" w:hAnsi="Times New Roman" w:cs="Times New Roman"/>
          <w:sz w:val="22"/>
          <w:szCs w:val="22"/>
          <w:lang w:val="lv-LV"/>
        </w:rPr>
      </w:pPr>
      <w:r w:rsidRPr="00763332">
        <w:rPr>
          <w:rFonts w:ascii="Times New Roman" w:hAnsi="Times New Roman" w:cs="Times New Roman"/>
          <w:sz w:val="22"/>
          <w:szCs w:val="22"/>
          <w:lang w:val="lv-LV"/>
        </w:rPr>
        <w:t xml:space="preserve">Papildus 2025.gadā tika konstatēts </w:t>
      </w:r>
      <w:r w:rsidRPr="00763332">
        <w:rPr>
          <w:rFonts w:ascii="Times New Roman" w:hAnsi="Times New Roman" w:cs="Times New Roman"/>
          <w:b/>
          <w:bCs/>
          <w:sz w:val="22"/>
          <w:szCs w:val="22"/>
          <w:lang w:val="lv-LV"/>
        </w:rPr>
        <w:t>1 aizdomu par krāpšanu gadījums ELFLA 2014.-2020. plānošanas perioda ietvaros</w:t>
      </w:r>
      <w:r w:rsidRPr="00763332">
        <w:rPr>
          <w:rFonts w:ascii="Times New Roman" w:hAnsi="Times New Roman" w:cs="Times New Roman"/>
          <w:sz w:val="22"/>
          <w:szCs w:val="22"/>
          <w:lang w:val="lv-LV"/>
        </w:rPr>
        <w:t>, veicot uzraudzības pasākumus. Gadījums 2025.gada nogalē ziņots EPPO</w:t>
      </w:r>
      <w:r w:rsidR="0031327B" w:rsidRPr="00763332">
        <w:rPr>
          <w:rFonts w:ascii="Times New Roman" w:hAnsi="Times New Roman" w:cs="Times New Roman"/>
          <w:sz w:val="22"/>
          <w:szCs w:val="22"/>
          <w:lang w:val="lv-LV"/>
        </w:rPr>
        <w:t>.</w:t>
      </w:r>
      <w:r w:rsidRPr="00763332">
        <w:rPr>
          <w:rFonts w:ascii="Times New Roman" w:hAnsi="Times New Roman" w:cs="Times New Roman"/>
          <w:sz w:val="22"/>
          <w:szCs w:val="22"/>
          <w:lang w:val="lv-LV"/>
        </w:rPr>
        <w:t xml:space="preserve"> </w:t>
      </w:r>
      <w:r w:rsidR="0031327B" w:rsidRPr="00763332">
        <w:rPr>
          <w:rFonts w:ascii="Times New Roman" w:hAnsi="Times New Roman" w:cs="Times New Roman"/>
          <w:sz w:val="22"/>
          <w:szCs w:val="22"/>
          <w:lang w:val="lv-LV"/>
        </w:rPr>
        <w:t>EPPO 2026.gada 11.februārī pieņēma lēmumu par kriminālprocesa uzsākšanu</w:t>
      </w:r>
      <w:r w:rsidRPr="00763332">
        <w:rPr>
          <w:rFonts w:ascii="Times New Roman" w:hAnsi="Times New Roman" w:cs="Times New Roman"/>
          <w:sz w:val="22"/>
          <w:szCs w:val="22"/>
          <w:lang w:val="lv-LV"/>
        </w:rPr>
        <w:t>. Minētajā gadījumā finansiālā ietekme vērtējama vairāk nekā EUR 340 000 apmērā.</w:t>
      </w:r>
      <w:r w:rsidR="00556B0D" w:rsidRPr="00763332">
        <w:rPr>
          <w:rFonts w:ascii="Times New Roman" w:hAnsi="Times New Roman" w:cs="Times New Roman"/>
          <w:sz w:val="22"/>
          <w:szCs w:val="22"/>
          <w:lang w:val="lv-LV"/>
        </w:rPr>
        <w:t xml:space="preserve"> </w:t>
      </w:r>
    </w:p>
    <w:p w14:paraId="09E58819" w14:textId="58B3B512" w:rsidR="00421A24" w:rsidRDefault="00556B0D" w:rsidP="00556B0D">
      <w:pPr>
        <w:ind w:left="-851" w:right="-766" w:firstLine="851"/>
        <w:contextualSpacing/>
        <w:rPr>
          <w:rFonts w:ascii="Times New Roman" w:hAnsi="Times New Roman" w:cs="Times New Roman"/>
          <w:lang w:val="lv-LV"/>
        </w:rPr>
      </w:pPr>
      <w:r w:rsidRPr="00763332">
        <w:rPr>
          <w:rFonts w:ascii="Times New Roman" w:hAnsi="Times New Roman" w:cs="Times New Roman"/>
          <w:sz w:val="22"/>
          <w:szCs w:val="22"/>
          <w:lang w:val="lv-LV"/>
        </w:rPr>
        <w:t xml:space="preserve">Kā arī </w:t>
      </w:r>
      <w:r w:rsidR="00E85524" w:rsidRPr="00763332">
        <w:rPr>
          <w:rFonts w:ascii="Times New Roman" w:hAnsi="Times New Roman" w:cs="Times New Roman"/>
          <w:lang w:val="lv-LV"/>
        </w:rPr>
        <w:t>2025.gadā tika saņemta informācija par 2023.gadā uzsāktā</w:t>
      </w:r>
      <w:r w:rsidR="00D20AC6" w:rsidRPr="00763332">
        <w:rPr>
          <w:rFonts w:ascii="Times New Roman" w:hAnsi="Times New Roman" w:cs="Times New Roman"/>
          <w:lang w:val="lv-LV"/>
        </w:rPr>
        <w:t xml:space="preserve">s </w:t>
      </w:r>
      <w:r w:rsidR="00E85524" w:rsidRPr="00763332">
        <w:rPr>
          <w:rFonts w:ascii="Times New Roman" w:hAnsi="Times New Roman" w:cs="Times New Roman"/>
          <w:lang w:val="lv-LV"/>
        </w:rPr>
        <w:t xml:space="preserve">EPPO izmeklēšanas </w:t>
      </w:r>
      <w:r w:rsidR="00404387" w:rsidRPr="00763332">
        <w:rPr>
          <w:rFonts w:ascii="Times New Roman" w:hAnsi="Times New Roman" w:cs="Times New Roman"/>
          <w:lang w:val="lv-LV"/>
        </w:rPr>
        <w:t>pa</w:t>
      </w:r>
      <w:r w:rsidR="00004BB5" w:rsidRPr="00763332">
        <w:rPr>
          <w:rFonts w:ascii="Times New Roman" w:hAnsi="Times New Roman" w:cs="Times New Roman"/>
          <w:lang w:val="lv-LV"/>
        </w:rPr>
        <w:t xml:space="preserve">beigšanu </w:t>
      </w:r>
      <w:r w:rsidRPr="00763332">
        <w:rPr>
          <w:rFonts w:ascii="Times New Roman" w:hAnsi="Times New Roman" w:cs="Times New Roman"/>
          <w:lang w:val="lv-LV"/>
        </w:rPr>
        <w:t xml:space="preserve">ETS </w:t>
      </w:r>
      <w:r w:rsidRPr="00763332">
        <w:rPr>
          <w:rFonts w:ascii="Times New Roman" w:hAnsi="Times New Roman" w:cs="Times New Roman"/>
          <w:i/>
          <w:iCs/>
          <w:lang w:val="lv-LV"/>
        </w:rPr>
        <w:t>(</w:t>
      </w:r>
      <w:proofErr w:type="spellStart"/>
      <w:r w:rsidRPr="00763332">
        <w:rPr>
          <w:rFonts w:ascii="Times New Roman" w:hAnsi="Times New Roman" w:cs="Times New Roman"/>
          <w:i/>
          <w:iCs/>
          <w:lang w:val="lv-LV"/>
        </w:rPr>
        <w:t>Interreg</w:t>
      </w:r>
      <w:proofErr w:type="spellEnd"/>
      <w:r w:rsidRPr="00763332">
        <w:rPr>
          <w:rFonts w:ascii="Times New Roman" w:hAnsi="Times New Roman" w:cs="Times New Roman"/>
          <w:i/>
          <w:iCs/>
          <w:lang w:val="lv-LV"/>
        </w:rPr>
        <w:t>)</w:t>
      </w:r>
      <w:r w:rsidRPr="00763332">
        <w:rPr>
          <w:rFonts w:ascii="Times New Roman" w:hAnsi="Times New Roman" w:cs="Times New Roman"/>
          <w:lang w:val="lv-LV"/>
        </w:rPr>
        <w:t xml:space="preserve"> </w:t>
      </w:r>
      <w:r w:rsidR="00E85524" w:rsidRPr="00763332">
        <w:rPr>
          <w:rFonts w:ascii="Times New Roman" w:hAnsi="Times New Roman" w:cs="Times New Roman"/>
          <w:lang w:val="lv-LV"/>
        </w:rPr>
        <w:t>2014.-2020.</w:t>
      </w:r>
      <w:r w:rsidR="00004BB5" w:rsidRPr="00763332">
        <w:rPr>
          <w:rFonts w:ascii="Times New Roman" w:hAnsi="Times New Roman" w:cs="Times New Roman"/>
          <w:lang w:val="lv-LV"/>
        </w:rPr>
        <w:t xml:space="preserve"> </w:t>
      </w:r>
      <w:r w:rsidR="00E85524" w:rsidRPr="00763332">
        <w:rPr>
          <w:rFonts w:ascii="Times New Roman" w:hAnsi="Times New Roman" w:cs="Times New Roman"/>
          <w:lang w:val="lv-LV"/>
        </w:rPr>
        <w:t>gada projektā</w:t>
      </w:r>
      <w:r w:rsidR="00DD677D" w:rsidRPr="00763332">
        <w:rPr>
          <w:rStyle w:val="FootnoteReference"/>
          <w:rFonts w:ascii="Times New Roman" w:hAnsi="Times New Roman" w:cs="Times New Roman"/>
          <w:lang w:val="lv-LV"/>
        </w:rPr>
        <w:footnoteReference w:id="7"/>
      </w:r>
      <w:r w:rsidR="00E85524" w:rsidRPr="00763332">
        <w:rPr>
          <w:rFonts w:ascii="Times New Roman" w:hAnsi="Times New Roman" w:cs="Times New Roman"/>
          <w:lang w:val="lv-LV"/>
        </w:rPr>
        <w:t>.</w:t>
      </w:r>
      <w:r w:rsidR="00DD677D" w:rsidRPr="00763332">
        <w:rPr>
          <w:rFonts w:ascii="Times New Roman" w:hAnsi="Times New Roman" w:cs="Times New Roman"/>
          <w:lang w:val="lv-LV"/>
        </w:rPr>
        <w:t xml:space="preserve"> </w:t>
      </w:r>
      <w:r w:rsidR="00E85524" w:rsidRPr="00763332">
        <w:rPr>
          <w:rFonts w:ascii="Times New Roman" w:hAnsi="Times New Roman" w:cs="Times New Roman"/>
          <w:lang w:val="lv-LV"/>
        </w:rPr>
        <w:t>VARAM, nodrošinot finanšu kontroles funkcijas, savlaicīgi konstatēja pārkāpumus un samazināja kopējo projektā pieprasītā finansējuma apmēru, tādā veidā novēršot iepriekš radušos zaudējumos un līdz ar to neietekmējot ne nacionālo, ne ES budžetu.</w:t>
      </w:r>
    </w:p>
    <w:p w14:paraId="12B0399E" w14:textId="77777777" w:rsidR="00004BB5" w:rsidRPr="00E85524" w:rsidRDefault="00004BB5" w:rsidP="00556B0D">
      <w:pPr>
        <w:ind w:left="-851" w:right="-766" w:firstLine="851"/>
        <w:contextualSpacing/>
        <w:rPr>
          <w:rFonts w:ascii="Times New Roman" w:hAnsi="Times New Roman" w:cs="Times New Roman"/>
          <w:sz w:val="22"/>
          <w:szCs w:val="22"/>
          <w:lang w:val="lv-LV"/>
        </w:rPr>
      </w:pPr>
    </w:p>
    <w:p w14:paraId="677A3E20" w14:textId="385DC510" w:rsidR="00E64EEE" w:rsidRPr="001473C3" w:rsidRDefault="00785856" w:rsidP="001473C3">
      <w:pPr>
        <w:ind w:left="-851" w:right="-766" w:firstLine="851"/>
        <w:contextualSpacing/>
        <w:jc w:val="right"/>
        <w:rPr>
          <w:rFonts w:ascii="Times New Roman" w:hAnsi="Times New Roman" w:cs="Times New Roman"/>
          <w:i/>
          <w:iCs/>
          <w:sz w:val="20"/>
          <w:szCs w:val="20"/>
          <w:lang w:val="lv-LV"/>
        </w:rPr>
      </w:pPr>
      <w:r w:rsidRPr="00452D86">
        <w:rPr>
          <w:rFonts w:ascii="Times New Roman" w:hAnsi="Times New Roman" w:cs="Times New Roman"/>
          <w:i/>
          <w:iCs/>
          <w:sz w:val="20"/>
          <w:szCs w:val="20"/>
          <w:lang w:val="lv-LV"/>
        </w:rPr>
        <w:t>Attēls Nr.</w:t>
      </w:r>
      <w:r w:rsidR="00452D86" w:rsidRPr="00452D86">
        <w:rPr>
          <w:rFonts w:ascii="Times New Roman" w:hAnsi="Times New Roman" w:cs="Times New Roman"/>
          <w:i/>
          <w:iCs/>
          <w:sz w:val="20"/>
          <w:szCs w:val="20"/>
          <w:lang w:val="lv-LV"/>
        </w:rPr>
        <w:t>2</w:t>
      </w:r>
      <w:r w:rsidRPr="00FD0D0B">
        <w:rPr>
          <w:rFonts w:ascii="Times New Roman" w:hAnsi="Times New Roman" w:cs="Times New Roman"/>
          <w:i/>
          <w:iCs/>
          <w:sz w:val="20"/>
          <w:szCs w:val="20"/>
          <w:lang w:val="lv-LV"/>
        </w:rPr>
        <w:t xml:space="preserve"> Top 5 neatbilstību veidi 2021.-2027. gada plānošanas periodā, 2025.gadā</w:t>
      </w:r>
    </w:p>
    <w:p w14:paraId="7996DD21" w14:textId="3E7E75A5" w:rsidR="006A4521" w:rsidRDefault="00F1658E" w:rsidP="00004BB5">
      <w:pPr>
        <w:ind w:left="-851" w:right="-766" w:firstLine="0"/>
        <w:contextualSpacing/>
        <w:jc w:val="center"/>
        <w:rPr>
          <w:rFonts w:ascii="Times New Roman" w:hAnsi="Times New Roman" w:cs="Times New Roman"/>
          <w:lang w:val="lv-LV"/>
        </w:rPr>
      </w:pPr>
      <w:r>
        <w:rPr>
          <w:rFonts w:ascii="Times New Roman" w:hAnsi="Times New Roman" w:cs="Times New Roman"/>
          <w:noProof/>
          <w:lang w:val="lv-LV"/>
        </w:rPr>
        <w:drawing>
          <wp:inline distT="0" distB="0" distL="0" distR="0" wp14:anchorId="587635DB" wp14:editId="03B160AD">
            <wp:extent cx="5876925" cy="2924693"/>
            <wp:effectExtent l="0" t="0" r="0" b="9525"/>
            <wp:docPr id="19925034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2660" cy="2987266"/>
                    </a:xfrm>
                    <a:prstGeom prst="rect">
                      <a:avLst/>
                    </a:prstGeom>
                    <a:noFill/>
                  </pic:spPr>
                </pic:pic>
              </a:graphicData>
            </a:graphic>
          </wp:inline>
        </w:drawing>
      </w:r>
    </w:p>
    <w:p w14:paraId="6C843435" w14:textId="77777777" w:rsidR="00630859" w:rsidRPr="00004BB5" w:rsidRDefault="00630859" w:rsidP="007867CD">
      <w:pPr>
        <w:ind w:right="-766" w:firstLine="0"/>
        <w:contextualSpacing/>
        <w:rPr>
          <w:rFonts w:ascii="Times New Roman" w:hAnsi="Times New Roman" w:cs="Times New Roman"/>
          <w:lang w:val="lv-LV"/>
        </w:rPr>
      </w:pPr>
    </w:p>
    <w:p w14:paraId="5253F131" w14:textId="02029BC9" w:rsidR="000907A0" w:rsidRDefault="00521C42" w:rsidP="007A7499">
      <w:pPr>
        <w:ind w:left="-851" w:right="-766" w:firstLine="0"/>
        <w:contextualSpacing/>
        <w:jc w:val="center"/>
        <w:rPr>
          <w:rFonts w:ascii="Times New Roman" w:hAnsi="Times New Roman" w:cs="Times New Roman"/>
          <w:b/>
          <w:bCs/>
          <w:lang w:val="lv-LV"/>
        </w:rPr>
      </w:pPr>
      <w:r>
        <w:rPr>
          <w:rFonts w:ascii="Times New Roman" w:hAnsi="Times New Roman" w:cs="Times New Roman"/>
          <w:b/>
          <w:bCs/>
          <w:lang w:val="lv-LV"/>
        </w:rPr>
        <w:lastRenderedPageBreak/>
        <w:t>2</w:t>
      </w:r>
      <w:r w:rsidR="0048422B">
        <w:rPr>
          <w:rFonts w:ascii="Times New Roman" w:hAnsi="Times New Roman" w:cs="Times New Roman"/>
          <w:b/>
          <w:bCs/>
          <w:lang w:val="lv-LV"/>
        </w:rPr>
        <w:t xml:space="preserve">.3. </w:t>
      </w:r>
      <w:r w:rsidR="006D11D6" w:rsidRPr="006D11D6">
        <w:rPr>
          <w:rFonts w:ascii="Times New Roman" w:hAnsi="Times New Roman" w:cs="Times New Roman"/>
          <w:b/>
          <w:bCs/>
          <w:lang w:val="lv-LV"/>
        </w:rPr>
        <w:t xml:space="preserve">Investīciju un neatbilstību apjoma salīdzinājums </w:t>
      </w:r>
      <w:r w:rsidR="005F43F7" w:rsidRPr="005F43F7">
        <w:rPr>
          <w:rFonts w:ascii="Times New Roman" w:hAnsi="Times New Roman" w:cs="Times New Roman"/>
          <w:b/>
          <w:bCs/>
          <w:lang w:val="lv-LV"/>
        </w:rPr>
        <w:t>2007.-20</w:t>
      </w:r>
      <w:r w:rsidR="0094274F">
        <w:rPr>
          <w:rFonts w:ascii="Times New Roman" w:hAnsi="Times New Roman" w:cs="Times New Roman"/>
          <w:b/>
          <w:bCs/>
          <w:lang w:val="lv-LV"/>
        </w:rPr>
        <w:t>1</w:t>
      </w:r>
      <w:r w:rsidR="005F43F7" w:rsidRPr="005F43F7">
        <w:rPr>
          <w:rFonts w:ascii="Times New Roman" w:hAnsi="Times New Roman" w:cs="Times New Roman"/>
          <w:b/>
          <w:bCs/>
          <w:lang w:val="lv-LV"/>
        </w:rPr>
        <w:t>3., 2014.-2020. un 2021.-2027. plānošanas periodu piektaj</w:t>
      </w:r>
      <w:r w:rsidR="005F43F7">
        <w:rPr>
          <w:rFonts w:ascii="Times New Roman" w:hAnsi="Times New Roman" w:cs="Times New Roman"/>
          <w:b/>
          <w:bCs/>
          <w:lang w:val="lv-LV"/>
        </w:rPr>
        <w:t>os</w:t>
      </w:r>
      <w:r w:rsidR="005F43F7" w:rsidRPr="005F43F7">
        <w:rPr>
          <w:rFonts w:ascii="Times New Roman" w:hAnsi="Times New Roman" w:cs="Times New Roman"/>
          <w:b/>
          <w:bCs/>
          <w:lang w:val="lv-LV"/>
        </w:rPr>
        <w:t xml:space="preserve"> ieviešanas gad</w:t>
      </w:r>
      <w:r w:rsidR="005F43F7">
        <w:rPr>
          <w:rFonts w:ascii="Times New Roman" w:hAnsi="Times New Roman" w:cs="Times New Roman"/>
          <w:b/>
          <w:bCs/>
          <w:lang w:val="lv-LV"/>
        </w:rPr>
        <w:t>os</w:t>
      </w:r>
      <w:r w:rsidR="005F43F7" w:rsidRPr="005F43F7">
        <w:rPr>
          <w:rFonts w:ascii="Times New Roman" w:hAnsi="Times New Roman" w:cs="Times New Roman"/>
          <w:b/>
          <w:bCs/>
          <w:lang w:val="lv-LV"/>
        </w:rPr>
        <w:t xml:space="preserve"> </w:t>
      </w:r>
      <w:r w:rsidR="006D11D6" w:rsidRPr="006D11D6">
        <w:rPr>
          <w:rFonts w:ascii="Times New Roman" w:hAnsi="Times New Roman" w:cs="Times New Roman"/>
          <w:b/>
          <w:bCs/>
          <w:lang w:val="lv-LV"/>
        </w:rPr>
        <w:t>(</w:t>
      </w:r>
      <w:r w:rsidR="00D7415D">
        <w:rPr>
          <w:rFonts w:ascii="Times New Roman" w:hAnsi="Times New Roman" w:cs="Times New Roman"/>
          <w:b/>
          <w:bCs/>
          <w:lang w:val="lv-LV"/>
        </w:rPr>
        <w:t xml:space="preserve">2011., </w:t>
      </w:r>
      <w:r w:rsidR="006D11D6" w:rsidRPr="006D11D6">
        <w:rPr>
          <w:rFonts w:ascii="Times New Roman" w:hAnsi="Times New Roman" w:cs="Times New Roman"/>
          <w:b/>
          <w:bCs/>
          <w:lang w:val="lv-LV"/>
        </w:rPr>
        <w:t>201</w:t>
      </w:r>
      <w:r w:rsidR="006D11D6">
        <w:rPr>
          <w:rFonts w:ascii="Times New Roman" w:hAnsi="Times New Roman" w:cs="Times New Roman"/>
          <w:b/>
          <w:bCs/>
          <w:lang w:val="lv-LV"/>
        </w:rPr>
        <w:t>8</w:t>
      </w:r>
      <w:r w:rsidR="006D11D6" w:rsidRPr="006D11D6">
        <w:rPr>
          <w:rFonts w:ascii="Times New Roman" w:hAnsi="Times New Roman" w:cs="Times New Roman"/>
          <w:b/>
          <w:bCs/>
          <w:lang w:val="lv-LV"/>
        </w:rPr>
        <w:t>., 202</w:t>
      </w:r>
      <w:r w:rsidR="002843F3">
        <w:rPr>
          <w:rFonts w:ascii="Times New Roman" w:hAnsi="Times New Roman" w:cs="Times New Roman"/>
          <w:b/>
          <w:bCs/>
          <w:lang w:val="lv-LV"/>
        </w:rPr>
        <w:t>5</w:t>
      </w:r>
      <w:r w:rsidR="006D11D6" w:rsidRPr="006D11D6">
        <w:rPr>
          <w:rFonts w:ascii="Times New Roman" w:hAnsi="Times New Roman" w:cs="Times New Roman"/>
          <w:b/>
          <w:bCs/>
          <w:lang w:val="lv-LV"/>
        </w:rPr>
        <w:t>. gads)</w:t>
      </w:r>
    </w:p>
    <w:p w14:paraId="1A0618B0" w14:textId="77777777" w:rsidR="007A7499" w:rsidRDefault="007A7499" w:rsidP="00CD6ED7">
      <w:pPr>
        <w:ind w:right="-766" w:firstLine="0"/>
        <w:contextualSpacing/>
        <w:rPr>
          <w:rFonts w:ascii="Times New Roman" w:hAnsi="Times New Roman" w:cs="Times New Roman"/>
          <w:b/>
          <w:bCs/>
          <w:lang w:val="lv-LV"/>
        </w:rPr>
      </w:pPr>
    </w:p>
    <w:p w14:paraId="4AB5CE82" w14:textId="78B129B0" w:rsidR="00D32406" w:rsidRPr="00FD0D0B" w:rsidRDefault="00D32406" w:rsidP="00591F47">
      <w:pPr>
        <w:ind w:left="-851" w:right="-766" w:firstLine="851"/>
        <w:contextualSpacing/>
        <w:rPr>
          <w:rFonts w:ascii="Times New Roman" w:hAnsi="Times New Roman" w:cs="Times New Roman"/>
          <w:sz w:val="22"/>
          <w:szCs w:val="22"/>
          <w:lang w:val="lv-LV"/>
        </w:rPr>
      </w:pPr>
      <w:r w:rsidRPr="00FD0D0B">
        <w:rPr>
          <w:rFonts w:ascii="Times New Roman" w:hAnsi="Times New Roman" w:cs="Times New Roman"/>
          <w:sz w:val="22"/>
          <w:szCs w:val="22"/>
          <w:lang w:val="lv-LV"/>
        </w:rPr>
        <w:t xml:space="preserve">Lai gūtu ieskatu dažādu plānošanas periodu griezumā, veicām salīdzinājumu </w:t>
      </w:r>
      <w:r w:rsidR="00591F47" w:rsidRPr="00FD0D0B">
        <w:rPr>
          <w:rFonts w:ascii="Times New Roman" w:hAnsi="Times New Roman" w:cs="Times New Roman"/>
          <w:sz w:val="22"/>
          <w:szCs w:val="22"/>
          <w:lang w:val="lv-LV"/>
        </w:rPr>
        <w:t>2007.-20</w:t>
      </w:r>
      <w:r w:rsidR="0094274F">
        <w:rPr>
          <w:rFonts w:ascii="Times New Roman" w:hAnsi="Times New Roman" w:cs="Times New Roman"/>
          <w:sz w:val="22"/>
          <w:szCs w:val="22"/>
          <w:lang w:val="lv-LV"/>
        </w:rPr>
        <w:t>1</w:t>
      </w:r>
      <w:r w:rsidR="00591F47" w:rsidRPr="00FD0D0B">
        <w:rPr>
          <w:rFonts w:ascii="Times New Roman" w:hAnsi="Times New Roman" w:cs="Times New Roman"/>
          <w:sz w:val="22"/>
          <w:szCs w:val="22"/>
          <w:lang w:val="lv-LV"/>
        </w:rPr>
        <w:t xml:space="preserve">3., </w:t>
      </w:r>
      <w:r w:rsidRPr="00FD0D0B">
        <w:rPr>
          <w:rFonts w:ascii="Times New Roman" w:hAnsi="Times New Roman" w:cs="Times New Roman"/>
          <w:sz w:val="22"/>
          <w:szCs w:val="22"/>
          <w:lang w:val="lv-LV"/>
        </w:rPr>
        <w:t xml:space="preserve">2014.-2020. un 2021.-2027. gadu plānošanas periodu </w:t>
      </w:r>
      <w:r w:rsidR="00591F47" w:rsidRPr="00FD0D0B">
        <w:rPr>
          <w:rFonts w:ascii="Times New Roman" w:hAnsi="Times New Roman" w:cs="Times New Roman"/>
          <w:sz w:val="22"/>
          <w:szCs w:val="22"/>
          <w:lang w:val="lv-LV"/>
        </w:rPr>
        <w:t>piektaj</w:t>
      </w:r>
      <w:r w:rsidR="00DD5619" w:rsidRPr="00FD0D0B">
        <w:rPr>
          <w:rFonts w:ascii="Times New Roman" w:hAnsi="Times New Roman" w:cs="Times New Roman"/>
          <w:sz w:val="22"/>
          <w:szCs w:val="22"/>
          <w:lang w:val="lv-LV"/>
        </w:rPr>
        <w:t>iem</w:t>
      </w:r>
      <w:r w:rsidR="00591F47" w:rsidRPr="00FD0D0B">
        <w:rPr>
          <w:rFonts w:ascii="Times New Roman" w:hAnsi="Times New Roman" w:cs="Times New Roman"/>
          <w:sz w:val="22"/>
          <w:szCs w:val="22"/>
          <w:lang w:val="lv-LV"/>
        </w:rPr>
        <w:t xml:space="preserve"> </w:t>
      </w:r>
      <w:r w:rsidRPr="00FD0D0B">
        <w:rPr>
          <w:rFonts w:ascii="Times New Roman" w:hAnsi="Times New Roman" w:cs="Times New Roman"/>
          <w:sz w:val="22"/>
          <w:szCs w:val="22"/>
          <w:lang w:val="lv-LV"/>
        </w:rPr>
        <w:t>ieviešanas gad</w:t>
      </w:r>
      <w:r w:rsidR="00DD5619" w:rsidRPr="00FD0D0B">
        <w:rPr>
          <w:rFonts w:ascii="Times New Roman" w:hAnsi="Times New Roman" w:cs="Times New Roman"/>
          <w:sz w:val="22"/>
          <w:szCs w:val="22"/>
          <w:lang w:val="lv-LV"/>
        </w:rPr>
        <w:t>iem</w:t>
      </w:r>
      <w:r w:rsidRPr="00FD0D0B">
        <w:rPr>
          <w:rFonts w:ascii="Times New Roman" w:hAnsi="Times New Roman" w:cs="Times New Roman"/>
          <w:sz w:val="22"/>
          <w:szCs w:val="22"/>
          <w:lang w:val="lv-LV"/>
        </w:rPr>
        <w:t xml:space="preserve">, t.i., </w:t>
      </w:r>
      <w:r w:rsidR="00806F79" w:rsidRPr="00FD0D0B">
        <w:rPr>
          <w:rFonts w:ascii="Times New Roman" w:hAnsi="Times New Roman" w:cs="Times New Roman"/>
          <w:sz w:val="22"/>
          <w:szCs w:val="22"/>
          <w:lang w:val="lv-LV"/>
        </w:rPr>
        <w:t xml:space="preserve">2011., </w:t>
      </w:r>
      <w:r w:rsidRPr="00FD0D0B">
        <w:rPr>
          <w:rFonts w:ascii="Times New Roman" w:hAnsi="Times New Roman" w:cs="Times New Roman"/>
          <w:sz w:val="22"/>
          <w:szCs w:val="22"/>
          <w:lang w:val="lv-LV"/>
        </w:rPr>
        <w:t>201</w:t>
      </w:r>
      <w:r w:rsidR="00806F79" w:rsidRPr="00FD0D0B">
        <w:rPr>
          <w:rFonts w:ascii="Times New Roman" w:hAnsi="Times New Roman" w:cs="Times New Roman"/>
          <w:sz w:val="22"/>
          <w:szCs w:val="22"/>
          <w:lang w:val="lv-LV"/>
        </w:rPr>
        <w:t>8</w:t>
      </w:r>
      <w:r w:rsidRPr="00FD0D0B">
        <w:rPr>
          <w:rFonts w:ascii="Times New Roman" w:hAnsi="Times New Roman" w:cs="Times New Roman"/>
          <w:sz w:val="22"/>
          <w:szCs w:val="22"/>
          <w:lang w:val="lv-LV"/>
        </w:rPr>
        <w:t>. un 202</w:t>
      </w:r>
      <w:r w:rsidR="00806F79" w:rsidRPr="00FD0D0B">
        <w:rPr>
          <w:rFonts w:ascii="Times New Roman" w:hAnsi="Times New Roman" w:cs="Times New Roman"/>
          <w:sz w:val="22"/>
          <w:szCs w:val="22"/>
          <w:lang w:val="lv-LV"/>
        </w:rPr>
        <w:t>5</w:t>
      </w:r>
      <w:r w:rsidRPr="00FD0D0B">
        <w:rPr>
          <w:rFonts w:ascii="Times New Roman" w:hAnsi="Times New Roman" w:cs="Times New Roman"/>
          <w:sz w:val="22"/>
          <w:szCs w:val="22"/>
          <w:lang w:val="lv-LV"/>
        </w:rPr>
        <w:t>. gad</w:t>
      </w:r>
      <w:r w:rsidR="00806F79" w:rsidRPr="00FD0D0B">
        <w:rPr>
          <w:rFonts w:ascii="Times New Roman" w:hAnsi="Times New Roman" w:cs="Times New Roman"/>
          <w:sz w:val="22"/>
          <w:szCs w:val="22"/>
          <w:lang w:val="lv-LV"/>
        </w:rPr>
        <w:t>ā</w:t>
      </w:r>
      <w:r w:rsidRPr="00FD0D0B">
        <w:rPr>
          <w:rFonts w:ascii="Times New Roman" w:hAnsi="Times New Roman" w:cs="Times New Roman"/>
          <w:sz w:val="22"/>
          <w:szCs w:val="22"/>
          <w:lang w:val="lv-LV"/>
        </w:rPr>
        <w:t>.</w:t>
      </w:r>
    </w:p>
    <w:p w14:paraId="3A7505D9" w14:textId="77777777" w:rsidR="00347256" w:rsidRDefault="007E3F69" w:rsidP="000B2CFD">
      <w:pPr>
        <w:ind w:left="-851" w:right="-766" w:firstLine="851"/>
        <w:contextualSpacing/>
        <w:rPr>
          <w:rFonts w:ascii="Times New Roman" w:hAnsi="Times New Roman" w:cs="Times New Roman"/>
          <w:sz w:val="22"/>
          <w:szCs w:val="22"/>
          <w:lang w:val="lv-LV"/>
        </w:rPr>
      </w:pPr>
      <w:r w:rsidRPr="00FD0D0B">
        <w:rPr>
          <w:rFonts w:ascii="Times New Roman" w:hAnsi="Times New Roman" w:cs="Times New Roman"/>
          <w:sz w:val="22"/>
          <w:szCs w:val="22"/>
          <w:lang w:val="lv-LV"/>
        </w:rPr>
        <w:t xml:space="preserve">Kā redzams </w:t>
      </w:r>
      <w:r w:rsidRPr="00452D86">
        <w:rPr>
          <w:rFonts w:ascii="Times New Roman" w:hAnsi="Times New Roman" w:cs="Times New Roman"/>
          <w:sz w:val="22"/>
          <w:szCs w:val="22"/>
          <w:lang w:val="lv-LV"/>
        </w:rPr>
        <w:t>attēlā Nr.</w:t>
      </w:r>
      <w:r w:rsidR="00452D86" w:rsidRPr="00452D86">
        <w:rPr>
          <w:rFonts w:ascii="Times New Roman" w:hAnsi="Times New Roman" w:cs="Times New Roman"/>
          <w:sz w:val="22"/>
          <w:szCs w:val="22"/>
          <w:lang w:val="lv-LV"/>
        </w:rPr>
        <w:t>3</w:t>
      </w:r>
      <w:r w:rsidRPr="00FD0D0B">
        <w:rPr>
          <w:rFonts w:ascii="Times New Roman" w:hAnsi="Times New Roman" w:cs="Times New Roman"/>
          <w:sz w:val="22"/>
          <w:szCs w:val="22"/>
          <w:lang w:val="lv-LV"/>
        </w:rPr>
        <w:t xml:space="preserve"> </w:t>
      </w:r>
      <w:r w:rsidR="00D32406" w:rsidRPr="00FD0D0B">
        <w:rPr>
          <w:rFonts w:ascii="Times New Roman" w:hAnsi="Times New Roman" w:cs="Times New Roman"/>
          <w:sz w:val="22"/>
          <w:szCs w:val="22"/>
          <w:lang w:val="lv-LV"/>
        </w:rPr>
        <w:t>2021.-2027. gada plānošanas periodā attiecināmo izdevumu summas atsevišķos fondos, piemēram, ELGF, EJZAF</w:t>
      </w:r>
      <w:r w:rsidR="00795488" w:rsidRPr="00FD0D0B">
        <w:rPr>
          <w:rFonts w:ascii="Times New Roman" w:hAnsi="Times New Roman" w:cs="Times New Roman"/>
          <w:sz w:val="22"/>
          <w:szCs w:val="22"/>
          <w:lang w:val="lv-LV"/>
        </w:rPr>
        <w:t xml:space="preserve">, </w:t>
      </w:r>
      <w:r w:rsidR="00D32406" w:rsidRPr="00FD0D0B">
        <w:rPr>
          <w:rFonts w:ascii="Times New Roman" w:hAnsi="Times New Roman" w:cs="Times New Roman"/>
          <w:sz w:val="22"/>
          <w:szCs w:val="22"/>
          <w:lang w:val="lv-LV"/>
        </w:rPr>
        <w:t>ESF+</w:t>
      </w:r>
      <w:r w:rsidR="00795488" w:rsidRPr="00FD0D0B">
        <w:rPr>
          <w:rFonts w:ascii="Times New Roman" w:hAnsi="Times New Roman" w:cs="Times New Roman"/>
          <w:sz w:val="22"/>
          <w:szCs w:val="22"/>
          <w:lang w:val="lv-LV"/>
        </w:rPr>
        <w:t>, IDF un PMIF</w:t>
      </w:r>
      <w:r w:rsidR="00D32406" w:rsidRPr="00FD0D0B">
        <w:rPr>
          <w:rFonts w:ascii="Times New Roman" w:hAnsi="Times New Roman" w:cs="Times New Roman"/>
          <w:sz w:val="22"/>
          <w:szCs w:val="22"/>
          <w:lang w:val="lv-LV"/>
        </w:rPr>
        <w:t xml:space="preserve"> ir augstākas, nekā iepriekšējā plānošanas perioda </w:t>
      </w:r>
      <w:r w:rsidR="00753C7F" w:rsidRPr="00FD0D0B">
        <w:rPr>
          <w:rFonts w:ascii="Times New Roman" w:hAnsi="Times New Roman" w:cs="Times New Roman"/>
          <w:sz w:val="22"/>
          <w:szCs w:val="22"/>
          <w:lang w:val="lv-LV"/>
        </w:rPr>
        <w:t>piektajā</w:t>
      </w:r>
      <w:r w:rsidR="00D32406" w:rsidRPr="00FD0D0B">
        <w:rPr>
          <w:rFonts w:ascii="Times New Roman" w:hAnsi="Times New Roman" w:cs="Times New Roman"/>
          <w:sz w:val="22"/>
          <w:szCs w:val="22"/>
          <w:lang w:val="lv-LV"/>
        </w:rPr>
        <w:t xml:space="preserve"> ieviešanas gadā pielīdzināmos fondos</w:t>
      </w:r>
      <w:r w:rsidR="00126609">
        <w:rPr>
          <w:rFonts w:ascii="Times New Roman" w:hAnsi="Times New Roman" w:cs="Times New Roman"/>
          <w:sz w:val="22"/>
          <w:szCs w:val="22"/>
          <w:lang w:val="lv-LV"/>
        </w:rPr>
        <w:t>, norādot uz efektīvākiem investēšanas apjomiem.</w:t>
      </w:r>
      <w:r w:rsidR="0067220C" w:rsidRPr="00FD0D0B">
        <w:rPr>
          <w:rFonts w:ascii="Times New Roman" w:hAnsi="Times New Roman" w:cs="Times New Roman"/>
          <w:sz w:val="22"/>
          <w:szCs w:val="22"/>
          <w:lang w:val="lv-LV"/>
        </w:rPr>
        <w:t xml:space="preserve"> Savukārt, ESF</w:t>
      </w:r>
      <w:r w:rsidR="006435C4">
        <w:rPr>
          <w:rFonts w:ascii="Times New Roman" w:hAnsi="Times New Roman" w:cs="Times New Roman"/>
          <w:sz w:val="22"/>
          <w:szCs w:val="22"/>
          <w:lang w:val="lv-LV"/>
        </w:rPr>
        <w:t xml:space="preserve">, </w:t>
      </w:r>
      <w:r w:rsidR="003E757A" w:rsidRPr="00FD0D0B">
        <w:rPr>
          <w:rFonts w:ascii="Times New Roman" w:hAnsi="Times New Roman" w:cs="Times New Roman"/>
          <w:sz w:val="22"/>
          <w:szCs w:val="22"/>
          <w:lang w:val="lv-LV"/>
        </w:rPr>
        <w:t>KF</w:t>
      </w:r>
      <w:r w:rsidR="006435C4">
        <w:rPr>
          <w:rFonts w:ascii="Times New Roman" w:hAnsi="Times New Roman" w:cs="Times New Roman"/>
          <w:sz w:val="22"/>
          <w:szCs w:val="22"/>
          <w:lang w:val="lv-LV"/>
        </w:rPr>
        <w:t xml:space="preserve">, </w:t>
      </w:r>
      <w:r w:rsidR="004B55EF">
        <w:rPr>
          <w:rFonts w:ascii="Times New Roman" w:hAnsi="Times New Roman" w:cs="Times New Roman"/>
          <w:sz w:val="22"/>
          <w:szCs w:val="22"/>
          <w:lang w:val="lv-LV"/>
        </w:rPr>
        <w:t>ELFLA</w:t>
      </w:r>
      <w:r w:rsidR="003E757A" w:rsidRPr="00FD0D0B">
        <w:rPr>
          <w:rFonts w:ascii="Times New Roman" w:hAnsi="Times New Roman" w:cs="Times New Roman"/>
          <w:sz w:val="22"/>
          <w:szCs w:val="22"/>
          <w:lang w:val="lv-LV"/>
        </w:rPr>
        <w:t xml:space="preserve"> un ETS attiecināmo izdevumu summa 2021.-2027. plānošanas periodā ir zemākas nekā 2007.- 2013. un 2014.-202</w:t>
      </w:r>
      <w:r w:rsidR="007B7366" w:rsidRPr="00FD0D0B">
        <w:rPr>
          <w:rFonts w:ascii="Times New Roman" w:hAnsi="Times New Roman" w:cs="Times New Roman"/>
          <w:sz w:val="22"/>
          <w:szCs w:val="22"/>
          <w:lang w:val="lv-LV"/>
        </w:rPr>
        <w:t>0.</w:t>
      </w:r>
      <w:r w:rsidR="001065C7">
        <w:rPr>
          <w:rFonts w:ascii="Times New Roman" w:hAnsi="Times New Roman" w:cs="Times New Roman"/>
          <w:sz w:val="22"/>
          <w:szCs w:val="22"/>
          <w:lang w:val="lv-LV"/>
        </w:rPr>
        <w:t> </w:t>
      </w:r>
      <w:r w:rsidR="007B7366" w:rsidRPr="00FD0D0B">
        <w:rPr>
          <w:rFonts w:ascii="Times New Roman" w:hAnsi="Times New Roman" w:cs="Times New Roman"/>
          <w:sz w:val="22"/>
          <w:szCs w:val="22"/>
          <w:lang w:val="lv-LV"/>
        </w:rPr>
        <w:t>plānošanas periodos</w:t>
      </w:r>
      <w:r w:rsidR="00D32406" w:rsidRPr="00FD0D0B">
        <w:rPr>
          <w:rFonts w:ascii="Times New Roman" w:hAnsi="Times New Roman" w:cs="Times New Roman"/>
          <w:sz w:val="22"/>
          <w:szCs w:val="22"/>
          <w:lang w:val="lv-LV"/>
        </w:rPr>
        <w:t>, kas liecina par salīdzinoši lēnāku ES finansējuma investēšanu 2021.-2027. plānošanas period</w:t>
      </w:r>
      <w:r w:rsidR="0091544D" w:rsidRPr="00FD0D0B">
        <w:rPr>
          <w:rFonts w:ascii="Times New Roman" w:hAnsi="Times New Roman" w:cs="Times New Roman"/>
          <w:sz w:val="22"/>
          <w:szCs w:val="22"/>
          <w:lang w:val="lv-LV"/>
        </w:rPr>
        <w:t>ā</w:t>
      </w:r>
      <w:r w:rsidR="00B54BD0">
        <w:rPr>
          <w:rFonts w:ascii="Times New Roman" w:hAnsi="Times New Roman" w:cs="Times New Roman"/>
          <w:sz w:val="22"/>
          <w:szCs w:val="22"/>
          <w:lang w:val="lv-LV"/>
        </w:rPr>
        <w:t>, ko daļēji varam skaidrot ar para</w:t>
      </w:r>
      <w:r w:rsidR="00347256">
        <w:rPr>
          <w:rFonts w:ascii="Times New Roman" w:hAnsi="Times New Roman" w:cs="Times New Roman"/>
          <w:sz w:val="22"/>
          <w:szCs w:val="22"/>
          <w:lang w:val="lv-LV"/>
        </w:rPr>
        <w:t>lēli ieviešamo Atveseļošanās fondu</w:t>
      </w:r>
      <w:r w:rsidR="00D32406" w:rsidRPr="00FD0D0B">
        <w:rPr>
          <w:rFonts w:ascii="Times New Roman" w:hAnsi="Times New Roman" w:cs="Times New Roman"/>
          <w:sz w:val="22"/>
          <w:szCs w:val="22"/>
          <w:lang w:val="lv-LV"/>
        </w:rPr>
        <w:t xml:space="preserve">. </w:t>
      </w:r>
    </w:p>
    <w:p w14:paraId="1B440CBD" w14:textId="2828F5FA" w:rsidR="00D75FAA" w:rsidRDefault="000B2CFD" w:rsidP="000B2CFD">
      <w:pPr>
        <w:ind w:left="-851" w:right="-766" w:firstLine="851"/>
        <w:contextualSpacing/>
        <w:rPr>
          <w:rFonts w:ascii="Times New Roman" w:hAnsi="Times New Roman" w:cs="Times New Roman"/>
          <w:sz w:val="22"/>
          <w:szCs w:val="22"/>
          <w:lang w:val="lv-LV"/>
        </w:rPr>
      </w:pPr>
      <w:r>
        <w:rPr>
          <w:rFonts w:ascii="Times New Roman" w:hAnsi="Times New Roman" w:cs="Times New Roman"/>
          <w:sz w:val="22"/>
          <w:szCs w:val="22"/>
          <w:lang w:val="lv-LV"/>
        </w:rPr>
        <w:t xml:space="preserve">Jāmin gan, ka </w:t>
      </w:r>
      <w:r w:rsidRPr="00FD0D0B">
        <w:rPr>
          <w:rFonts w:ascii="Times New Roman" w:hAnsi="Times New Roman" w:cs="Times New Roman"/>
          <w:sz w:val="22"/>
          <w:szCs w:val="22"/>
          <w:lang w:val="lv-LV"/>
        </w:rPr>
        <w:t>ETS ietvaros attiecināmo izmaksu apjoms ir mazāks kā attiecīgajā gadā iepriekšēj</w:t>
      </w:r>
      <w:r w:rsidR="002F2C1E">
        <w:rPr>
          <w:rFonts w:ascii="Times New Roman" w:hAnsi="Times New Roman" w:cs="Times New Roman"/>
          <w:sz w:val="22"/>
          <w:szCs w:val="22"/>
          <w:lang w:val="lv-LV"/>
        </w:rPr>
        <w:t>os</w:t>
      </w:r>
      <w:r w:rsidRPr="00FD0D0B">
        <w:rPr>
          <w:rFonts w:ascii="Times New Roman" w:hAnsi="Times New Roman" w:cs="Times New Roman"/>
          <w:sz w:val="22"/>
          <w:szCs w:val="22"/>
          <w:lang w:val="lv-LV"/>
        </w:rPr>
        <w:t xml:space="preserve"> plānošanas period</w:t>
      </w:r>
      <w:r w:rsidR="002F2C1E">
        <w:rPr>
          <w:rFonts w:ascii="Times New Roman" w:hAnsi="Times New Roman" w:cs="Times New Roman"/>
          <w:sz w:val="22"/>
          <w:szCs w:val="22"/>
          <w:lang w:val="lv-LV"/>
        </w:rPr>
        <w:t>os</w:t>
      </w:r>
      <w:r w:rsidRPr="00FD0D0B">
        <w:rPr>
          <w:rFonts w:ascii="Times New Roman" w:hAnsi="Times New Roman" w:cs="Times New Roman"/>
          <w:sz w:val="22"/>
          <w:szCs w:val="22"/>
          <w:lang w:val="lv-LV"/>
        </w:rPr>
        <w:t>, jo</w:t>
      </w:r>
      <w:r>
        <w:rPr>
          <w:rFonts w:ascii="Times New Roman" w:hAnsi="Times New Roman" w:cs="Times New Roman"/>
          <w:sz w:val="22"/>
          <w:szCs w:val="22"/>
          <w:lang w:val="lv-LV"/>
        </w:rPr>
        <w:t xml:space="preserve"> </w:t>
      </w:r>
      <w:r w:rsidRPr="00FD0D0B">
        <w:rPr>
          <w:rFonts w:ascii="Times New Roman" w:hAnsi="Times New Roman" w:cs="Times New Roman"/>
          <w:sz w:val="22"/>
          <w:szCs w:val="22"/>
          <w:lang w:val="lv-LV"/>
        </w:rPr>
        <w:t>2021.-2027. gada plānošanas periodā ir mazāks īstenojamo programmu skaits un pieejamais</w:t>
      </w:r>
      <w:r w:rsidR="002F2C1E">
        <w:rPr>
          <w:rFonts w:ascii="Times New Roman" w:hAnsi="Times New Roman" w:cs="Times New Roman"/>
          <w:sz w:val="22"/>
          <w:szCs w:val="22"/>
          <w:lang w:val="lv-LV"/>
        </w:rPr>
        <w:t xml:space="preserve"> </w:t>
      </w:r>
      <w:r w:rsidRPr="00FD0D0B">
        <w:rPr>
          <w:rFonts w:ascii="Times New Roman" w:hAnsi="Times New Roman" w:cs="Times New Roman"/>
          <w:sz w:val="22"/>
          <w:szCs w:val="22"/>
          <w:lang w:val="lv-LV"/>
        </w:rPr>
        <w:t>finansējums</w:t>
      </w:r>
      <w:r w:rsidR="0086477F">
        <w:rPr>
          <w:rFonts w:ascii="Times New Roman" w:hAnsi="Times New Roman" w:cs="Times New Roman"/>
          <w:sz w:val="22"/>
          <w:szCs w:val="22"/>
          <w:lang w:val="lv-LV"/>
        </w:rPr>
        <w:t xml:space="preserve"> (</w:t>
      </w:r>
      <w:r w:rsidR="007E4096">
        <w:rPr>
          <w:rFonts w:ascii="Times New Roman" w:hAnsi="Times New Roman" w:cs="Times New Roman"/>
          <w:sz w:val="22"/>
          <w:szCs w:val="22"/>
          <w:lang w:val="lv-LV"/>
        </w:rPr>
        <w:t>atsevišķ</w:t>
      </w:r>
      <w:r w:rsidR="0086477F">
        <w:rPr>
          <w:rFonts w:ascii="Times New Roman" w:hAnsi="Times New Roman" w:cs="Times New Roman"/>
          <w:sz w:val="22"/>
          <w:szCs w:val="22"/>
          <w:lang w:val="lv-LV"/>
        </w:rPr>
        <w:t>as</w:t>
      </w:r>
      <w:r w:rsidR="007E4096">
        <w:rPr>
          <w:rFonts w:ascii="Times New Roman" w:hAnsi="Times New Roman" w:cs="Times New Roman"/>
          <w:sz w:val="22"/>
          <w:szCs w:val="22"/>
          <w:lang w:val="lv-LV"/>
        </w:rPr>
        <w:t xml:space="preserve"> kaimiņvalst</w:t>
      </w:r>
      <w:r w:rsidR="0086477F">
        <w:rPr>
          <w:rFonts w:ascii="Times New Roman" w:hAnsi="Times New Roman" w:cs="Times New Roman"/>
          <w:sz w:val="22"/>
          <w:szCs w:val="22"/>
          <w:lang w:val="lv-LV"/>
        </w:rPr>
        <w:t xml:space="preserve">is </w:t>
      </w:r>
      <w:r w:rsidR="000C0B22">
        <w:rPr>
          <w:rFonts w:ascii="Times New Roman" w:hAnsi="Times New Roman" w:cs="Times New Roman"/>
          <w:sz w:val="22"/>
          <w:szCs w:val="22"/>
          <w:lang w:val="lv-LV"/>
        </w:rPr>
        <w:t>vairs nav sadarbības partneri</w:t>
      </w:r>
      <w:r w:rsidR="0086477F">
        <w:rPr>
          <w:rFonts w:ascii="Times New Roman" w:hAnsi="Times New Roman" w:cs="Times New Roman"/>
          <w:sz w:val="22"/>
          <w:szCs w:val="22"/>
          <w:lang w:val="lv-LV"/>
        </w:rPr>
        <w:t>)</w:t>
      </w:r>
      <w:r w:rsidRPr="00FD0D0B">
        <w:rPr>
          <w:rFonts w:ascii="Times New Roman" w:hAnsi="Times New Roman" w:cs="Times New Roman"/>
          <w:sz w:val="22"/>
          <w:szCs w:val="22"/>
          <w:lang w:val="lv-LV"/>
        </w:rPr>
        <w:t>.</w:t>
      </w:r>
      <w:r w:rsidR="002F2C1E">
        <w:rPr>
          <w:rFonts w:ascii="Times New Roman" w:hAnsi="Times New Roman" w:cs="Times New Roman"/>
          <w:sz w:val="22"/>
          <w:szCs w:val="22"/>
          <w:lang w:val="lv-LV"/>
        </w:rPr>
        <w:t xml:space="preserve"> </w:t>
      </w:r>
      <w:r w:rsidR="004B55EF" w:rsidRPr="0086609D">
        <w:rPr>
          <w:rFonts w:ascii="Times New Roman" w:hAnsi="Times New Roman" w:cs="Times New Roman"/>
          <w:sz w:val="22"/>
          <w:szCs w:val="22"/>
          <w:lang w:val="lv-LV"/>
        </w:rPr>
        <w:t xml:space="preserve">Savukārt, ERAF attiecināmo </w:t>
      </w:r>
      <w:r w:rsidR="005E7A58" w:rsidRPr="0086609D">
        <w:rPr>
          <w:rFonts w:ascii="Times New Roman" w:hAnsi="Times New Roman" w:cs="Times New Roman"/>
          <w:sz w:val="22"/>
          <w:szCs w:val="22"/>
          <w:lang w:val="lv-LV"/>
        </w:rPr>
        <w:t xml:space="preserve">izdevumu ziņā visefektīvākais bija 2014.-2020. plānošanas perioda 5.ieviešanas </w:t>
      </w:r>
      <w:r w:rsidR="00D75FAA" w:rsidRPr="0086609D">
        <w:rPr>
          <w:rFonts w:ascii="Times New Roman" w:hAnsi="Times New Roman" w:cs="Times New Roman"/>
          <w:sz w:val="22"/>
          <w:szCs w:val="22"/>
          <w:lang w:val="lv-LV"/>
        </w:rPr>
        <w:t>gads.</w:t>
      </w:r>
      <w:r w:rsidR="00D75FAA" w:rsidRPr="00FD0D0B">
        <w:rPr>
          <w:rFonts w:ascii="Times New Roman" w:hAnsi="Times New Roman" w:cs="Times New Roman"/>
          <w:sz w:val="22"/>
          <w:szCs w:val="22"/>
          <w:lang w:val="lv-LV"/>
        </w:rPr>
        <w:t xml:space="preserve"> Turklāt</w:t>
      </w:r>
      <w:r w:rsidR="001F1316" w:rsidRPr="00FD0D0B">
        <w:rPr>
          <w:rFonts w:ascii="Times New Roman" w:hAnsi="Times New Roman" w:cs="Times New Roman"/>
          <w:sz w:val="22"/>
          <w:szCs w:val="22"/>
          <w:lang w:val="lv-LV"/>
        </w:rPr>
        <w:t xml:space="preserve">, 2014.-2020. gada plānošanas periodā izdevumu </w:t>
      </w:r>
      <w:proofErr w:type="spellStart"/>
      <w:r w:rsidR="001F1316" w:rsidRPr="00FD0D0B">
        <w:rPr>
          <w:rFonts w:ascii="Times New Roman" w:hAnsi="Times New Roman" w:cs="Times New Roman"/>
          <w:sz w:val="22"/>
          <w:szCs w:val="22"/>
          <w:lang w:val="lv-LV"/>
        </w:rPr>
        <w:t>attiecināmība</w:t>
      </w:r>
      <w:proofErr w:type="spellEnd"/>
      <w:r w:rsidR="001F1316" w:rsidRPr="00FD0D0B">
        <w:rPr>
          <w:rFonts w:ascii="Times New Roman" w:hAnsi="Times New Roman" w:cs="Times New Roman"/>
          <w:sz w:val="22"/>
          <w:szCs w:val="22"/>
          <w:lang w:val="lv-LV"/>
        </w:rPr>
        <w:t xml:space="preserve"> noslēdzās tikai 2023. gada 31. decembrī, t.i.</w:t>
      </w:r>
      <w:r w:rsidR="00026877">
        <w:rPr>
          <w:rFonts w:ascii="Times New Roman" w:hAnsi="Times New Roman" w:cs="Times New Roman"/>
          <w:sz w:val="22"/>
          <w:szCs w:val="22"/>
          <w:lang w:val="lv-LV"/>
        </w:rPr>
        <w:t>,</w:t>
      </w:r>
      <w:r w:rsidR="001F1316" w:rsidRPr="00FD0D0B">
        <w:rPr>
          <w:rFonts w:ascii="Times New Roman" w:hAnsi="Times New Roman" w:cs="Times New Roman"/>
          <w:sz w:val="22"/>
          <w:szCs w:val="22"/>
          <w:lang w:val="lv-LV"/>
        </w:rPr>
        <w:t xml:space="preserve"> paralēli 2021.-2027. plānošanas periodam un  AF projektiem</w:t>
      </w:r>
      <w:r w:rsidR="00D75FAA">
        <w:rPr>
          <w:rFonts w:ascii="Times New Roman" w:hAnsi="Times New Roman" w:cs="Times New Roman"/>
          <w:sz w:val="22"/>
          <w:szCs w:val="22"/>
          <w:lang w:val="lv-LV"/>
        </w:rPr>
        <w:t>.</w:t>
      </w:r>
    </w:p>
    <w:p w14:paraId="0BE6AB64" w14:textId="32588AA1" w:rsidR="001F1316" w:rsidRPr="00FD0D0B" w:rsidRDefault="00D75FAA" w:rsidP="00D75FAA">
      <w:pPr>
        <w:ind w:left="-851" w:right="-766" w:firstLine="851"/>
        <w:contextualSpacing/>
        <w:rPr>
          <w:rFonts w:ascii="Times New Roman" w:hAnsi="Times New Roman" w:cs="Times New Roman"/>
          <w:sz w:val="22"/>
          <w:szCs w:val="22"/>
          <w:lang w:val="lv-LV"/>
        </w:rPr>
      </w:pPr>
      <w:r>
        <w:rPr>
          <w:rFonts w:ascii="Times New Roman" w:hAnsi="Times New Roman" w:cs="Times New Roman"/>
          <w:sz w:val="22"/>
          <w:szCs w:val="22"/>
          <w:lang w:val="lv-LV"/>
        </w:rPr>
        <w:t xml:space="preserve"> Š</w:t>
      </w:r>
      <w:r w:rsidR="001F1316" w:rsidRPr="00FD0D0B">
        <w:rPr>
          <w:rFonts w:ascii="Times New Roman" w:hAnsi="Times New Roman" w:cs="Times New Roman"/>
          <w:sz w:val="22"/>
          <w:szCs w:val="22"/>
          <w:lang w:val="lv-LV"/>
        </w:rPr>
        <w:t xml:space="preserve">obrīd notiek aktīva projektu konkursu izsludināšana, līgumu slēgšana un projektu ieviešana, līdz ar ko ir prognozējamas augšupejošas tendences tuvākos gados.  </w:t>
      </w:r>
    </w:p>
    <w:p w14:paraId="3F277D1C" w14:textId="77777777" w:rsidR="00452D86" w:rsidRDefault="00452D86" w:rsidP="00452D86">
      <w:pPr>
        <w:ind w:right="-766" w:firstLine="0"/>
        <w:contextualSpacing/>
        <w:rPr>
          <w:rFonts w:ascii="Times New Roman" w:hAnsi="Times New Roman" w:cs="Times New Roman"/>
          <w:sz w:val="22"/>
          <w:szCs w:val="22"/>
          <w:lang w:val="lv-LV"/>
        </w:rPr>
      </w:pPr>
    </w:p>
    <w:p w14:paraId="1ECB96C6" w14:textId="558DE5D6" w:rsidR="00193627" w:rsidRPr="00126896" w:rsidRDefault="00CF5045" w:rsidP="00126896">
      <w:pPr>
        <w:ind w:left="-851" w:right="-766" w:firstLine="0"/>
        <w:contextualSpacing/>
        <w:jc w:val="right"/>
        <w:rPr>
          <w:rFonts w:ascii="Times New Roman" w:hAnsi="Times New Roman" w:cs="Times New Roman"/>
          <w:i/>
          <w:iCs/>
          <w:sz w:val="20"/>
          <w:szCs w:val="20"/>
          <w:lang w:val="lv-LV"/>
        </w:rPr>
      </w:pPr>
      <w:r w:rsidRPr="00452D86">
        <w:rPr>
          <w:rFonts w:ascii="Times New Roman" w:hAnsi="Times New Roman" w:cs="Times New Roman"/>
          <w:i/>
          <w:iCs/>
          <w:sz w:val="20"/>
          <w:szCs w:val="20"/>
          <w:lang w:val="lv-LV"/>
        </w:rPr>
        <w:t>Attēls Nr.</w:t>
      </w:r>
      <w:r w:rsidR="00452D86" w:rsidRPr="00452D86">
        <w:rPr>
          <w:rFonts w:ascii="Times New Roman" w:hAnsi="Times New Roman" w:cs="Times New Roman"/>
          <w:i/>
          <w:iCs/>
          <w:sz w:val="20"/>
          <w:szCs w:val="20"/>
          <w:lang w:val="lv-LV"/>
        </w:rPr>
        <w:t>3</w:t>
      </w:r>
      <w:r w:rsidRPr="00FD0D0B">
        <w:rPr>
          <w:rFonts w:ascii="Times New Roman" w:hAnsi="Times New Roman" w:cs="Times New Roman"/>
          <w:i/>
          <w:iCs/>
          <w:sz w:val="20"/>
          <w:szCs w:val="20"/>
          <w:lang w:val="lv-LV"/>
        </w:rPr>
        <w:t xml:space="preserve"> Kopējo attiecināmo izdevumu summa  2007.-2013., 2014.-2020. un 2021.-2027.plānošanas periodu piektajos ieviešanas gados, t.i., 2011., 2018. un 2025. gadā</w:t>
      </w:r>
      <w:r w:rsidR="0035542B">
        <w:rPr>
          <w:rFonts w:ascii="Times New Roman" w:hAnsi="Times New Roman" w:cs="Times New Roman"/>
          <w:noProof/>
          <w:lang w:val="lv-LV"/>
        </w:rPr>
        <w:drawing>
          <wp:inline distT="0" distB="0" distL="0" distR="0" wp14:anchorId="0065764D" wp14:editId="33F8F1C2">
            <wp:extent cx="6206490" cy="3602990"/>
            <wp:effectExtent l="0" t="0" r="3810" b="0"/>
            <wp:docPr id="2035324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06490" cy="3602990"/>
                    </a:xfrm>
                    <a:prstGeom prst="rect">
                      <a:avLst/>
                    </a:prstGeom>
                    <a:noFill/>
                  </pic:spPr>
                </pic:pic>
              </a:graphicData>
            </a:graphic>
          </wp:inline>
        </w:drawing>
      </w:r>
    </w:p>
    <w:p w14:paraId="180D38FF" w14:textId="77777777" w:rsidR="00763332" w:rsidRDefault="00763332" w:rsidP="0000038C">
      <w:pPr>
        <w:ind w:right="-766" w:firstLine="142"/>
        <w:contextualSpacing/>
        <w:rPr>
          <w:rFonts w:ascii="Times New Roman" w:hAnsi="Times New Roman" w:cs="Times New Roman"/>
          <w:lang w:val="lv-LV"/>
        </w:rPr>
      </w:pPr>
    </w:p>
    <w:p w14:paraId="063EE7D6" w14:textId="4F07DFD4" w:rsidR="000907A0" w:rsidRPr="00FD0D0B" w:rsidRDefault="000B2CFD" w:rsidP="008234C8">
      <w:pPr>
        <w:ind w:left="-851" w:right="-766" w:firstLine="851"/>
        <w:contextualSpacing/>
        <w:rPr>
          <w:rFonts w:ascii="Times New Roman" w:hAnsi="Times New Roman" w:cs="Times New Roman"/>
          <w:sz w:val="22"/>
          <w:szCs w:val="22"/>
          <w:lang w:val="lv-LV"/>
        </w:rPr>
      </w:pPr>
      <w:r>
        <w:rPr>
          <w:rFonts w:ascii="Times New Roman" w:hAnsi="Times New Roman" w:cs="Times New Roman"/>
          <w:sz w:val="22"/>
          <w:szCs w:val="22"/>
          <w:lang w:val="lv-LV"/>
        </w:rPr>
        <w:t>A</w:t>
      </w:r>
      <w:r w:rsidR="008234C8" w:rsidRPr="00FD0D0B">
        <w:rPr>
          <w:rFonts w:ascii="Times New Roman" w:hAnsi="Times New Roman" w:cs="Times New Roman"/>
          <w:sz w:val="22"/>
          <w:szCs w:val="22"/>
          <w:lang w:val="lv-LV"/>
        </w:rPr>
        <w:t>nalizējot neatbilstību apjomus 2021.-2027.plānošanas perioda 5.ieviešanās gadā un iepriekšējo periodu 5.ieviešanas gados, lielākajā daļā fondu vērojams</w:t>
      </w:r>
      <w:r w:rsidR="003D6959" w:rsidRPr="00FD0D0B">
        <w:rPr>
          <w:rFonts w:ascii="Times New Roman" w:hAnsi="Times New Roman" w:cs="Times New Roman"/>
          <w:sz w:val="22"/>
          <w:szCs w:val="22"/>
          <w:lang w:val="lv-LV"/>
        </w:rPr>
        <w:t xml:space="preserve"> neatbilstību apjoma samazinājums, kas būtu skaidrojams gan ar plānošanas periodu pārklāšanos, gan </w:t>
      </w:r>
      <w:r w:rsidR="00316BD5" w:rsidRPr="00FD0D0B">
        <w:rPr>
          <w:rFonts w:ascii="Times New Roman" w:hAnsi="Times New Roman" w:cs="Times New Roman"/>
          <w:sz w:val="22"/>
          <w:szCs w:val="22"/>
          <w:lang w:val="lv-LV"/>
        </w:rPr>
        <w:t>salīdzinoši lēn</w:t>
      </w:r>
      <w:r w:rsidR="00297B18" w:rsidRPr="00FD0D0B">
        <w:rPr>
          <w:rFonts w:ascii="Times New Roman" w:hAnsi="Times New Roman" w:cs="Times New Roman"/>
          <w:sz w:val="22"/>
          <w:szCs w:val="22"/>
          <w:lang w:val="lv-LV"/>
        </w:rPr>
        <w:t>āku</w:t>
      </w:r>
      <w:r w:rsidR="00316BD5" w:rsidRPr="00FD0D0B">
        <w:rPr>
          <w:rFonts w:ascii="Times New Roman" w:hAnsi="Times New Roman" w:cs="Times New Roman"/>
          <w:sz w:val="22"/>
          <w:szCs w:val="22"/>
          <w:lang w:val="lv-LV"/>
        </w:rPr>
        <w:t xml:space="preserve"> </w:t>
      </w:r>
      <w:r w:rsidR="00297B18" w:rsidRPr="00FD0D0B">
        <w:rPr>
          <w:rFonts w:ascii="Times New Roman" w:hAnsi="Times New Roman" w:cs="Times New Roman"/>
          <w:sz w:val="22"/>
          <w:szCs w:val="22"/>
          <w:lang w:val="lv-LV"/>
        </w:rPr>
        <w:t xml:space="preserve">projektu </w:t>
      </w:r>
      <w:r w:rsidR="00297B18" w:rsidRPr="00452D86">
        <w:rPr>
          <w:rFonts w:ascii="Times New Roman" w:hAnsi="Times New Roman" w:cs="Times New Roman"/>
          <w:sz w:val="22"/>
          <w:szCs w:val="22"/>
          <w:lang w:val="lv-LV"/>
        </w:rPr>
        <w:t>ieviešanu</w:t>
      </w:r>
      <w:r w:rsidR="00BF47BE" w:rsidRPr="00452D86">
        <w:rPr>
          <w:rFonts w:ascii="Times New Roman" w:hAnsi="Times New Roman" w:cs="Times New Roman"/>
          <w:sz w:val="22"/>
          <w:szCs w:val="22"/>
          <w:lang w:val="lv-LV"/>
        </w:rPr>
        <w:t xml:space="preserve"> (skatīt attēlu Nr.</w:t>
      </w:r>
      <w:r w:rsidR="00452D86" w:rsidRPr="00452D86">
        <w:rPr>
          <w:rFonts w:ascii="Times New Roman" w:hAnsi="Times New Roman" w:cs="Times New Roman"/>
          <w:sz w:val="22"/>
          <w:szCs w:val="22"/>
          <w:lang w:val="lv-LV"/>
        </w:rPr>
        <w:t>4</w:t>
      </w:r>
      <w:r w:rsidR="00BF47BE" w:rsidRPr="00452D86">
        <w:rPr>
          <w:rFonts w:ascii="Times New Roman" w:hAnsi="Times New Roman" w:cs="Times New Roman"/>
          <w:sz w:val="22"/>
          <w:szCs w:val="22"/>
          <w:lang w:val="lv-LV"/>
        </w:rPr>
        <w:t>).</w:t>
      </w:r>
    </w:p>
    <w:p w14:paraId="564CF248" w14:textId="77777777" w:rsidR="00BF47BE" w:rsidRDefault="00BF47BE" w:rsidP="008234C8">
      <w:pPr>
        <w:ind w:left="-851" w:right="-766" w:firstLine="851"/>
        <w:contextualSpacing/>
        <w:rPr>
          <w:rFonts w:ascii="Times New Roman" w:hAnsi="Times New Roman" w:cs="Times New Roman"/>
          <w:lang w:val="lv-LV"/>
        </w:rPr>
      </w:pPr>
    </w:p>
    <w:p w14:paraId="6568CFC4" w14:textId="77777777" w:rsidR="00CB489D" w:rsidRDefault="00CB489D" w:rsidP="008234C8">
      <w:pPr>
        <w:ind w:left="-851" w:right="-766" w:firstLine="851"/>
        <w:contextualSpacing/>
        <w:rPr>
          <w:rFonts w:ascii="Times New Roman" w:hAnsi="Times New Roman" w:cs="Times New Roman"/>
          <w:lang w:val="lv-LV"/>
        </w:rPr>
      </w:pPr>
    </w:p>
    <w:p w14:paraId="344E163D" w14:textId="77777777" w:rsidR="00CB489D" w:rsidRDefault="00CB489D" w:rsidP="008234C8">
      <w:pPr>
        <w:ind w:left="-851" w:right="-766" w:firstLine="851"/>
        <w:contextualSpacing/>
        <w:rPr>
          <w:rFonts w:ascii="Times New Roman" w:hAnsi="Times New Roman" w:cs="Times New Roman"/>
          <w:lang w:val="lv-LV"/>
        </w:rPr>
      </w:pPr>
    </w:p>
    <w:p w14:paraId="466A8DF3" w14:textId="77777777" w:rsidR="00CB489D" w:rsidRDefault="00CB489D" w:rsidP="00E22619">
      <w:pPr>
        <w:ind w:right="-766" w:firstLine="0"/>
        <w:contextualSpacing/>
        <w:rPr>
          <w:rFonts w:ascii="Times New Roman" w:hAnsi="Times New Roman" w:cs="Times New Roman"/>
          <w:lang w:val="lv-LV"/>
        </w:rPr>
      </w:pPr>
    </w:p>
    <w:p w14:paraId="19E9468A" w14:textId="77777777" w:rsidR="00E22619" w:rsidRDefault="00E22619" w:rsidP="00E22619">
      <w:pPr>
        <w:ind w:right="-766" w:firstLine="0"/>
        <w:contextualSpacing/>
        <w:rPr>
          <w:rFonts w:ascii="Times New Roman" w:hAnsi="Times New Roman" w:cs="Times New Roman"/>
          <w:lang w:val="lv-LV"/>
        </w:rPr>
      </w:pPr>
    </w:p>
    <w:p w14:paraId="7D4B48D3" w14:textId="77777777" w:rsidR="007C4847" w:rsidRDefault="007C4847" w:rsidP="00E22619">
      <w:pPr>
        <w:ind w:right="-766" w:firstLine="0"/>
        <w:contextualSpacing/>
        <w:rPr>
          <w:rFonts w:ascii="Times New Roman" w:hAnsi="Times New Roman" w:cs="Times New Roman"/>
          <w:lang w:val="lv-LV"/>
        </w:rPr>
      </w:pPr>
    </w:p>
    <w:p w14:paraId="46797B59" w14:textId="77777777" w:rsidR="007C4847" w:rsidRDefault="007C4847" w:rsidP="00E22619">
      <w:pPr>
        <w:ind w:right="-766" w:firstLine="0"/>
        <w:contextualSpacing/>
        <w:rPr>
          <w:rFonts w:ascii="Times New Roman" w:hAnsi="Times New Roman" w:cs="Times New Roman"/>
          <w:lang w:val="lv-LV"/>
        </w:rPr>
      </w:pPr>
    </w:p>
    <w:p w14:paraId="3102533B" w14:textId="77777777" w:rsidR="00CB489D" w:rsidRDefault="00CB489D" w:rsidP="008234C8">
      <w:pPr>
        <w:ind w:left="-851" w:right="-766" w:firstLine="851"/>
        <w:contextualSpacing/>
        <w:rPr>
          <w:rFonts w:ascii="Times New Roman" w:hAnsi="Times New Roman" w:cs="Times New Roman"/>
          <w:lang w:val="lv-LV"/>
        </w:rPr>
      </w:pPr>
    </w:p>
    <w:p w14:paraId="76DDB464" w14:textId="2C973309" w:rsidR="001F1316" w:rsidRPr="0000038C" w:rsidRDefault="00BF47BE" w:rsidP="0000038C">
      <w:pPr>
        <w:ind w:left="-851" w:right="-766" w:firstLine="851"/>
        <w:contextualSpacing/>
        <w:jc w:val="right"/>
        <w:rPr>
          <w:rFonts w:ascii="Times New Roman" w:hAnsi="Times New Roman" w:cs="Times New Roman"/>
          <w:i/>
          <w:iCs/>
          <w:sz w:val="20"/>
          <w:szCs w:val="20"/>
          <w:lang w:val="lv-LV"/>
        </w:rPr>
      </w:pPr>
      <w:r w:rsidRPr="00452D86">
        <w:rPr>
          <w:rFonts w:ascii="Times New Roman" w:hAnsi="Times New Roman" w:cs="Times New Roman"/>
          <w:i/>
          <w:iCs/>
          <w:sz w:val="20"/>
          <w:szCs w:val="20"/>
          <w:lang w:val="lv-LV"/>
        </w:rPr>
        <w:lastRenderedPageBreak/>
        <w:t>Attēls Nr.</w:t>
      </w:r>
      <w:r w:rsidR="00452D86" w:rsidRPr="00452D86">
        <w:rPr>
          <w:rFonts w:ascii="Times New Roman" w:hAnsi="Times New Roman" w:cs="Times New Roman"/>
          <w:i/>
          <w:iCs/>
          <w:sz w:val="20"/>
          <w:szCs w:val="20"/>
          <w:lang w:val="lv-LV"/>
        </w:rPr>
        <w:t>4</w:t>
      </w:r>
      <w:r w:rsidRPr="001F1316">
        <w:rPr>
          <w:rFonts w:ascii="Times New Roman" w:hAnsi="Times New Roman" w:cs="Times New Roman"/>
          <w:i/>
          <w:iCs/>
          <w:sz w:val="20"/>
          <w:szCs w:val="20"/>
          <w:lang w:val="lv-LV"/>
        </w:rPr>
        <w:t xml:space="preserve"> Neatbilstību summas EUR 2007.-2013., 2014.-2020. un 2021.-2027.plānošanas periodu piektajos gados, t.i., 2011., 2018. un 2025. gadā</w:t>
      </w:r>
    </w:p>
    <w:p w14:paraId="67AE4068" w14:textId="5897FB85" w:rsidR="00521C42" w:rsidRDefault="00E7428A" w:rsidP="0000038C">
      <w:pPr>
        <w:ind w:left="142" w:right="-766" w:firstLine="0"/>
        <w:contextualSpacing/>
        <w:rPr>
          <w:rFonts w:ascii="Times New Roman" w:hAnsi="Times New Roman" w:cs="Times New Roman"/>
          <w:b/>
          <w:bCs/>
          <w:lang w:val="lv-LV"/>
        </w:rPr>
      </w:pPr>
      <w:r>
        <w:rPr>
          <w:noProof/>
          <w14:ligatures w14:val="standardContextual"/>
        </w:rPr>
        <w:drawing>
          <wp:inline distT="0" distB="0" distL="0" distR="0" wp14:anchorId="5998F67B" wp14:editId="1DC748F7">
            <wp:extent cx="5762625" cy="3143250"/>
            <wp:effectExtent l="0" t="0" r="9525" b="0"/>
            <wp:docPr id="1339061126" name="Chart 1">
              <a:extLst xmlns:a="http://schemas.openxmlformats.org/drawingml/2006/main">
                <a:ext uri="{FF2B5EF4-FFF2-40B4-BE49-F238E27FC236}">
                  <a16:creationId xmlns:a16="http://schemas.microsoft.com/office/drawing/2014/main" id="{C21624C0-CF85-59B6-A7E6-AC5DB50759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6EC73F" w14:textId="77777777" w:rsidR="005B24E4" w:rsidRDefault="005B24E4" w:rsidP="0086609D">
      <w:pPr>
        <w:ind w:right="-766" w:firstLine="0"/>
        <w:contextualSpacing/>
        <w:rPr>
          <w:rFonts w:ascii="Times New Roman" w:hAnsi="Times New Roman" w:cs="Times New Roman"/>
          <w:b/>
          <w:bCs/>
          <w:lang w:val="lv-LV"/>
        </w:rPr>
      </w:pPr>
    </w:p>
    <w:p w14:paraId="05179B89" w14:textId="393C9129" w:rsidR="001258AB" w:rsidRPr="005B24E4" w:rsidRDefault="0012050E" w:rsidP="005B24E4">
      <w:pPr>
        <w:pStyle w:val="ListParagraph"/>
        <w:numPr>
          <w:ilvl w:val="0"/>
          <w:numId w:val="2"/>
        </w:numPr>
        <w:ind w:right="-766"/>
        <w:jc w:val="center"/>
        <w:rPr>
          <w:rFonts w:ascii="Times New Roman" w:hAnsi="Times New Roman" w:cs="Times New Roman"/>
          <w:b/>
          <w:bCs/>
        </w:rPr>
      </w:pPr>
      <w:r w:rsidRPr="00521C42">
        <w:rPr>
          <w:rFonts w:ascii="Times New Roman" w:hAnsi="Times New Roman" w:cs="Times New Roman"/>
          <w:b/>
          <w:bCs/>
        </w:rPr>
        <w:t xml:space="preserve">2025. gadā veiktie izmeklēšanas un kriminālvajāšanas pasākumi un sadarbība ar </w:t>
      </w:r>
      <w:r w:rsidR="000907A0" w:rsidRPr="00521C42">
        <w:rPr>
          <w:rFonts w:ascii="Times New Roman" w:hAnsi="Times New Roman" w:cs="Times New Roman"/>
          <w:b/>
          <w:bCs/>
        </w:rPr>
        <w:t>OLAF</w:t>
      </w:r>
      <w:r w:rsidRPr="00521C42">
        <w:rPr>
          <w:rFonts w:ascii="Times New Roman" w:hAnsi="Times New Roman" w:cs="Times New Roman"/>
          <w:b/>
          <w:bCs/>
        </w:rPr>
        <w:t xml:space="preserve"> un citām </w:t>
      </w:r>
      <w:r w:rsidR="000907A0" w:rsidRPr="00521C42">
        <w:rPr>
          <w:rFonts w:ascii="Times New Roman" w:hAnsi="Times New Roman" w:cs="Times New Roman"/>
          <w:b/>
          <w:bCs/>
        </w:rPr>
        <w:t>Eiropas</w:t>
      </w:r>
      <w:r w:rsidRPr="00521C42">
        <w:rPr>
          <w:rFonts w:ascii="Times New Roman" w:hAnsi="Times New Roman" w:cs="Times New Roman"/>
          <w:b/>
          <w:bCs/>
        </w:rPr>
        <w:t xml:space="preserve"> institūcijām</w:t>
      </w:r>
      <w:r w:rsidR="000907A0" w:rsidRPr="00521C42">
        <w:rPr>
          <w:rFonts w:ascii="Times New Roman" w:hAnsi="Times New Roman" w:cs="Times New Roman"/>
          <w:b/>
          <w:bCs/>
        </w:rPr>
        <w:t>.</w:t>
      </w:r>
    </w:p>
    <w:p w14:paraId="10BB5644" w14:textId="24FDFF32" w:rsidR="001258AB" w:rsidRDefault="00521C42" w:rsidP="00DF6BB2">
      <w:pPr>
        <w:ind w:left="-851" w:right="-766" w:firstLine="0"/>
        <w:contextualSpacing/>
        <w:jc w:val="center"/>
        <w:rPr>
          <w:rFonts w:ascii="Times New Roman" w:hAnsi="Times New Roman" w:cs="Times New Roman"/>
          <w:b/>
          <w:bCs/>
          <w:lang w:val="lv-LV"/>
        </w:rPr>
      </w:pPr>
      <w:r>
        <w:rPr>
          <w:rFonts w:ascii="Times New Roman" w:hAnsi="Times New Roman" w:cs="Times New Roman"/>
          <w:b/>
          <w:bCs/>
          <w:lang w:val="lv-LV"/>
        </w:rPr>
        <w:t>3</w:t>
      </w:r>
      <w:r w:rsidR="001258AB" w:rsidRPr="001258AB">
        <w:rPr>
          <w:rFonts w:ascii="Times New Roman" w:hAnsi="Times New Roman" w:cs="Times New Roman"/>
          <w:b/>
          <w:bCs/>
          <w:lang w:val="lv-LV"/>
        </w:rPr>
        <w:t>.1. Izmeklēšanas iestādēs saņemto iesniegumu statistika</w:t>
      </w:r>
    </w:p>
    <w:p w14:paraId="62A9E9CB" w14:textId="77777777" w:rsidR="00FD0D0B" w:rsidRDefault="00FD0D0B" w:rsidP="00DF6BB2">
      <w:pPr>
        <w:ind w:left="-851" w:right="-766" w:firstLine="0"/>
        <w:contextualSpacing/>
        <w:jc w:val="center"/>
        <w:rPr>
          <w:rFonts w:ascii="Times New Roman" w:hAnsi="Times New Roman" w:cs="Times New Roman"/>
          <w:b/>
          <w:bCs/>
          <w:lang w:val="lv-LV"/>
        </w:rPr>
      </w:pPr>
    </w:p>
    <w:p w14:paraId="434E5456" w14:textId="65E64735" w:rsidR="0017446C" w:rsidRPr="00FD0D0B" w:rsidRDefault="0017446C" w:rsidP="00D920F7">
      <w:pPr>
        <w:ind w:left="-851" w:right="-766"/>
        <w:contextualSpacing/>
        <w:rPr>
          <w:rFonts w:ascii="Times New Roman" w:hAnsi="Times New Roman" w:cs="Times New Roman"/>
          <w:sz w:val="22"/>
          <w:szCs w:val="22"/>
          <w:lang w:val="lv-LV"/>
        </w:rPr>
      </w:pPr>
      <w:r w:rsidRPr="00FD0D0B">
        <w:rPr>
          <w:rFonts w:ascii="Times New Roman" w:hAnsi="Times New Roman" w:cs="Times New Roman"/>
          <w:sz w:val="22"/>
          <w:szCs w:val="22"/>
          <w:lang w:val="lv-LV"/>
        </w:rPr>
        <w:t xml:space="preserve">Izmeklēšanas iestādes 2025. gadā turpināja aktīvu darbu ES fondu finanšu līdzekļu krāpšanas gadījumu izmeklēšanā, kā arī turpināja savstarpēju sadarbību, tajā skaitā ar EPPO, kas darbojas kā neatkarīga ES līmeņa izmeklēšanas iestāde. Lai gūtu pilnvērtīgu ieskatu par 2025. gadā veiktajām izmeklēšanām, šo ziņojuma sadaļu ir jāskata kopā ar </w:t>
      </w:r>
      <w:hyperlink r:id="rId17" w:history="1">
        <w:r w:rsidRPr="00F53798">
          <w:rPr>
            <w:rStyle w:val="Hyperlink"/>
            <w:rFonts w:ascii="Times New Roman" w:hAnsi="Times New Roman" w:cs="Times New Roman"/>
            <w:sz w:val="22"/>
            <w:szCs w:val="22"/>
            <w:lang w:val="lv-LV"/>
          </w:rPr>
          <w:t>EPPO ikgadējo</w:t>
        </w:r>
        <w:r w:rsidR="00804F58" w:rsidRPr="00F53798">
          <w:rPr>
            <w:rStyle w:val="Hyperlink"/>
            <w:rFonts w:ascii="Times New Roman" w:hAnsi="Times New Roman" w:cs="Times New Roman"/>
            <w:sz w:val="22"/>
            <w:szCs w:val="22"/>
            <w:lang w:val="lv-LV"/>
          </w:rPr>
          <w:t xml:space="preserve"> ziņojumu</w:t>
        </w:r>
        <w:r w:rsidRPr="00F53798">
          <w:rPr>
            <w:rStyle w:val="Hyperlink"/>
            <w:rFonts w:ascii="Times New Roman" w:hAnsi="Times New Roman" w:cs="Times New Roman"/>
            <w:sz w:val="22"/>
            <w:szCs w:val="22"/>
            <w:lang w:val="lv-LV"/>
          </w:rPr>
          <w:t xml:space="preserve"> par 2025. gadu</w:t>
        </w:r>
      </w:hyperlink>
      <w:r w:rsidRPr="00F53798">
        <w:rPr>
          <w:rFonts w:ascii="Times New Roman" w:hAnsi="Times New Roman" w:cs="Times New Roman"/>
          <w:sz w:val="22"/>
          <w:szCs w:val="22"/>
          <w:lang w:val="lv-LV"/>
        </w:rPr>
        <w:t>.</w:t>
      </w:r>
    </w:p>
    <w:p w14:paraId="11B40B68" w14:textId="559CEDC9" w:rsidR="00A229DB" w:rsidRPr="00FD0D0B" w:rsidRDefault="0017446C" w:rsidP="00804F58">
      <w:pPr>
        <w:ind w:left="-851" w:right="-766"/>
        <w:contextualSpacing/>
        <w:rPr>
          <w:rFonts w:ascii="Times New Roman" w:hAnsi="Times New Roman" w:cs="Times New Roman"/>
          <w:sz w:val="22"/>
          <w:szCs w:val="22"/>
          <w:lang w:val="lv-LV"/>
        </w:rPr>
      </w:pPr>
      <w:r w:rsidRPr="00FD0D0B">
        <w:rPr>
          <w:rFonts w:ascii="Times New Roman" w:hAnsi="Times New Roman" w:cs="Times New Roman"/>
          <w:sz w:val="22"/>
          <w:szCs w:val="22"/>
          <w:lang w:val="lv-LV"/>
        </w:rPr>
        <w:t xml:space="preserve">Saskaņā ar Ģenerālprokuratūras </w:t>
      </w:r>
      <w:r w:rsidR="00A65973">
        <w:rPr>
          <w:rFonts w:ascii="Times New Roman" w:hAnsi="Times New Roman" w:cs="Times New Roman"/>
          <w:sz w:val="22"/>
          <w:szCs w:val="22"/>
          <w:lang w:val="lv-LV"/>
        </w:rPr>
        <w:t xml:space="preserve">un VID </w:t>
      </w:r>
      <w:r w:rsidRPr="00FD0D0B">
        <w:rPr>
          <w:rFonts w:ascii="Times New Roman" w:hAnsi="Times New Roman" w:cs="Times New Roman"/>
          <w:sz w:val="22"/>
          <w:szCs w:val="22"/>
          <w:lang w:val="lv-LV"/>
        </w:rPr>
        <w:t xml:space="preserve">sniegto informāciju Prokuratūras struktūrvienībās (nacionālajā līmenī) </w:t>
      </w:r>
      <w:r w:rsidR="00EC641A">
        <w:rPr>
          <w:rFonts w:ascii="Times New Roman" w:hAnsi="Times New Roman" w:cs="Times New Roman"/>
          <w:sz w:val="22"/>
          <w:szCs w:val="22"/>
          <w:lang w:val="lv-LV"/>
        </w:rPr>
        <w:t xml:space="preserve">un VID, </w:t>
      </w:r>
      <w:r w:rsidRPr="00FD0D0B">
        <w:rPr>
          <w:rFonts w:ascii="Times New Roman" w:hAnsi="Times New Roman" w:cs="Times New Roman"/>
          <w:sz w:val="22"/>
          <w:szCs w:val="22"/>
          <w:lang w:val="lv-LV"/>
        </w:rPr>
        <w:t>202</w:t>
      </w:r>
      <w:r w:rsidR="00D60431" w:rsidRPr="00FD0D0B">
        <w:rPr>
          <w:rFonts w:ascii="Times New Roman" w:hAnsi="Times New Roman" w:cs="Times New Roman"/>
          <w:sz w:val="22"/>
          <w:szCs w:val="22"/>
          <w:lang w:val="lv-LV"/>
        </w:rPr>
        <w:t>5</w:t>
      </w:r>
      <w:r w:rsidRPr="00FD0D0B">
        <w:rPr>
          <w:rFonts w:ascii="Times New Roman" w:hAnsi="Times New Roman" w:cs="Times New Roman"/>
          <w:sz w:val="22"/>
          <w:szCs w:val="22"/>
          <w:lang w:val="lv-LV"/>
        </w:rPr>
        <w:t>. gadā netika saņemti iesniegumi par iespējamām krāpnieciskām un citām nelikumīgām darbībām ES politiku instrumentu ietvaros</w:t>
      </w:r>
      <w:r w:rsidR="00EC641A">
        <w:rPr>
          <w:rFonts w:ascii="Times New Roman" w:hAnsi="Times New Roman" w:cs="Times New Roman"/>
          <w:sz w:val="22"/>
          <w:szCs w:val="22"/>
          <w:lang w:val="lv-LV"/>
        </w:rPr>
        <w:t>.</w:t>
      </w:r>
      <w:r w:rsidR="00564015">
        <w:rPr>
          <w:rFonts w:ascii="Times New Roman" w:hAnsi="Times New Roman" w:cs="Times New Roman"/>
          <w:sz w:val="22"/>
          <w:szCs w:val="22"/>
          <w:lang w:val="lv-LV"/>
        </w:rPr>
        <w:t xml:space="preserve"> Saskaņā ar </w:t>
      </w:r>
      <w:r w:rsidR="00564015" w:rsidRPr="00FD0D0B">
        <w:rPr>
          <w:rFonts w:ascii="Times New Roman" w:hAnsi="Times New Roman" w:cs="Times New Roman"/>
          <w:sz w:val="22"/>
          <w:szCs w:val="22"/>
          <w:lang w:val="lv-LV"/>
        </w:rPr>
        <w:t>Ģenerālprokuratūras</w:t>
      </w:r>
      <w:r w:rsidR="00564015">
        <w:rPr>
          <w:rFonts w:ascii="Times New Roman" w:hAnsi="Times New Roman" w:cs="Times New Roman"/>
          <w:sz w:val="22"/>
          <w:szCs w:val="22"/>
          <w:lang w:val="lv-LV"/>
        </w:rPr>
        <w:t xml:space="preserve"> sniegto informāciju – </w:t>
      </w:r>
      <w:r w:rsidR="007F6618">
        <w:rPr>
          <w:rFonts w:ascii="Times New Roman" w:hAnsi="Times New Roman" w:cs="Times New Roman"/>
          <w:sz w:val="22"/>
          <w:szCs w:val="22"/>
          <w:lang w:val="lv-LV"/>
        </w:rPr>
        <w:t xml:space="preserve">2025.gadā </w:t>
      </w:r>
      <w:r w:rsidR="00564015">
        <w:rPr>
          <w:rFonts w:ascii="Times New Roman" w:hAnsi="Times New Roman" w:cs="Times New Roman"/>
          <w:sz w:val="22"/>
          <w:szCs w:val="22"/>
          <w:lang w:val="lv-LV"/>
        </w:rPr>
        <w:t xml:space="preserve">tiesai nodotas </w:t>
      </w:r>
      <w:r w:rsidR="007F6618">
        <w:rPr>
          <w:rFonts w:ascii="Times New Roman" w:hAnsi="Times New Roman" w:cs="Times New Roman"/>
          <w:sz w:val="22"/>
          <w:szCs w:val="22"/>
          <w:lang w:val="lv-LV"/>
        </w:rPr>
        <w:t xml:space="preserve">2 lietas ( 1 gadījumā apstiprināta </w:t>
      </w:r>
      <w:r w:rsidR="003F606E">
        <w:rPr>
          <w:rFonts w:ascii="Times New Roman" w:hAnsi="Times New Roman" w:cs="Times New Roman"/>
          <w:sz w:val="22"/>
          <w:szCs w:val="22"/>
          <w:lang w:val="lv-LV"/>
        </w:rPr>
        <w:t>vienošanās par vainas atzīšanu). Papildus 1 lietā stājies spēkā notiesājošs</w:t>
      </w:r>
      <w:r w:rsidR="00942F80">
        <w:rPr>
          <w:rFonts w:ascii="Times New Roman" w:hAnsi="Times New Roman" w:cs="Times New Roman"/>
          <w:sz w:val="22"/>
          <w:szCs w:val="22"/>
          <w:lang w:val="lv-LV"/>
        </w:rPr>
        <w:t xml:space="preserve"> tiesas</w:t>
      </w:r>
      <w:r w:rsidR="003F606E">
        <w:rPr>
          <w:rFonts w:ascii="Times New Roman" w:hAnsi="Times New Roman" w:cs="Times New Roman"/>
          <w:sz w:val="22"/>
          <w:szCs w:val="22"/>
          <w:lang w:val="lv-LV"/>
        </w:rPr>
        <w:t xml:space="preserve"> spriedum</w:t>
      </w:r>
      <w:r w:rsidR="00942F80">
        <w:rPr>
          <w:rFonts w:ascii="Times New Roman" w:hAnsi="Times New Roman" w:cs="Times New Roman"/>
          <w:sz w:val="22"/>
          <w:szCs w:val="22"/>
          <w:lang w:val="lv-LV"/>
        </w:rPr>
        <w:t>s</w:t>
      </w:r>
      <w:r w:rsidR="003F606E">
        <w:rPr>
          <w:rFonts w:ascii="Times New Roman" w:hAnsi="Times New Roman" w:cs="Times New Roman"/>
          <w:sz w:val="22"/>
          <w:szCs w:val="22"/>
          <w:lang w:val="lv-LV"/>
        </w:rPr>
        <w:t>.</w:t>
      </w:r>
    </w:p>
    <w:p w14:paraId="1274FAC5" w14:textId="10F342A7" w:rsidR="001F3D2B" w:rsidRPr="001F3D2B" w:rsidRDefault="001F3D2B" w:rsidP="00BB0698">
      <w:pPr>
        <w:ind w:left="-851" w:right="-766"/>
        <w:contextualSpacing/>
        <w:rPr>
          <w:rFonts w:ascii="Times New Roman" w:hAnsi="Times New Roman" w:cs="Times New Roman"/>
          <w:sz w:val="22"/>
          <w:szCs w:val="22"/>
          <w:lang w:val="lv-LV"/>
        </w:rPr>
      </w:pPr>
      <w:r w:rsidRPr="001F3D2B">
        <w:rPr>
          <w:rFonts w:ascii="Times New Roman" w:hAnsi="Times New Roman" w:cs="Times New Roman"/>
          <w:b/>
          <w:bCs/>
          <w:sz w:val="22"/>
          <w:szCs w:val="22"/>
          <w:lang w:val="lv-LV"/>
        </w:rPr>
        <w:t>Valsts policijā 2025. gadā uzsākts darbs pie 5 jauniem kriminālprocesiem</w:t>
      </w:r>
      <w:r w:rsidRPr="001F3D2B">
        <w:rPr>
          <w:rFonts w:ascii="Times New Roman" w:hAnsi="Times New Roman" w:cs="Times New Roman"/>
          <w:sz w:val="22"/>
          <w:szCs w:val="22"/>
          <w:lang w:val="lv-LV"/>
        </w:rPr>
        <w:t xml:space="preserve"> (no tiem 2 uzsākti Valsts policijā un 3 uzsākti EPPO) saistībā ar iespējamām krāpnieciskām darbībām ES līdzfinansētajos projektos. No 2025.gadā uzsāktajiem kriminālprocesiem viens nodots kriminālvajāšanas uzsākšanai, bet 4 šobrīd noris </w:t>
      </w:r>
      <w:proofErr w:type="spellStart"/>
      <w:r w:rsidRPr="001F3D2B">
        <w:rPr>
          <w:rFonts w:ascii="Times New Roman" w:hAnsi="Times New Roman" w:cs="Times New Roman"/>
          <w:sz w:val="22"/>
          <w:szCs w:val="22"/>
          <w:lang w:val="lv-LV"/>
        </w:rPr>
        <w:t>pirmstiesas</w:t>
      </w:r>
      <w:proofErr w:type="spellEnd"/>
      <w:r w:rsidRPr="001F3D2B">
        <w:rPr>
          <w:rFonts w:ascii="Times New Roman" w:hAnsi="Times New Roman" w:cs="Times New Roman"/>
          <w:sz w:val="22"/>
          <w:szCs w:val="22"/>
          <w:lang w:val="lv-LV"/>
        </w:rPr>
        <w:t xml:space="preserve"> izmeklēšana. Lielākoties uzsāktie kriminālprocesi kvalificēti saskaņā ar Krimināllikuma 177. pantu (krāpšana), vienā gadījumā papildus kvalifikācija saskaņā ar Krimināllikuma 195.pantu (noziedzīgi iegūtu līdzekļu legalizēšana). </w:t>
      </w:r>
      <w:r w:rsidRPr="001F3D2B">
        <w:rPr>
          <w:rFonts w:ascii="Times New Roman" w:hAnsi="Times New Roman" w:cs="Times New Roman"/>
          <w:b/>
          <w:bCs/>
          <w:sz w:val="22"/>
          <w:szCs w:val="22"/>
          <w:lang w:val="lv-LV"/>
        </w:rPr>
        <w:t xml:space="preserve">Kopā Valsts policijas lietvedībā 2025. gadā atradās 52 kriminālprocesi </w:t>
      </w:r>
      <w:r w:rsidRPr="001F3D2B">
        <w:rPr>
          <w:rFonts w:ascii="Times New Roman" w:hAnsi="Times New Roman" w:cs="Times New Roman"/>
          <w:sz w:val="22"/>
          <w:szCs w:val="22"/>
          <w:lang w:val="lv-LV"/>
        </w:rPr>
        <w:t>(tai skaitā 2</w:t>
      </w:r>
      <w:r w:rsidR="00863FCE">
        <w:rPr>
          <w:rFonts w:ascii="Times New Roman" w:hAnsi="Times New Roman" w:cs="Times New Roman"/>
          <w:sz w:val="22"/>
          <w:szCs w:val="22"/>
          <w:lang w:val="lv-LV"/>
        </w:rPr>
        <w:t>7</w:t>
      </w:r>
      <w:r w:rsidRPr="001F3D2B">
        <w:rPr>
          <w:rFonts w:ascii="Times New Roman" w:hAnsi="Times New Roman" w:cs="Times New Roman"/>
          <w:sz w:val="22"/>
          <w:szCs w:val="22"/>
          <w:lang w:val="lv-LV"/>
        </w:rPr>
        <w:t xml:space="preserve"> EPPO procesi)</w:t>
      </w:r>
      <w:r w:rsidRPr="001F3D2B">
        <w:rPr>
          <w:rFonts w:ascii="Times New Roman" w:hAnsi="Times New Roman" w:cs="Times New Roman"/>
          <w:b/>
          <w:bCs/>
          <w:sz w:val="22"/>
          <w:szCs w:val="22"/>
          <w:lang w:val="lv-LV"/>
        </w:rPr>
        <w:t xml:space="preserve"> </w:t>
      </w:r>
      <w:r w:rsidRPr="001F3D2B">
        <w:rPr>
          <w:rFonts w:ascii="Times New Roman" w:hAnsi="Times New Roman" w:cs="Times New Roman"/>
          <w:sz w:val="22"/>
          <w:szCs w:val="22"/>
          <w:lang w:val="lv-LV"/>
        </w:rPr>
        <w:t xml:space="preserve">saistībā ar iespējamiem pārkāpumiem ES finanšu izlietojumā. 2025. gadā </w:t>
      </w:r>
      <w:r w:rsidR="00BB0698">
        <w:rPr>
          <w:rFonts w:ascii="Times New Roman" w:hAnsi="Times New Roman" w:cs="Times New Roman"/>
          <w:sz w:val="22"/>
          <w:szCs w:val="22"/>
          <w:lang w:val="lv-LV"/>
        </w:rPr>
        <w:t>10</w:t>
      </w:r>
      <w:r w:rsidRPr="001F3D2B">
        <w:rPr>
          <w:rFonts w:ascii="Times New Roman" w:hAnsi="Times New Roman" w:cs="Times New Roman"/>
          <w:sz w:val="22"/>
          <w:szCs w:val="22"/>
          <w:lang w:val="lv-LV"/>
        </w:rPr>
        <w:t xml:space="preserve"> no minētajiem procesiem tika izbeigti</w:t>
      </w:r>
      <w:r w:rsidRPr="00BB0698">
        <w:rPr>
          <w:rStyle w:val="FootnoteReference"/>
          <w:rFonts w:ascii="Times New Roman" w:hAnsi="Times New Roman" w:cs="Times New Roman"/>
          <w:sz w:val="22"/>
          <w:szCs w:val="22"/>
          <w:lang w:val="lv-LV"/>
        </w:rPr>
        <w:footnoteReference w:id="8"/>
      </w:r>
      <w:r w:rsidRPr="001F3D2B">
        <w:rPr>
          <w:rFonts w:ascii="Times New Roman" w:hAnsi="Times New Roman" w:cs="Times New Roman"/>
          <w:sz w:val="22"/>
          <w:szCs w:val="22"/>
          <w:lang w:val="lv-LV"/>
        </w:rPr>
        <w:t xml:space="preserve"> (tai skaitā </w:t>
      </w:r>
      <w:r w:rsidR="00BB0698">
        <w:rPr>
          <w:rFonts w:ascii="Times New Roman" w:hAnsi="Times New Roman" w:cs="Times New Roman"/>
          <w:sz w:val="22"/>
          <w:szCs w:val="22"/>
          <w:lang w:val="lv-LV"/>
        </w:rPr>
        <w:t>1</w:t>
      </w:r>
      <w:r w:rsidRPr="001F3D2B">
        <w:rPr>
          <w:rFonts w:ascii="Times New Roman" w:hAnsi="Times New Roman" w:cs="Times New Roman"/>
          <w:sz w:val="22"/>
          <w:szCs w:val="22"/>
          <w:lang w:val="lv-LV"/>
        </w:rPr>
        <w:t xml:space="preserve"> EPPO kriminālproces</w:t>
      </w:r>
      <w:r w:rsidR="00BB0698">
        <w:rPr>
          <w:rFonts w:ascii="Times New Roman" w:hAnsi="Times New Roman" w:cs="Times New Roman"/>
          <w:sz w:val="22"/>
          <w:szCs w:val="22"/>
          <w:lang w:val="lv-LV"/>
        </w:rPr>
        <w:t>s</w:t>
      </w:r>
      <w:r w:rsidRPr="001F3D2B">
        <w:rPr>
          <w:rFonts w:ascii="Times New Roman" w:hAnsi="Times New Roman" w:cs="Times New Roman"/>
          <w:sz w:val="22"/>
          <w:szCs w:val="22"/>
          <w:lang w:val="lv-LV"/>
        </w:rPr>
        <w:t>)</w:t>
      </w:r>
      <w:r w:rsidR="00BB0698">
        <w:rPr>
          <w:rFonts w:ascii="Times New Roman" w:hAnsi="Times New Roman" w:cs="Times New Roman"/>
          <w:sz w:val="22"/>
          <w:szCs w:val="22"/>
          <w:lang w:val="lv-LV"/>
        </w:rPr>
        <w:t xml:space="preserve">, </w:t>
      </w:r>
      <w:r w:rsidRPr="001F3D2B">
        <w:rPr>
          <w:rFonts w:ascii="Times New Roman" w:hAnsi="Times New Roman" w:cs="Times New Roman"/>
          <w:sz w:val="22"/>
          <w:szCs w:val="22"/>
          <w:lang w:val="lv-LV"/>
        </w:rPr>
        <w:t xml:space="preserve">bet 4 nodoti kriminālvajāšanas uzsākšanai (tai skaitā 3 EPPO kriminālprocesi). </w:t>
      </w:r>
    </w:p>
    <w:p w14:paraId="0E470BBB" w14:textId="4C640DCB" w:rsidR="001F3D2B" w:rsidRPr="002142EC" w:rsidRDefault="001F3D2B" w:rsidP="00863FCE">
      <w:pPr>
        <w:ind w:left="-851" w:right="-766"/>
        <w:contextualSpacing/>
        <w:rPr>
          <w:rFonts w:ascii="Times New Roman" w:hAnsi="Times New Roman" w:cs="Times New Roman"/>
          <w:sz w:val="22"/>
          <w:szCs w:val="22"/>
          <w:lang w:val="lv-LV"/>
        </w:rPr>
      </w:pPr>
      <w:r w:rsidRPr="001F3D2B">
        <w:rPr>
          <w:rFonts w:ascii="Times New Roman" w:hAnsi="Times New Roman" w:cs="Times New Roman"/>
          <w:sz w:val="22"/>
          <w:szCs w:val="22"/>
          <w:lang w:val="lv-LV"/>
        </w:rPr>
        <w:t xml:space="preserve">Līdz ar to gada noslēgumā Valsts policijas lietvedībā bija </w:t>
      </w:r>
      <w:r w:rsidRPr="001F3D2B">
        <w:rPr>
          <w:rFonts w:ascii="Times New Roman" w:hAnsi="Times New Roman" w:cs="Times New Roman"/>
          <w:b/>
          <w:bCs/>
          <w:sz w:val="22"/>
          <w:szCs w:val="22"/>
          <w:lang w:val="lv-LV"/>
        </w:rPr>
        <w:t>39 aktīvi kriminālprocesi</w:t>
      </w:r>
      <w:r w:rsidRPr="001F3D2B">
        <w:rPr>
          <w:rFonts w:ascii="Times New Roman" w:hAnsi="Times New Roman" w:cs="Times New Roman"/>
          <w:sz w:val="22"/>
          <w:szCs w:val="22"/>
          <w:lang w:val="lv-LV"/>
        </w:rPr>
        <w:t xml:space="preserve"> (no tiem 23 EPPO uzraudzībā). Papildus 2025. gadā Valsts policija saņēma 1 iesniegumu, kurā tika uzsākta </w:t>
      </w:r>
      <w:proofErr w:type="spellStart"/>
      <w:r w:rsidRPr="001F3D2B">
        <w:rPr>
          <w:rFonts w:ascii="Times New Roman" w:hAnsi="Times New Roman" w:cs="Times New Roman"/>
          <w:sz w:val="22"/>
          <w:szCs w:val="22"/>
          <w:lang w:val="lv-LV"/>
        </w:rPr>
        <w:t>resoriskā</w:t>
      </w:r>
      <w:proofErr w:type="spellEnd"/>
      <w:r w:rsidRPr="001F3D2B">
        <w:rPr>
          <w:rFonts w:ascii="Times New Roman" w:hAnsi="Times New Roman" w:cs="Times New Roman"/>
          <w:sz w:val="22"/>
          <w:szCs w:val="22"/>
          <w:lang w:val="lv-LV"/>
        </w:rPr>
        <w:t xml:space="preserve"> pārbaude un izvērtēšanas rezultātā 2026.gada sākumā tika pieņemts lēmums uzsākt kriminālprocesu.</w:t>
      </w:r>
    </w:p>
    <w:p w14:paraId="421A4831" w14:textId="54BEF7EF" w:rsidR="00AF70AC" w:rsidRPr="00AF70AC" w:rsidRDefault="00AF70AC" w:rsidP="00CE70F5">
      <w:pPr>
        <w:ind w:left="-851" w:right="-766"/>
        <w:contextualSpacing/>
        <w:rPr>
          <w:rFonts w:ascii="Times New Roman" w:hAnsi="Times New Roman" w:cs="Times New Roman"/>
          <w:sz w:val="22"/>
          <w:szCs w:val="22"/>
          <w:lang w:val="lv-LV"/>
        </w:rPr>
      </w:pPr>
      <w:r w:rsidRPr="00863FCE">
        <w:rPr>
          <w:rFonts w:ascii="Times New Roman" w:hAnsi="Times New Roman" w:cs="Times New Roman"/>
          <w:b/>
          <w:bCs/>
          <w:sz w:val="22"/>
          <w:szCs w:val="22"/>
          <w:lang w:val="lv-LV"/>
        </w:rPr>
        <w:t>KNAB 2025. gadā no EPPO saņemti 4 jauni kriminālprocesi, savukārt kopā KNAB lietvedībā atradās</w:t>
      </w:r>
      <w:r w:rsidR="00863FCE">
        <w:rPr>
          <w:rFonts w:ascii="Times New Roman" w:hAnsi="Times New Roman" w:cs="Times New Roman"/>
          <w:b/>
          <w:bCs/>
          <w:sz w:val="22"/>
          <w:szCs w:val="22"/>
          <w:lang w:val="lv-LV"/>
        </w:rPr>
        <w:t xml:space="preserve"> </w:t>
      </w:r>
      <w:r w:rsidRPr="00863FCE">
        <w:rPr>
          <w:rFonts w:ascii="Times New Roman" w:hAnsi="Times New Roman" w:cs="Times New Roman"/>
          <w:b/>
          <w:bCs/>
          <w:sz w:val="22"/>
          <w:szCs w:val="22"/>
          <w:lang w:val="lv-LV"/>
        </w:rPr>
        <w:t>7</w:t>
      </w:r>
      <w:r w:rsidR="00715D8D" w:rsidRPr="00863FCE">
        <w:rPr>
          <w:rFonts w:ascii="Times New Roman" w:hAnsi="Times New Roman" w:cs="Times New Roman"/>
          <w:b/>
          <w:bCs/>
          <w:sz w:val="22"/>
          <w:szCs w:val="22"/>
          <w:lang w:val="lv-LV"/>
        </w:rPr>
        <w:t xml:space="preserve"> </w:t>
      </w:r>
      <w:r w:rsidRPr="00863FCE">
        <w:rPr>
          <w:rFonts w:ascii="Times New Roman" w:hAnsi="Times New Roman" w:cs="Times New Roman"/>
          <w:b/>
          <w:bCs/>
          <w:sz w:val="22"/>
          <w:szCs w:val="22"/>
          <w:lang w:val="lv-LV"/>
        </w:rPr>
        <w:t>kriminālprocesi saistībā ar iespējamiem pārkāpumiem ES finanšu izlietojumā</w:t>
      </w:r>
      <w:r w:rsidRPr="00863FCE">
        <w:rPr>
          <w:rFonts w:ascii="Times New Roman" w:hAnsi="Times New Roman" w:cs="Times New Roman"/>
          <w:sz w:val="22"/>
          <w:szCs w:val="22"/>
          <w:lang w:val="lv-LV"/>
        </w:rPr>
        <w:t xml:space="preserve">. Visos </w:t>
      </w:r>
      <w:r w:rsidRPr="00863FCE">
        <w:rPr>
          <w:rFonts w:ascii="Times New Roman" w:hAnsi="Times New Roman" w:cs="Times New Roman"/>
          <w:sz w:val="22"/>
          <w:szCs w:val="22"/>
          <w:lang w:val="lv-LV"/>
        </w:rPr>
        <w:lastRenderedPageBreak/>
        <w:t>kriminālprocesos KNAB izmeklēšanu veica sadarbībā ar EPPO (gan kā procesa virzītāji, gan kā EPPO grupas dalībnieki). 2025. gadā 2 kriminālprocesi tika nosūtīti kriminālvajāšanas uzsākšanai.</w:t>
      </w:r>
    </w:p>
    <w:p w14:paraId="48CA1463" w14:textId="2E27A60F" w:rsidR="006A4521" w:rsidRDefault="0017446C" w:rsidP="00CE70F5">
      <w:pPr>
        <w:ind w:left="-851" w:right="-766"/>
        <w:contextualSpacing/>
        <w:rPr>
          <w:rFonts w:ascii="Times New Roman" w:hAnsi="Times New Roman" w:cs="Times New Roman"/>
          <w:sz w:val="22"/>
          <w:szCs w:val="22"/>
          <w:lang w:val="lv-LV"/>
        </w:rPr>
      </w:pPr>
      <w:r w:rsidRPr="00CE70F5">
        <w:rPr>
          <w:rFonts w:ascii="Times New Roman" w:hAnsi="Times New Roman" w:cs="Times New Roman"/>
          <w:b/>
          <w:sz w:val="22"/>
          <w:szCs w:val="22"/>
          <w:lang w:val="lv-LV"/>
        </w:rPr>
        <w:t xml:space="preserve">Konkurences padomē </w:t>
      </w:r>
      <w:r w:rsidR="00CE70F5" w:rsidRPr="00CE70F5">
        <w:rPr>
          <w:rFonts w:ascii="Times New Roman" w:hAnsi="Times New Roman" w:cs="Times New Roman"/>
          <w:b/>
          <w:bCs/>
          <w:sz w:val="22"/>
          <w:szCs w:val="22"/>
          <w:lang w:val="lv-LV"/>
        </w:rPr>
        <w:t>2025. gadā tika saņemti 8 iesniegumi</w:t>
      </w:r>
      <w:r w:rsidR="00CE70F5" w:rsidRPr="00CE70F5">
        <w:rPr>
          <w:rFonts w:ascii="Times New Roman" w:hAnsi="Times New Roman" w:cs="Times New Roman"/>
          <w:sz w:val="22"/>
          <w:szCs w:val="22"/>
          <w:lang w:val="lv-LV"/>
        </w:rPr>
        <w:t xml:space="preserve"> par iespējamu Konkurences likuma 11. panta un/vai 14.1 panta pirmās daļas pārkāpumu iepirkumos </w:t>
      </w:r>
      <w:r w:rsidR="00774E6C">
        <w:rPr>
          <w:rFonts w:ascii="Times New Roman" w:hAnsi="Times New Roman" w:cs="Times New Roman"/>
          <w:sz w:val="22"/>
          <w:szCs w:val="22"/>
          <w:lang w:val="lv-LV"/>
        </w:rPr>
        <w:t>saistībā ar</w:t>
      </w:r>
      <w:r w:rsidR="00CE70F5" w:rsidRPr="00CE70F5">
        <w:rPr>
          <w:rFonts w:ascii="Times New Roman" w:hAnsi="Times New Roman" w:cs="Times New Roman"/>
          <w:sz w:val="22"/>
          <w:szCs w:val="22"/>
          <w:lang w:val="lv-LV"/>
        </w:rPr>
        <w:t xml:space="preserve"> ES finansējumu, no kuriem </w:t>
      </w:r>
      <w:r w:rsidR="00774E6C">
        <w:rPr>
          <w:rFonts w:ascii="Times New Roman" w:hAnsi="Times New Roman" w:cs="Times New Roman"/>
          <w:sz w:val="22"/>
          <w:szCs w:val="22"/>
          <w:lang w:val="lv-LV"/>
        </w:rPr>
        <w:t>4</w:t>
      </w:r>
      <w:r w:rsidR="00CE70F5" w:rsidRPr="00CE70F5">
        <w:rPr>
          <w:rFonts w:ascii="Times New Roman" w:hAnsi="Times New Roman" w:cs="Times New Roman"/>
          <w:sz w:val="22"/>
          <w:szCs w:val="22"/>
          <w:lang w:val="lv-LV"/>
        </w:rPr>
        <w:t xml:space="preserve"> atrodas padziļinātā izpētē. Papildus, </w:t>
      </w:r>
      <w:r w:rsidR="007372A3">
        <w:rPr>
          <w:rFonts w:ascii="Times New Roman" w:hAnsi="Times New Roman" w:cs="Times New Roman"/>
          <w:sz w:val="22"/>
          <w:szCs w:val="22"/>
          <w:lang w:val="lv-LV"/>
        </w:rPr>
        <w:t>vienā</w:t>
      </w:r>
      <w:r w:rsidR="00CE70F5" w:rsidRPr="00CE70F5">
        <w:rPr>
          <w:rFonts w:ascii="Times New Roman" w:hAnsi="Times New Roman" w:cs="Times New Roman"/>
          <w:sz w:val="22"/>
          <w:szCs w:val="22"/>
          <w:lang w:val="lv-LV"/>
        </w:rPr>
        <w:t xml:space="preserve"> 2024.gadā ierosināt</w:t>
      </w:r>
      <w:r w:rsidR="007372A3">
        <w:rPr>
          <w:rFonts w:ascii="Times New Roman" w:hAnsi="Times New Roman" w:cs="Times New Roman"/>
          <w:sz w:val="22"/>
          <w:szCs w:val="22"/>
          <w:lang w:val="lv-LV"/>
        </w:rPr>
        <w:t>ā</w:t>
      </w:r>
      <w:r w:rsidR="00CE70F5" w:rsidRPr="00CE70F5">
        <w:rPr>
          <w:rFonts w:ascii="Times New Roman" w:hAnsi="Times New Roman" w:cs="Times New Roman"/>
          <w:sz w:val="22"/>
          <w:szCs w:val="22"/>
          <w:lang w:val="lv-LV"/>
        </w:rPr>
        <w:t xml:space="preserve"> pārkāpuma izpētes liet</w:t>
      </w:r>
      <w:r w:rsidR="007372A3">
        <w:rPr>
          <w:rFonts w:ascii="Times New Roman" w:hAnsi="Times New Roman" w:cs="Times New Roman"/>
          <w:sz w:val="22"/>
          <w:szCs w:val="22"/>
          <w:lang w:val="lv-LV"/>
        </w:rPr>
        <w:t>ā</w:t>
      </w:r>
      <w:r w:rsidR="00CE70F5" w:rsidRPr="00CE70F5">
        <w:rPr>
          <w:rFonts w:ascii="Times New Roman" w:hAnsi="Times New Roman" w:cs="Times New Roman"/>
          <w:sz w:val="22"/>
          <w:szCs w:val="22"/>
          <w:lang w:val="lv-LV"/>
        </w:rPr>
        <w:t xml:space="preserve"> par iespējamu Konkurences likuma 11. panta pirmās daļas pārkāpumu vairākos iepirkumos, no kuriem dažos piesaistīts ES </w:t>
      </w:r>
      <w:r w:rsidR="007372A3">
        <w:rPr>
          <w:rFonts w:ascii="Times New Roman" w:hAnsi="Times New Roman" w:cs="Times New Roman"/>
          <w:sz w:val="22"/>
          <w:szCs w:val="22"/>
          <w:lang w:val="lv-LV"/>
        </w:rPr>
        <w:t>līdz</w:t>
      </w:r>
      <w:r w:rsidR="00CE70F5" w:rsidRPr="00CE70F5">
        <w:rPr>
          <w:rFonts w:ascii="Times New Roman" w:hAnsi="Times New Roman" w:cs="Times New Roman"/>
          <w:sz w:val="22"/>
          <w:szCs w:val="22"/>
          <w:lang w:val="lv-LV"/>
        </w:rPr>
        <w:t>finansējums, lietas izpēte 2025.gadā ir izbeigta, nekonstatējot Konkurences likuma 11.panta pirmās daļas pārkāpumu.</w:t>
      </w:r>
    </w:p>
    <w:p w14:paraId="55862CCA" w14:textId="6E000FD9" w:rsidR="007372A3" w:rsidRPr="00515FA9" w:rsidRDefault="009F2B3F" w:rsidP="00CE70F5">
      <w:pPr>
        <w:ind w:left="-851" w:right="-766"/>
        <w:contextualSpacing/>
        <w:rPr>
          <w:rFonts w:ascii="Times New Roman" w:hAnsi="Times New Roman" w:cs="Times New Roman"/>
          <w:bCs/>
          <w:sz w:val="22"/>
          <w:szCs w:val="22"/>
          <w:lang w:val="lv-LV"/>
        </w:rPr>
      </w:pPr>
      <w:r w:rsidRPr="007878F7">
        <w:rPr>
          <w:rFonts w:ascii="Times New Roman" w:hAnsi="Times New Roman" w:cs="Times New Roman"/>
          <w:b/>
          <w:sz w:val="22"/>
          <w:szCs w:val="22"/>
          <w:lang w:val="lv-LV"/>
        </w:rPr>
        <w:t>IDB</w:t>
      </w:r>
      <w:r w:rsidR="008620ED" w:rsidRPr="007878F7">
        <w:rPr>
          <w:rFonts w:ascii="Times New Roman" w:hAnsi="Times New Roman" w:cs="Times New Roman"/>
          <w:b/>
          <w:sz w:val="22"/>
          <w:szCs w:val="22"/>
          <w:lang w:val="lv-LV"/>
        </w:rPr>
        <w:t xml:space="preserve"> lietvedībā</w:t>
      </w:r>
      <w:r w:rsidRPr="007878F7">
        <w:rPr>
          <w:rFonts w:ascii="Times New Roman" w:hAnsi="Times New Roman" w:cs="Times New Roman"/>
          <w:b/>
          <w:sz w:val="22"/>
          <w:szCs w:val="22"/>
          <w:lang w:val="lv-LV"/>
        </w:rPr>
        <w:t xml:space="preserve"> 2025.gadā</w:t>
      </w:r>
      <w:r w:rsidR="00515FA9" w:rsidRPr="007878F7">
        <w:rPr>
          <w:rFonts w:ascii="Times New Roman" w:hAnsi="Times New Roman" w:cs="Times New Roman"/>
          <w:b/>
          <w:sz w:val="22"/>
          <w:szCs w:val="22"/>
          <w:lang w:val="lv-LV"/>
        </w:rPr>
        <w:t xml:space="preserve"> </w:t>
      </w:r>
      <w:r w:rsidR="008620ED" w:rsidRPr="007878F7">
        <w:rPr>
          <w:rFonts w:ascii="Times New Roman" w:hAnsi="Times New Roman" w:cs="Times New Roman"/>
          <w:b/>
          <w:sz w:val="22"/>
          <w:szCs w:val="22"/>
          <w:lang w:val="lv-LV"/>
        </w:rPr>
        <w:t>bija 2 kriminālprocesi</w:t>
      </w:r>
      <w:r w:rsidR="008620ED" w:rsidRPr="007878F7">
        <w:rPr>
          <w:rFonts w:ascii="Times New Roman" w:hAnsi="Times New Roman" w:cs="Times New Roman"/>
          <w:bCs/>
          <w:sz w:val="22"/>
          <w:szCs w:val="22"/>
          <w:lang w:val="lv-LV"/>
        </w:rPr>
        <w:t xml:space="preserve">, kas skar ES </w:t>
      </w:r>
      <w:r w:rsidR="00515FA9" w:rsidRPr="007878F7">
        <w:rPr>
          <w:rFonts w:ascii="Times New Roman" w:hAnsi="Times New Roman" w:cs="Times New Roman"/>
          <w:bCs/>
          <w:sz w:val="22"/>
          <w:szCs w:val="22"/>
          <w:lang w:val="lv-LV"/>
        </w:rPr>
        <w:t>finanšu</w:t>
      </w:r>
      <w:r w:rsidR="008620ED" w:rsidRPr="007878F7">
        <w:rPr>
          <w:rFonts w:ascii="Times New Roman" w:hAnsi="Times New Roman" w:cs="Times New Roman"/>
          <w:bCs/>
          <w:sz w:val="22"/>
          <w:szCs w:val="22"/>
          <w:lang w:val="lv-LV"/>
        </w:rPr>
        <w:t xml:space="preserve"> intereses</w:t>
      </w:r>
      <w:r w:rsidR="0059386D" w:rsidRPr="007878F7">
        <w:rPr>
          <w:rFonts w:ascii="Times New Roman" w:hAnsi="Times New Roman" w:cs="Times New Roman"/>
          <w:bCs/>
          <w:sz w:val="22"/>
          <w:szCs w:val="22"/>
          <w:lang w:val="lv-LV"/>
        </w:rPr>
        <w:t>. 1 gadījumā izmeklēšana turpinās, savukārt</w:t>
      </w:r>
      <w:r w:rsidR="00515FA9" w:rsidRPr="007878F7">
        <w:rPr>
          <w:rFonts w:ascii="Times New Roman" w:hAnsi="Times New Roman" w:cs="Times New Roman"/>
          <w:bCs/>
          <w:sz w:val="22"/>
          <w:szCs w:val="22"/>
          <w:lang w:val="lv-LV"/>
        </w:rPr>
        <w:t>,</w:t>
      </w:r>
      <w:r w:rsidR="0059386D" w:rsidRPr="007878F7">
        <w:rPr>
          <w:rFonts w:ascii="Times New Roman" w:hAnsi="Times New Roman" w:cs="Times New Roman"/>
          <w:bCs/>
          <w:sz w:val="22"/>
          <w:szCs w:val="22"/>
          <w:lang w:val="lv-LV"/>
        </w:rPr>
        <w:t xml:space="preserve"> otrā – kriminālprocess tika nosūtīts </w:t>
      </w:r>
      <w:r w:rsidR="00720988" w:rsidRPr="007878F7">
        <w:rPr>
          <w:rFonts w:ascii="Times New Roman" w:hAnsi="Times New Roman" w:cs="Times New Roman"/>
          <w:bCs/>
          <w:sz w:val="22"/>
          <w:szCs w:val="22"/>
          <w:lang w:val="lv-LV"/>
        </w:rPr>
        <w:t xml:space="preserve">EPPO kriminālvajāšanas </w:t>
      </w:r>
      <w:r w:rsidR="00D2581F" w:rsidRPr="007878F7">
        <w:rPr>
          <w:rFonts w:ascii="Times New Roman" w:hAnsi="Times New Roman" w:cs="Times New Roman"/>
          <w:bCs/>
          <w:sz w:val="22"/>
          <w:szCs w:val="22"/>
          <w:lang w:val="lv-LV"/>
        </w:rPr>
        <w:t>uzsākšanai pēc Krimināllikuma 177.panta trešās daļas</w:t>
      </w:r>
      <w:r w:rsidR="0059386D" w:rsidRPr="007878F7">
        <w:rPr>
          <w:rFonts w:ascii="Times New Roman" w:hAnsi="Times New Roman" w:cs="Times New Roman"/>
          <w:bCs/>
          <w:sz w:val="22"/>
          <w:szCs w:val="22"/>
          <w:lang w:val="lv-LV"/>
        </w:rPr>
        <w:t xml:space="preserve">. Minētais kriminālprocess </w:t>
      </w:r>
      <w:r w:rsidR="003419C3" w:rsidRPr="007878F7">
        <w:rPr>
          <w:rFonts w:ascii="Times New Roman" w:hAnsi="Times New Roman" w:cs="Times New Roman"/>
          <w:bCs/>
          <w:sz w:val="22"/>
          <w:szCs w:val="22"/>
          <w:lang w:val="lv-LV"/>
        </w:rPr>
        <w:t>skar</w:t>
      </w:r>
      <w:r w:rsidR="000A75E9" w:rsidRPr="007878F7">
        <w:rPr>
          <w:rFonts w:ascii="Times New Roman" w:hAnsi="Times New Roman" w:cs="Times New Roman"/>
          <w:bCs/>
          <w:sz w:val="22"/>
          <w:szCs w:val="22"/>
          <w:lang w:val="lv-LV"/>
        </w:rPr>
        <w:t xml:space="preserve"> ELFLA </w:t>
      </w:r>
      <w:r w:rsidR="003419C3" w:rsidRPr="007878F7">
        <w:rPr>
          <w:rFonts w:ascii="Times New Roman" w:hAnsi="Times New Roman" w:cs="Times New Roman"/>
          <w:bCs/>
          <w:sz w:val="22"/>
          <w:szCs w:val="22"/>
          <w:lang w:val="lv-LV"/>
        </w:rPr>
        <w:t>līdzfinansēto projektu</w:t>
      </w:r>
      <w:r w:rsidR="003A5DEF" w:rsidRPr="007878F7">
        <w:rPr>
          <w:rFonts w:ascii="Times New Roman" w:hAnsi="Times New Roman" w:cs="Times New Roman"/>
          <w:bCs/>
          <w:sz w:val="22"/>
          <w:szCs w:val="22"/>
          <w:lang w:val="lv-LV"/>
        </w:rPr>
        <w:t xml:space="preserve"> ar finansiālo ietekmi vairāk kā EUR 100</w:t>
      </w:r>
      <w:r w:rsidR="00515FA9" w:rsidRPr="007878F7">
        <w:rPr>
          <w:rFonts w:ascii="Times New Roman" w:hAnsi="Times New Roman" w:cs="Times New Roman"/>
          <w:bCs/>
          <w:sz w:val="22"/>
          <w:szCs w:val="22"/>
          <w:lang w:val="lv-LV"/>
        </w:rPr>
        <w:t> </w:t>
      </w:r>
      <w:r w:rsidR="003A5DEF" w:rsidRPr="007878F7">
        <w:rPr>
          <w:rFonts w:ascii="Times New Roman" w:hAnsi="Times New Roman" w:cs="Times New Roman"/>
          <w:bCs/>
          <w:sz w:val="22"/>
          <w:szCs w:val="22"/>
          <w:lang w:val="lv-LV"/>
        </w:rPr>
        <w:t>000</w:t>
      </w:r>
      <w:r w:rsidR="00515FA9" w:rsidRPr="007878F7">
        <w:rPr>
          <w:rFonts w:ascii="Times New Roman" w:hAnsi="Times New Roman" w:cs="Times New Roman"/>
          <w:bCs/>
          <w:sz w:val="22"/>
          <w:szCs w:val="22"/>
          <w:lang w:val="lv-LV"/>
        </w:rPr>
        <w:t>.</w:t>
      </w:r>
    </w:p>
    <w:p w14:paraId="00AEE56C" w14:textId="77777777" w:rsidR="00720988" w:rsidRDefault="00720988" w:rsidP="00CE70F5">
      <w:pPr>
        <w:ind w:left="-851" w:right="-766"/>
        <w:contextualSpacing/>
        <w:rPr>
          <w:rFonts w:ascii="Times New Roman" w:hAnsi="Times New Roman" w:cs="Times New Roman"/>
          <w:bCs/>
          <w:sz w:val="22"/>
          <w:szCs w:val="22"/>
          <w:lang w:val="lv-LV"/>
        </w:rPr>
      </w:pPr>
    </w:p>
    <w:p w14:paraId="3CDE82B6" w14:textId="77777777" w:rsidR="009C0221" w:rsidRPr="00515FA9" w:rsidRDefault="009C0221" w:rsidP="00CE70F5">
      <w:pPr>
        <w:ind w:left="-851" w:right="-766"/>
        <w:contextualSpacing/>
        <w:rPr>
          <w:rFonts w:ascii="Times New Roman" w:hAnsi="Times New Roman" w:cs="Times New Roman"/>
          <w:bCs/>
          <w:sz w:val="22"/>
          <w:szCs w:val="22"/>
          <w:lang w:val="lv-LV"/>
        </w:rPr>
      </w:pPr>
    </w:p>
    <w:p w14:paraId="2E6F9649" w14:textId="46511CA2" w:rsidR="00FF343E" w:rsidRPr="00FF343E" w:rsidRDefault="00521C42" w:rsidP="00B53F9E">
      <w:pPr>
        <w:ind w:left="-851" w:right="-766" w:firstLine="0"/>
        <w:contextualSpacing/>
        <w:jc w:val="center"/>
        <w:rPr>
          <w:rFonts w:ascii="Times New Roman" w:hAnsi="Times New Roman" w:cs="Times New Roman"/>
          <w:b/>
          <w:bCs/>
          <w:lang w:val="lv-LV"/>
        </w:rPr>
      </w:pPr>
      <w:r>
        <w:rPr>
          <w:rFonts w:ascii="Times New Roman" w:hAnsi="Times New Roman" w:cs="Times New Roman"/>
          <w:b/>
          <w:bCs/>
          <w:lang w:val="lv-LV"/>
        </w:rPr>
        <w:t>3</w:t>
      </w:r>
      <w:r w:rsidR="00FF343E" w:rsidRPr="00FF343E">
        <w:rPr>
          <w:rFonts w:ascii="Times New Roman" w:hAnsi="Times New Roman" w:cs="Times New Roman"/>
          <w:b/>
          <w:bCs/>
          <w:lang w:val="lv-LV"/>
        </w:rPr>
        <w:t>.2. Sadarbība ar OLAF</w:t>
      </w:r>
      <w:r w:rsidR="00EC6EEA">
        <w:rPr>
          <w:rFonts w:ascii="Times New Roman" w:hAnsi="Times New Roman" w:cs="Times New Roman"/>
          <w:b/>
          <w:bCs/>
          <w:lang w:val="lv-LV"/>
        </w:rPr>
        <w:t>, EPPO un nacionālajām institūcijām</w:t>
      </w:r>
      <w:r w:rsidR="00FF343E">
        <w:rPr>
          <w:rFonts w:ascii="Times New Roman" w:hAnsi="Times New Roman" w:cs="Times New Roman"/>
          <w:b/>
          <w:bCs/>
          <w:lang w:val="lv-LV"/>
        </w:rPr>
        <w:t>.</w:t>
      </w:r>
    </w:p>
    <w:p w14:paraId="690575D9" w14:textId="77777777" w:rsidR="00FF343E" w:rsidRDefault="00FF343E" w:rsidP="00D920F7">
      <w:pPr>
        <w:ind w:left="-851" w:right="-766"/>
        <w:contextualSpacing/>
        <w:rPr>
          <w:rFonts w:ascii="Times New Roman" w:hAnsi="Times New Roman" w:cs="Times New Roman"/>
          <w:lang w:val="lv-LV"/>
        </w:rPr>
      </w:pPr>
    </w:p>
    <w:p w14:paraId="23370A05" w14:textId="2D8D5D51" w:rsidR="00FF343E" w:rsidRPr="00FD0D0B" w:rsidRDefault="00FF343E" w:rsidP="004865AB">
      <w:pPr>
        <w:ind w:left="-851" w:right="-766"/>
        <w:contextualSpacing/>
        <w:rPr>
          <w:rFonts w:ascii="Times New Roman" w:hAnsi="Times New Roman" w:cs="Times New Roman"/>
          <w:sz w:val="22"/>
          <w:szCs w:val="22"/>
          <w:lang w:val="lv-LV"/>
        </w:rPr>
      </w:pPr>
      <w:r w:rsidRPr="00FD0D0B">
        <w:rPr>
          <w:rFonts w:ascii="Times New Roman" w:hAnsi="Times New Roman" w:cs="Times New Roman"/>
          <w:sz w:val="22"/>
          <w:szCs w:val="22"/>
          <w:lang w:val="lv-LV"/>
        </w:rPr>
        <w:t>202</w:t>
      </w:r>
      <w:r w:rsidR="00675A4A" w:rsidRPr="00FD0D0B">
        <w:rPr>
          <w:rFonts w:ascii="Times New Roman" w:hAnsi="Times New Roman" w:cs="Times New Roman"/>
          <w:sz w:val="22"/>
          <w:szCs w:val="22"/>
          <w:lang w:val="lv-LV"/>
        </w:rPr>
        <w:t>5</w:t>
      </w:r>
      <w:r w:rsidRPr="00FD0D0B">
        <w:rPr>
          <w:rFonts w:ascii="Times New Roman" w:hAnsi="Times New Roman" w:cs="Times New Roman"/>
          <w:sz w:val="22"/>
          <w:szCs w:val="22"/>
          <w:lang w:val="lv-LV"/>
        </w:rPr>
        <w:t xml:space="preserve">. gadā tika veikti dažādi pasākumi, sadarbojoties gan ar OLAF, gan EPPO, gan </w:t>
      </w:r>
      <w:proofErr w:type="spellStart"/>
      <w:r w:rsidRPr="00FD0D0B">
        <w:rPr>
          <w:rFonts w:ascii="Times New Roman" w:hAnsi="Times New Roman" w:cs="Times New Roman"/>
          <w:sz w:val="22"/>
          <w:szCs w:val="22"/>
          <w:lang w:val="lv-LV"/>
        </w:rPr>
        <w:t>tiesībsargājošām</w:t>
      </w:r>
      <w:proofErr w:type="spellEnd"/>
      <w:r w:rsidRPr="00FD0D0B">
        <w:rPr>
          <w:rFonts w:ascii="Times New Roman" w:hAnsi="Times New Roman" w:cs="Times New Roman"/>
          <w:sz w:val="22"/>
          <w:szCs w:val="22"/>
          <w:lang w:val="lv-LV"/>
        </w:rPr>
        <w:t xml:space="preserve"> un ES fondus administrējošām iestādēm</w:t>
      </w:r>
      <w:r w:rsidR="00500FCD">
        <w:rPr>
          <w:rFonts w:ascii="Times New Roman" w:hAnsi="Times New Roman" w:cs="Times New Roman"/>
          <w:sz w:val="22"/>
          <w:szCs w:val="22"/>
          <w:lang w:val="lv-LV"/>
        </w:rPr>
        <w:t xml:space="preserve"> (</w:t>
      </w:r>
      <w:r w:rsidRPr="00FD0D0B">
        <w:rPr>
          <w:rFonts w:ascii="Times New Roman" w:hAnsi="Times New Roman" w:cs="Times New Roman"/>
          <w:sz w:val="22"/>
          <w:szCs w:val="22"/>
          <w:lang w:val="lv-LV"/>
        </w:rPr>
        <w:t xml:space="preserve">skatīt </w:t>
      </w:r>
      <w:r w:rsidRPr="0086609D">
        <w:rPr>
          <w:rFonts w:ascii="Times New Roman" w:hAnsi="Times New Roman" w:cs="Times New Roman"/>
          <w:sz w:val="22"/>
          <w:szCs w:val="22"/>
          <w:lang w:val="lv-LV"/>
        </w:rPr>
        <w:t>attēl</w:t>
      </w:r>
      <w:r w:rsidR="00500FCD">
        <w:rPr>
          <w:rFonts w:ascii="Times New Roman" w:hAnsi="Times New Roman" w:cs="Times New Roman"/>
          <w:sz w:val="22"/>
          <w:szCs w:val="22"/>
          <w:lang w:val="lv-LV"/>
        </w:rPr>
        <w:t>u</w:t>
      </w:r>
      <w:r w:rsidRPr="0086609D">
        <w:rPr>
          <w:rFonts w:ascii="Times New Roman" w:hAnsi="Times New Roman" w:cs="Times New Roman"/>
          <w:sz w:val="22"/>
          <w:szCs w:val="22"/>
          <w:lang w:val="lv-LV"/>
        </w:rPr>
        <w:t xml:space="preserve"> Nr.</w:t>
      </w:r>
      <w:r w:rsidR="0086609D" w:rsidRPr="0086609D">
        <w:rPr>
          <w:rFonts w:ascii="Times New Roman" w:hAnsi="Times New Roman" w:cs="Times New Roman"/>
          <w:sz w:val="22"/>
          <w:szCs w:val="22"/>
          <w:lang w:val="lv-LV"/>
        </w:rPr>
        <w:t>5</w:t>
      </w:r>
      <w:r w:rsidR="00500FCD">
        <w:rPr>
          <w:rFonts w:ascii="Times New Roman" w:hAnsi="Times New Roman" w:cs="Times New Roman"/>
          <w:sz w:val="22"/>
          <w:szCs w:val="22"/>
          <w:lang w:val="lv-LV"/>
        </w:rPr>
        <w:t>)</w:t>
      </w:r>
      <w:r w:rsidRPr="00FD0D0B">
        <w:rPr>
          <w:rFonts w:ascii="Times New Roman" w:hAnsi="Times New Roman" w:cs="Times New Roman"/>
          <w:sz w:val="22"/>
          <w:szCs w:val="22"/>
          <w:lang w:val="lv-LV"/>
        </w:rPr>
        <w:t>.</w:t>
      </w:r>
      <w:r w:rsidR="004865AB">
        <w:rPr>
          <w:rFonts w:ascii="Times New Roman" w:hAnsi="Times New Roman" w:cs="Times New Roman"/>
          <w:sz w:val="22"/>
          <w:szCs w:val="22"/>
          <w:lang w:val="lv-LV"/>
        </w:rPr>
        <w:t xml:space="preserve"> </w:t>
      </w:r>
      <w:proofErr w:type="spellStart"/>
      <w:r w:rsidR="004865AB">
        <w:rPr>
          <w:rFonts w:ascii="Times New Roman" w:hAnsi="Times New Roman" w:cs="Times New Roman"/>
          <w:sz w:val="22"/>
          <w:szCs w:val="22"/>
          <w:lang w:val="lv-LV"/>
        </w:rPr>
        <w:t>Starpinstitucionālā</w:t>
      </w:r>
      <w:proofErr w:type="spellEnd"/>
      <w:r w:rsidR="004865AB">
        <w:rPr>
          <w:rFonts w:ascii="Times New Roman" w:hAnsi="Times New Roman" w:cs="Times New Roman"/>
          <w:sz w:val="22"/>
          <w:szCs w:val="22"/>
          <w:lang w:val="lv-LV"/>
        </w:rPr>
        <w:t xml:space="preserve"> s</w:t>
      </w:r>
      <w:r w:rsidR="008F277A" w:rsidRPr="00FD0D0B">
        <w:rPr>
          <w:rFonts w:ascii="Times New Roman" w:hAnsi="Times New Roman" w:cs="Times New Roman"/>
          <w:sz w:val="22"/>
          <w:szCs w:val="22"/>
          <w:lang w:val="lv-LV"/>
        </w:rPr>
        <w:t>adarbība vērtējama kā efektīv</w:t>
      </w:r>
      <w:r w:rsidR="003E71C9">
        <w:rPr>
          <w:rFonts w:ascii="Times New Roman" w:hAnsi="Times New Roman" w:cs="Times New Roman"/>
          <w:sz w:val="22"/>
          <w:szCs w:val="22"/>
          <w:lang w:val="lv-LV"/>
        </w:rPr>
        <w:t xml:space="preserve">a. </w:t>
      </w:r>
    </w:p>
    <w:p w14:paraId="1C6AE466" w14:textId="77777777" w:rsidR="00CD6ED7" w:rsidRPr="00FD0D0B" w:rsidRDefault="00CD6ED7" w:rsidP="00D920F7">
      <w:pPr>
        <w:ind w:left="-851" w:right="-766" w:firstLine="0"/>
        <w:contextualSpacing/>
        <w:rPr>
          <w:rFonts w:ascii="Times New Roman" w:hAnsi="Times New Roman" w:cs="Times New Roman"/>
          <w:sz w:val="22"/>
          <w:szCs w:val="22"/>
          <w:lang w:val="lv-LV"/>
        </w:rPr>
      </w:pPr>
    </w:p>
    <w:p w14:paraId="628F0877" w14:textId="2B026418" w:rsidR="00F47A20" w:rsidRPr="002268FB" w:rsidRDefault="00FF343E" w:rsidP="008F277A">
      <w:pPr>
        <w:ind w:left="-851" w:right="-766" w:firstLine="0"/>
        <w:contextualSpacing/>
        <w:jc w:val="right"/>
        <w:rPr>
          <w:rFonts w:ascii="Times New Roman" w:hAnsi="Times New Roman" w:cs="Times New Roman"/>
          <w:i/>
          <w:iCs/>
          <w:sz w:val="20"/>
          <w:szCs w:val="20"/>
          <w:lang w:val="lv-LV"/>
        </w:rPr>
      </w:pPr>
      <w:r w:rsidRPr="0086609D">
        <w:rPr>
          <w:rFonts w:ascii="Times New Roman" w:hAnsi="Times New Roman" w:cs="Times New Roman"/>
          <w:i/>
          <w:iCs/>
          <w:sz w:val="20"/>
          <w:szCs w:val="20"/>
          <w:lang w:val="lv-LV"/>
        </w:rPr>
        <w:t>Attēls Nr.</w:t>
      </w:r>
      <w:r w:rsidR="0086609D" w:rsidRPr="0086609D">
        <w:rPr>
          <w:rFonts w:ascii="Times New Roman" w:hAnsi="Times New Roman" w:cs="Times New Roman"/>
          <w:i/>
          <w:iCs/>
          <w:sz w:val="20"/>
          <w:szCs w:val="20"/>
          <w:lang w:val="lv-LV"/>
        </w:rPr>
        <w:t>5</w:t>
      </w:r>
      <w:r w:rsidRPr="002268FB">
        <w:rPr>
          <w:rFonts w:ascii="Times New Roman" w:hAnsi="Times New Roman" w:cs="Times New Roman"/>
          <w:i/>
          <w:iCs/>
          <w:sz w:val="20"/>
          <w:szCs w:val="20"/>
          <w:lang w:val="lv-LV"/>
        </w:rPr>
        <w:t xml:space="preserve"> Sadarbība ar OLAF</w:t>
      </w:r>
      <w:r w:rsidR="00C73FFC" w:rsidRPr="002268FB">
        <w:rPr>
          <w:rFonts w:ascii="Times New Roman" w:hAnsi="Times New Roman" w:cs="Times New Roman"/>
          <w:i/>
          <w:iCs/>
          <w:sz w:val="20"/>
          <w:szCs w:val="20"/>
          <w:lang w:val="lv-LV"/>
        </w:rPr>
        <w:t>,</w:t>
      </w:r>
      <w:r w:rsidRPr="002268FB">
        <w:rPr>
          <w:rFonts w:ascii="Times New Roman" w:hAnsi="Times New Roman" w:cs="Times New Roman"/>
          <w:i/>
          <w:iCs/>
          <w:sz w:val="20"/>
          <w:szCs w:val="20"/>
          <w:lang w:val="lv-LV"/>
        </w:rPr>
        <w:t xml:space="preserve"> EPPO, </w:t>
      </w:r>
      <w:r w:rsidR="00C73FFC" w:rsidRPr="002268FB">
        <w:rPr>
          <w:rFonts w:ascii="Times New Roman" w:hAnsi="Times New Roman" w:cs="Times New Roman"/>
          <w:i/>
          <w:iCs/>
          <w:sz w:val="20"/>
          <w:szCs w:val="20"/>
          <w:lang w:val="lv-LV"/>
        </w:rPr>
        <w:t xml:space="preserve">nacionālajām institūcijām, </w:t>
      </w:r>
      <w:r w:rsidRPr="002268FB">
        <w:rPr>
          <w:rFonts w:ascii="Times New Roman" w:hAnsi="Times New Roman" w:cs="Times New Roman"/>
          <w:i/>
          <w:iCs/>
          <w:sz w:val="20"/>
          <w:szCs w:val="20"/>
          <w:lang w:val="lv-LV"/>
        </w:rPr>
        <w:t>kā arī AFCOS saņemto signālu skaits 202</w:t>
      </w:r>
      <w:r w:rsidR="00EB3DE4" w:rsidRPr="002268FB">
        <w:rPr>
          <w:rFonts w:ascii="Times New Roman" w:hAnsi="Times New Roman" w:cs="Times New Roman"/>
          <w:i/>
          <w:iCs/>
          <w:sz w:val="20"/>
          <w:szCs w:val="20"/>
          <w:lang w:val="lv-LV"/>
        </w:rPr>
        <w:t>5</w:t>
      </w:r>
      <w:r w:rsidRPr="002268FB">
        <w:rPr>
          <w:rFonts w:ascii="Times New Roman" w:hAnsi="Times New Roman" w:cs="Times New Roman"/>
          <w:i/>
          <w:iCs/>
          <w:sz w:val="20"/>
          <w:szCs w:val="20"/>
          <w:lang w:val="lv-LV"/>
        </w:rPr>
        <w:t>. gadā</w:t>
      </w:r>
    </w:p>
    <w:tbl>
      <w:tblPr>
        <w:tblStyle w:val="TableGrid"/>
        <w:tblW w:w="9782" w:type="dxa"/>
        <w:jc w:val="center"/>
        <w:tblLook w:val="04A0" w:firstRow="1" w:lastRow="0" w:firstColumn="1" w:lastColumn="0" w:noHBand="0" w:noVBand="1"/>
      </w:tblPr>
      <w:tblGrid>
        <w:gridCol w:w="846"/>
        <w:gridCol w:w="8936"/>
      </w:tblGrid>
      <w:tr w:rsidR="00F4287C" w14:paraId="189D8EA2" w14:textId="77777777" w:rsidTr="003F67AD">
        <w:trPr>
          <w:jc w:val="center"/>
        </w:trPr>
        <w:tc>
          <w:tcPr>
            <w:tcW w:w="846" w:type="dxa"/>
            <w:shd w:val="clear" w:color="auto" w:fill="FAE2D5" w:themeFill="accent2" w:themeFillTint="33"/>
          </w:tcPr>
          <w:p w14:paraId="645DB958" w14:textId="13D3BEC3" w:rsidR="00F4287C" w:rsidRPr="00333D0B" w:rsidRDefault="00F92AEB" w:rsidP="003F67AD">
            <w:pPr>
              <w:ind w:left="-120" w:right="41" w:firstLine="0"/>
              <w:contextualSpacing/>
              <w:jc w:val="center"/>
              <w:rPr>
                <w:rFonts w:ascii="Times New Roman" w:hAnsi="Times New Roman" w:cs="Times New Roman"/>
                <w:b/>
                <w:bCs/>
                <w:sz w:val="22"/>
                <w:szCs w:val="22"/>
                <w:lang w:val="lv-LV"/>
              </w:rPr>
            </w:pPr>
            <w:r>
              <w:rPr>
                <w:rFonts w:ascii="Times New Roman" w:hAnsi="Times New Roman" w:cs="Times New Roman"/>
                <w:b/>
                <w:bCs/>
                <w:sz w:val="22"/>
                <w:szCs w:val="22"/>
                <w:lang w:val="lv-LV"/>
              </w:rPr>
              <w:t>N.pk.</w:t>
            </w:r>
          </w:p>
        </w:tc>
        <w:tc>
          <w:tcPr>
            <w:tcW w:w="8936" w:type="dxa"/>
            <w:shd w:val="clear" w:color="auto" w:fill="FAE2D5" w:themeFill="accent2" w:themeFillTint="33"/>
          </w:tcPr>
          <w:p w14:paraId="7A9C5CDA" w14:textId="6CBCFC5F" w:rsidR="00F4287C" w:rsidRPr="00333D0B" w:rsidRDefault="00F4287C" w:rsidP="00333D0B">
            <w:pPr>
              <w:ind w:right="-766" w:firstLine="0"/>
              <w:contextualSpacing/>
              <w:jc w:val="center"/>
              <w:rPr>
                <w:rFonts w:ascii="Times New Roman" w:hAnsi="Times New Roman" w:cs="Times New Roman"/>
                <w:b/>
                <w:bCs/>
                <w:sz w:val="22"/>
                <w:szCs w:val="22"/>
                <w:lang w:val="lv-LV"/>
              </w:rPr>
            </w:pPr>
            <w:r w:rsidRPr="00333D0B">
              <w:rPr>
                <w:rFonts w:ascii="Times New Roman" w:hAnsi="Times New Roman" w:cs="Times New Roman"/>
                <w:b/>
                <w:bCs/>
                <w:sz w:val="22"/>
                <w:szCs w:val="22"/>
                <w:lang w:val="lv-LV"/>
              </w:rPr>
              <w:t>Sadarbības veids</w:t>
            </w:r>
          </w:p>
        </w:tc>
      </w:tr>
      <w:tr w:rsidR="00F4287C" w:rsidRPr="0017751D" w14:paraId="7FCD0FA2" w14:textId="77777777" w:rsidTr="003F67AD">
        <w:trPr>
          <w:jc w:val="center"/>
        </w:trPr>
        <w:tc>
          <w:tcPr>
            <w:tcW w:w="846" w:type="dxa"/>
          </w:tcPr>
          <w:p w14:paraId="6F75AED2" w14:textId="005B0D24" w:rsidR="00F4287C" w:rsidRPr="00333D0B" w:rsidRDefault="00F92AEB" w:rsidP="00F4287C">
            <w:pPr>
              <w:ind w:right="41" w:firstLine="0"/>
              <w:contextualSpacing/>
              <w:jc w:val="center"/>
              <w:rPr>
                <w:rFonts w:ascii="Times New Roman" w:hAnsi="Times New Roman" w:cs="Times New Roman"/>
                <w:sz w:val="22"/>
                <w:szCs w:val="22"/>
                <w:lang w:val="lv-LV"/>
              </w:rPr>
            </w:pPr>
            <w:r>
              <w:rPr>
                <w:rFonts w:ascii="Times New Roman" w:hAnsi="Times New Roman" w:cs="Times New Roman"/>
                <w:sz w:val="22"/>
                <w:szCs w:val="22"/>
                <w:lang w:val="lv-LV"/>
              </w:rPr>
              <w:t>1.</w:t>
            </w:r>
          </w:p>
        </w:tc>
        <w:tc>
          <w:tcPr>
            <w:tcW w:w="8936" w:type="dxa"/>
            <w:vAlign w:val="center"/>
          </w:tcPr>
          <w:p w14:paraId="10C0A38E" w14:textId="27097F1B" w:rsidR="00F4287C" w:rsidRPr="00515FA9" w:rsidRDefault="00083F62" w:rsidP="008E41BB">
            <w:pPr>
              <w:ind w:firstLine="0"/>
              <w:contextualSpacing/>
              <w:rPr>
                <w:rFonts w:ascii="Times New Roman" w:eastAsia="Times New Roman" w:hAnsi="Times New Roman" w:cs="Times New Roman"/>
                <w:sz w:val="22"/>
                <w:szCs w:val="22"/>
                <w:lang w:val="lv-LV"/>
              </w:rPr>
            </w:pPr>
            <w:r>
              <w:rPr>
                <w:rFonts w:ascii="Times New Roman" w:eastAsia="Times New Roman" w:hAnsi="Times New Roman" w:cs="Times New Roman"/>
                <w:sz w:val="22"/>
                <w:szCs w:val="22"/>
                <w:lang w:val="lv-LV"/>
              </w:rPr>
              <w:t>5 gadījumos s</w:t>
            </w:r>
            <w:r w:rsidR="00F4287C" w:rsidRPr="00333D0B">
              <w:rPr>
                <w:rFonts w:ascii="Times New Roman" w:eastAsia="Times New Roman" w:hAnsi="Times New Roman" w:cs="Times New Roman"/>
                <w:sz w:val="22"/>
                <w:szCs w:val="22"/>
                <w:lang w:val="lv-LV"/>
              </w:rPr>
              <w:t xml:space="preserve">niegts atbalsts </w:t>
            </w:r>
            <w:r>
              <w:rPr>
                <w:rFonts w:ascii="Times New Roman" w:eastAsia="Times New Roman" w:hAnsi="Times New Roman" w:cs="Times New Roman"/>
                <w:sz w:val="22"/>
                <w:szCs w:val="22"/>
                <w:lang w:val="lv-LV"/>
              </w:rPr>
              <w:t xml:space="preserve">OLAF </w:t>
            </w:r>
            <w:r w:rsidR="00F4287C" w:rsidRPr="00333D0B">
              <w:rPr>
                <w:rFonts w:ascii="Times New Roman" w:eastAsia="Times New Roman" w:hAnsi="Times New Roman" w:cs="Times New Roman"/>
                <w:sz w:val="22"/>
                <w:szCs w:val="22"/>
                <w:lang w:val="lv-LV"/>
              </w:rPr>
              <w:t>vai organizēta informācijas koordinēšana</w:t>
            </w:r>
          </w:p>
        </w:tc>
      </w:tr>
      <w:tr w:rsidR="00F4287C" w:rsidRPr="0017751D" w14:paraId="70BA68BD" w14:textId="77777777" w:rsidTr="003F67AD">
        <w:trPr>
          <w:jc w:val="center"/>
        </w:trPr>
        <w:tc>
          <w:tcPr>
            <w:tcW w:w="846" w:type="dxa"/>
          </w:tcPr>
          <w:p w14:paraId="78DDC058" w14:textId="4013DEBE" w:rsidR="00F4287C" w:rsidRPr="00333D0B" w:rsidRDefault="00F92AEB" w:rsidP="00F4287C">
            <w:pPr>
              <w:ind w:right="41" w:firstLine="0"/>
              <w:contextualSpacing/>
              <w:jc w:val="center"/>
              <w:rPr>
                <w:rFonts w:ascii="Times New Roman" w:hAnsi="Times New Roman" w:cs="Times New Roman"/>
                <w:sz w:val="22"/>
                <w:szCs w:val="22"/>
                <w:lang w:val="lv-LV"/>
              </w:rPr>
            </w:pPr>
            <w:r>
              <w:rPr>
                <w:rFonts w:ascii="Times New Roman" w:hAnsi="Times New Roman" w:cs="Times New Roman"/>
                <w:sz w:val="22"/>
                <w:szCs w:val="22"/>
                <w:lang w:val="lv-LV"/>
              </w:rPr>
              <w:t>2.</w:t>
            </w:r>
          </w:p>
        </w:tc>
        <w:tc>
          <w:tcPr>
            <w:tcW w:w="8936" w:type="dxa"/>
            <w:vAlign w:val="center"/>
          </w:tcPr>
          <w:p w14:paraId="6E28F1F8" w14:textId="1BDC9E48" w:rsidR="00E7428A" w:rsidRPr="00515FA9" w:rsidRDefault="00F4287C" w:rsidP="008E41BB">
            <w:pPr>
              <w:ind w:right="29" w:firstLine="0"/>
              <w:contextualSpacing/>
              <w:rPr>
                <w:rFonts w:ascii="Times New Roman" w:eastAsia="Times New Roman" w:hAnsi="Times New Roman" w:cs="Times New Roman"/>
                <w:sz w:val="22"/>
                <w:szCs w:val="22"/>
                <w:lang w:val="lv-LV"/>
              </w:rPr>
            </w:pPr>
            <w:r w:rsidRPr="00333D0B">
              <w:rPr>
                <w:rFonts w:ascii="Times New Roman" w:eastAsia="Times New Roman" w:hAnsi="Times New Roman" w:cs="Times New Roman"/>
                <w:sz w:val="22"/>
                <w:szCs w:val="22"/>
                <w:lang w:val="lv-LV"/>
              </w:rPr>
              <w:t>3 gadījumos  sniegts atbalsts  EPPO veiktajās izmeklēšanās</w:t>
            </w:r>
          </w:p>
        </w:tc>
      </w:tr>
      <w:tr w:rsidR="00F4287C" w:rsidRPr="0017751D" w14:paraId="29D913EF" w14:textId="77777777" w:rsidTr="003F67AD">
        <w:trPr>
          <w:jc w:val="center"/>
        </w:trPr>
        <w:tc>
          <w:tcPr>
            <w:tcW w:w="846" w:type="dxa"/>
          </w:tcPr>
          <w:p w14:paraId="746B877C" w14:textId="5554EF7F" w:rsidR="00F4287C" w:rsidRPr="00333D0B" w:rsidRDefault="00F92AEB" w:rsidP="00F4287C">
            <w:pPr>
              <w:ind w:right="41" w:firstLine="0"/>
              <w:contextualSpacing/>
              <w:jc w:val="center"/>
              <w:rPr>
                <w:rFonts w:ascii="Times New Roman" w:hAnsi="Times New Roman" w:cs="Times New Roman"/>
                <w:sz w:val="22"/>
                <w:szCs w:val="22"/>
                <w:lang w:val="lv-LV"/>
              </w:rPr>
            </w:pPr>
            <w:r>
              <w:rPr>
                <w:rFonts w:ascii="Times New Roman" w:hAnsi="Times New Roman" w:cs="Times New Roman"/>
                <w:sz w:val="22"/>
                <w:szCs w:val="22"/>
                <w:lang w:val="lv-LV"/>
              </w:rPr>
              <w:t>3.</w:t>
            </w:r>
          </w:p>
        </w:tc>
        <w:tc>
          <w:tcPr>
            <w:tcW w:w="8936" w:type="dxa"/>
            <w:vAlign w:val="center"/>
          </w:tcPr>
          <w:p w14:paraId="206A1429" w14:textId="20D47E2D" w:rsidR="00F4287C" w:rsidRPr="00333D0B" w:rsidRDefault="00F4287C" w:rsidP="008E41BB">
            <w:pPr>
              <w:ind w:right="29" w:firstLine="0"/>
              <w:contextualSpacing/>
              <w:rPr>
                <w:rFonts w:ascii="Times New Roman" w:eastAsia="Times New Roman" w:hAnsi="Times New Roman" w:cs="Times New Roman"/>
                <w:sz w:val="22"/>
                <w:szCs w:val="22"/>
                <w:lang w:val="lv-LV"/>
              </w:rPr>
            </w:pPr>
            <w:r w:rsidRPr="00333D0B">
              <w:rPr>
                <w:rFonts w:ascii="Times New Roman" w:eastAsia="Times New Roman" w:hAnsi="Times New Roman" w:cs="Times New Roman"/>
                <w:sz w:val="22"/>
                <w:szCs w:val="22"/>
                <w:lang w:val="lv-LV"/>
              </w:rPr>
              <w:t>4</w:t>
            </w:r>
            <w:r w:rsidR="00EF13AF">
              <w:rPr>
                <w:rFonts w:ascii="Times New Roman" w:eastAsia="Times New Roman" w:hAnsi="Times New Roman" w:cs="Times New Roman"/>
                <w:sz w:val="22"/>
                <w:szCs w:val="22"/>
                <w:lang w:val="lv-LV"/>
              </w:rPr>
              <w:t xml:space="preserve"> </w:t>
            </w:r>
            <w:r w:rsidRPr="00333D0B">
              <w:rPr>
                <w:rFonts w:ascii="Times New Roman" w:eastAsia="Times New Roman" w:hAnsi="Times New Roman" w:cs="Times New Roman"/>
                <w:sz w:val="22"/>
                <w:szCs w:val="22"/>
                <w:lang w:val="lv-LV"/>
              </w:rPr>
              <w:t>gadījumos sniegts atbalsts ENAP nepieciešamās informācijas iegūšanā.</w:t>
            </w:r>
          </w:p>
          <w:p w14:paraId="49F86F48" w14:textId="4B863CE4" w:rsidR="00EF13AF" w:rsidRDefault="00F4287C" w:rsidP="00083F62">
            <w:pPr>
              <w:ind w:right="29" w:firstLine="0"/>
              <w:contextualSpacing/>
              <w:rPr>
                <w:rFonts w:ascii="Times New Roman" w:eastAsia="Times New Roman" w:hAnsi="Times New Roman" w:cs="Times New Roman"/>
                <w:sz w:val="22"/>
                <w:szCs w:val="22"/>
                <w:lang w:val="lv-LV"/>
              </w:rPr>
            </w:pPr>
            <w:r w:rsidRPr="00333D0B">
              <w:rPr>
                <w:rFonts w:ascii="Times New Roman" w:eastAsia="Times New Roman" w:hAnsi="Times New Roman" w:cs="Times New Roman"/>
                <w:sz w:val="22"/>
                <w:szCs w:val="22"/>
                <w:lang w:val="lv-LV"/>
              </w:rPr>
              <w:t>2</w:t>
            </w:r>
            <w:r w:rsidR="00EF13AF">
              <w:rPr>
                <w:rFonts w:ascii="Times New Roman" w:eastAsia="Times New Roman" w:hAnsi="Times New Roman" w:cs="Times New Roman"/>
                <w:sz w:val="22"/>
                <w:szCs w:val="22"/>
                <w:lang w:val="lv-LV"/>
              </w:rPr>
              <w:t xml:space="preserve"> </w:t>
            </w:r>
            <w:r w:rsidRPr="00333D0B">
              <w:rPr>
                <w:rFonts w:ascii="Times New Roman" w:eastAsia="Times New Roman" w:hAnsi="Times New Roman" w:cs="Times New Roman"/>
                <w:sz w:val="22"/>
                <w:szCs w:val="22"/>
                <w:lang w:val="lv-LV"/>
              </w:rPr>
              <w:t xml:space="preserve">gadījumos organizētas konsultācijas ar Konkurences padomi </w:t>
            </w:r>
          </w:p>
          <w:p w14:paraId="5C39A259" w14:textId="674EB96C" w:rsidR="00E7428A" w:rsidRPr="00333D0B" w:rsidRDefault="00F4287C" w:rsidP="00083F62">
            <w:pPr>
              <w:ind w:right="29" w:firstLine="0"/>
              <w:contextualSpacing/>
              <w:rPr>
                <w:rFonts w:ascii="Times New Roman" w:eastAsia="Times New Roman" w:hAnsi="Times New Roman" w:cs="Times New Roman"/>
                <w:sz w:val="22"/>
                <w:szCs w:val="22"/>
                <w:lang w:val="lv-LV"/>
              </w:rPr>
            </w:pPr>
            <w:r w:rsidRPr="00333D0B">
              <w:rPr>
                <w:rFonts w:ascii="Times New Roman" w:eastAsia="Times New Roman" w:hAnsi="Times New Roman" w:cs="Times New Roman"/>
                <w:sz w:val="22"/>
                <w:szCs w:val="22"/>
                <w:lang w:val="lv-LV"/>
              </w:rPr>
              <w:t>2</w:t>
            </w:r>
            <w:r w:rsidR="008C49C1">
              <w:rPr>
                <w:rFonts w:ascii="Times New Roman" w:eastAsia="Times New Roman" w:hAnsi="Times New Roman" w:cs="Times New Roman"/>
                <w:sz w:val="22"/>
                <w:szCs w:val="22"/>
                <w:lang w:val="lv-LV"/>
              </w:rPr>
              <w:t> </w:t>
            </w:r>
            <w:r w:rsidRPr="00333D0B">
              <w:rPr>
                <w:rFonts w:ascii="Times New Roman" w:eastAsia="Times New Roman" w:hAnsi="Times New Roman" w:cs="Times New Roman"/>
                <w:sz w:val="22"/>
                <w:szCs w:val="22"/>
                <w:lang w:val="lv-LV"/>
              </w:rPr>
              <w:t xml:space="preserve">gadījumos </w:t>
            </w:r>
            <w:r w:rsidR="00083F62">
              <w:rPr>
                <w:rFonts w:ascii="Times New Roman" w:eastAsia="Times New Roman" w:hAnsi="Times New Roman" w:cs="Times New Roman"/>
                <w:sz w:val="22"/>
                <w:szCs w:val="22"/>
                <w:lang w:val="lv-LV"/>
              </w:rPr>
              <w:t>nodrošināta</w:t>
            </w:r>
            <w:r w:rsidRPr="00333D0B">
              <w:rPr>
                <w:rFonts w:ascii="Times New Roman" w:eastAsia="Times New Roman" w:hAnsi="Times New Roman" w:cs="Times New Roman"/>
                <w:sz w:val="22"/>
                <w:szCs w:val="22"/>
                <w:lang w:val="lv-LV"/>
              </w:rPr>
              <w:t xml:space="preserve"> informācijas koordinēšan</w:t>
            </w:r>
            <w:r w:rsidR="00083F62">
              <w:rPr>
                <w:rFonts w:ascii="Times New Roman" w:eastAsia="Times New Roman" w:hAnsi="Times New Roman" w:cs="Times New Roman"/>
                <w:sz w:val="22"/>
                <w:szCs w:val="22"/>
                <w:lang w:val="lv-LV"/>
              </w:rPr>
              <w:t>a</w:t>
            </w:r>
            <w:r w:rsidRPr="00333D0B">
              <w:rPr>
                <w:rFonts w:ascii="Times New Roman" w:eastAsia="Times New Roman" w:hAnsi="Times New Roman" w:cs="Times New Roman"/>
                <w:sz w:val="22"/>
                <w:szCs w:val="22"/>
                <w:lang w:val="lv-LV"/>
              </w:rPr>
              <w:t xml:space="preserve"> saistībā ar VID konstatētajiem pārkāpumiem, kas skar ES finansētos projektus.</w:t>
            </w:r>
          </w:p>
        </w:tc>
      </w:tr>
      <w:tr w:rsidR="00F4287C" w:rsidRPr="0017751D" w14:paraId="769191D1" w14:textId="77777777" w:rsidTr="003F67AD">
        <w:trPr>
          <w:jc w:val="center"/>
        </w:trPr>
        <w:tc>
          <w:tcPr>
            <w:tcW w:w="846" w:type="dxa"/>
          </w:tcPr>
          <w:p w14:paraId="54BCFB7C" w14:textId="3674C683" w:rsidR="00F4287C" w:rsidRPr="00333D0B" w:rsidRDefault="00F92AEB" w:rsidP="00F4287C">
            <w:pPr>
              <w:ind w:right="41" w:firstLine="0"/>
              <w:contextualSpacing/>
              <w:jc w:val="center"/>
              <w:rPr>
                <w:rFonts w:ascii="Times New Roman" w:hAnsi="Times New Roman" w:cs="Times New Roman"/>
                <w:sz w:val="22"/>
                <w:szCs w:val="22"/>
                <w:lang w:val="lv-LV"/>
              </w:rPr>
            </w:pPr>
            <w:r>
              <w:rPr>
                <w:rFonts w:ascii="Times New Roman" w:hAnsi="Times New Roman" w:cs="Times New Roman"/>
                <w:sz w:val="22"/>
                <w:szCs w:val="22"/>
                <w:lang w:val="lv-LV"/>
              </w:rPr>
              <w:t>3.</w:t>
            </w:r>
          </w:p>
        </w:tc>
        <w:tc>
          <w:tcPr>
            <w:tcW w:w="8936" w:type="dxa"/>
          </w:tcPr>
          <w:p w14:paraId="7108968A" w14:textId="799EDD7A" w:rsidR="00E7428A" w:rsidRPr="00515FA9" w:rsidRDefault="00F4287C" w:rsidP="007A5DFA">
            <w:pPr>
              <w:ind w:firstLine="0"/>
              <w:contextualSpacing/>
              <w:rPr>
                <w:rFonts w:ascii="Times New Roman" w:eastAsia="Times New Roman" w:hAnsi="Times New Roman" w:cs="Times New Roman"/>
                <w:sz w:val="22"/>
                <w:szCs w:val="22"/>
                <w:lang w:val="lv-LV"/>
              </w:rPr>
            </w:pPr>
            <w:r w:rsidRPr="00333D0B">
              <w:rPr>
                <w:rFonts w:ascii="Times New Roman" w:eastAsia="Times New Roman" w:hAnsi="Times New Roman" w:cs="Times New Roman"/>
                <w:sz w:val="22"/>
                <w:szCs w:val="22"/>
                <w:lang w:val="lv-LV"/>
              </w:rPr>
              <w:t>AFCOS saņemto signālu skaits – 28 (26 no tiem saistībā ar ES finansējumu)</w:t>
            </w:r>
          </w:p>
        </w:tc>
      </w:tr>
    </w:tbl>
    <w:p w14:paraId="4754E608" w14:textId="77777777" w:rsidR="00FE7C4C" w:rsidRPr="00FD0D0B" w:rsidRDefault="00FE7C4C" w:rsidP="00FE7C4C">
      <w:pPr>
        <w:ind w:left="-851" w:right="-766" w:firstLine="0"/>
        <w:contextualSpacing/>
        <w:rPr>
          <w:rFonts w:ascii="Times New Roman" w:hAnsi="Times New Roman" w:cs="Times New Roman"/>
          <w:sz w:val="22"/>
          <w:szCs w:val="22"/>
          <w:lang w:val="lv-LV"/>
        </w:rPr>
      </w:pPr>
    </w:p>
    <w:p w14:paraId="63E3A827" w14:textId="77777777" w:rsidR="006A4521" w:rsidRDefault="006A4521" w:rsidP="00CE70F5">
      <w:pPr>
        <w:ind w:right="-766" w:firstLine="0"/>
        <w:contextualSpacing/>
        <w:rPr>
          <w:rFonts w:ascii="Times New Roman" w:hAnsi="Times New Roman" w:cs="Times New Roman"/>
          <w:sz w:val="22"/>
          <w:szCs w:val="22"/>
          <w:lang w:val="lv-LV"/>
        </w:rPr>
      </w:pPr>
    </w:p>
    <w:p w14:paraId="60DF3F32" w14:textId="77777777" w:rsidR="00885D5C" w:rsidRDefault="00885D5C" w:rsidP="00CE70F5">
      <w:pPr>
        <w:ind w:right="-766" w:firstLine="0"/>
        <w:contextualSpacing/>
        <w:rPr>
          <w:rFonts w:ascii="Times New Roman" w:hAnsi="Times New Roman" w:cs="Times New Roman"/>
          <w:sz w:val="22"/>
          <w:szCs w:val="22"/>
          <w:lang w:val="lv-LV"/>
        </w:rPr>
      </w:pPr>
    </w:p>
    <w:p w14:paraId="5D936A40" w14:textId="77777777" w:rsidR="00885D5C" w:rsidRDefault="00885D5C" w:rsidP="00CE70F5">
      <w:pPr>
        <w:ind w:right="-766" w:firstLine="0"/>
        <w:contextualSpacing/>
        <w:rPr>
          <w:rFonts w:ascii="Times New Roman" w:hAnsi="Times New Roman" w:cs="Times New Roman"/>
          <w:sz w:val="22"/>
          <w:szCs w:val="22"/>
          <w:lang w:val="lv-LV"/>
        </w:rPr>
      </w:pPr>
    </w:p>
    <w:p w14:paraId="4BA3D9F6" w14:textId="468E807A" w:rsidR="00FE7C4C" w:rsidRPr="00FD0D0B" w:rsidRDefault="00FE7C4C" w:rsidP="00FE7C4C">
      <w:pPr>
        <w:ind w:left="-851" w:right="-766" w:firstLine="0"/>
        <w:contextualSpacing/>
        <w:rPr>
          <w:rFonts w:ascii="Times New Roman" w:hAnsi="Times New Roman" w:cs="Times New Roman"/>
          <w:sz w:val="22"/>
          <w:szCs w:val="22"/>
          <w:lang w:val="lv-LV"/>
        </w:rPr>
      </w:pPr>
      <w:r w:rsidRPr="00FD0D0B">
        <w:rPr>
          <w:rFonts w:ascii="Times New Roman" w:hAnsi="Times New Roman" w:cs="Times New Roman"/>
          <w:sz w:val="22"/>
          <w:szCs w:val="22"/>
          <w:lang w:val="lv-LV"/>
        </w:rPr>
        <w:t>Finanšu ministrs</w:t>
      </w:r>
      <w:r w:rsidRPr="00FD0D0B">
        <w:rPr>
          <w:rFonts w:ascii="Times New Roman" w:hAnsi="Times New Roman" w:cs="Times New Roman"/>
          <w:sz w:val="22"/>
          <w:szCs w:val="22"/>
          <w:lang w:val="lv-LV"/>
        </w:rPr>
        <w:tab/>
      </w:r>
      <w:r w:rsidRPr="00FD0D0B">
        <w:rPr>
          <w:rFonts w:ascii="Times New Roman" w:hAnsi="Times New Roman" w:cs="Times New Roman"/>
          <w:sz w:val="22"/>
          <w:szCs w:val="22"/>
          <w:lang w:val="lv-LV"/>
        </w:rPr>
        <w:tab/>
      </w:r>
      <w:r w:rsidRPr="00FD0D0B">
        <w:rPr>
          <w:rFonts w:ascii="Times New Roman" w:hAnsi="Times New Roman" w:cs="Times New Roman"/>
          <w:sz w:val="22"/>
          <w:szCs w:val="22"/>
          <w:lang w:val="lv-LV"/>
        </w:rPr>
        <w:tab/>
      </w:r>
      <w:r w:rsidRPr="00FD0D0B">
        <w:rPr>
          <w:rFonts w:ascii="Times New Roman" w:hAnsi="Times New Roman" w:cs="Times New Roman"/>
          <w:sz w:val="22"/>
          <w:szCs w:val="22"/>
          <w:lang w:val="lv-LV"/>
        </w:rPr>
        <w:tab/>
      </w:r>
      <w:r w:rsidRPr="00FD0D0B">
        <w:rPr>
          <w:rFonts w:ascii="Times New Roman" w:hAnsi="Times New Roman" w:cs="Times New Roman"/>
          <w:sz w:val="22"/>
          <w:szCs w:val="22"/>
          <w:lang w:val="lv-LV"/>
        </w:rPr>
        <w:tab/>
      </w:r>
      <w:r w:rsidRPr="00FD0D0B">
        <w:rPr>
          <w:rFonts w:ascii="Times New Roman" w:hAnsi="Times New Roman" w:cs="Times New Roman"/>
          <w:sz w:val="22"/>
          <w:szCs w:val="22"/>
          <w:lang w:val="lv-LV"/>
        </w:rPr>
        <w:tab/>
      </w:r>
      <w:r w:rsidRPr="00FD0D0B">
        <w:rPr>
          <w:rFonts w:ascii="Times New Roman" w:hAnsi="Times New Roman" w:cs="Times New Roman"/>
          <w:sz w:val="22"/>
          <w:szCs w:val="22"/>
          <w:lang w:val="lv-LV"/>
        </w:rPr>
        <w:tab/>
      </w:r>
      <w:r w:rsidRPr="00FD0D0B">
        <w:rPr>
          <w:rFonts w:ascii="Times New Roman" w:hAnsi="Times New Roman" w:cs="Times New Roman"/>
          <w:sz w:val="22"/>
          <w:szCs w:val="22"/>
          <w:lang w:val="lv-LV"/>
        </w:rPr>
        <w:tab/>
      </w:r>
      <w:r w:rsidRPr="00FD0D0B">
        <w:rPr>
          <w:rFonts w:ascii="Times New Roman" w:hAnsi="Times New Roman" w:cs="Times New Roman"/>
          <w:sz w:val="22"/>
          <w:szCs w:val="22"/>
          <w:lang w:val="lv-LV"/>
        </w:rPr>
        <w:tab/>
        <w:t>A. Ašeradens</w:t>
      </w:r>
    </w:p>
    <w:p w14:paraId="67ED9592" w14:textId="77777777" w:rsidR="00FE7C4C" w:rsidRPr="00FD0D0B" w:rsidRDefault="00FE7C4C" w:rsidP="00FE7C4C">
      <w:pPr>
        <w:ind w:left="-851" w:right="-766" w:firstLine="0"/>
        <w:contextualSpacing/>
        <w:rPr>
          <w:rFonts w:ascii="Times New Roman" w:hAnsi="Times New Roman" w:cs="Times New Roman"/>
          <w:sz w:val="22"/>
          <w:szCs w:val="22"/>
          <w:lang w:val="lv-LV"/>
        </w:rPr>
      </w:pPr>
    </w:p>
    <w:p w14:paraId="2DDD69EC" w14:textId="77777777" w:rsidR="00885D5C" w:rsidRDefault="00885D5C" w:rsidP="00FE7C4C">
      <w:pPr>
        <w:ind w:left="-851" w:right="-766" w:firstLine="0"/>
        <w:contextualSpacing/>
        <w:rPr>
          <w:rFonts w:ascii="Times New Roman" w:hAnsi="Times New Roman" w:cs="Times New Roman"/>
          <w:sz w:val="20"/>
          <w:szCs w:val="20"/>
          <w:lang w:val="lv-LV"/>
        </w:rPr>
      </w:pPr>
    </w:p>
    <w:p w14:paraId="208FEEC3" w14:textId="7B600644" w:rsidR="00FE7C4C" w:rsidRPr="00FE7C4C" w:rsidRDefault="00FE7C4C" w:rsidP="00FE7C4C">
      <w:pPr>
        <w:ind w:left="-851" w:right="-766" w:firstLine="0"/>
        <w:contextualSpacing/>
        <w:rPr>
          <w:rFonts w:ascii="Times New Roman" w:hAnsi="Times New Roman" w:cs="Times New Roman"/>
          <w:sz w:val="20"/>
          <w:szCs w:val="20"/>
          <w:lang w:val="lv-LV"/>
        </w:rPr>
      </w:pPr>
      <w:r w:rsidRPr="00FE7C4C">
        <w:rPr>
          <w:rFonts w:ascii="Times New Roman" w:hAnsi="Times New Roman" w:cs="Times New Roman"/>
          <w:sz w:val="20"/>
          <w:szCs w:val="20"/>
          <w:lang w:val="lv-LV"/>
        </w:rPr>
        <w:t>I. Dolgais, tel. Nr.: 25623329</w:t>
      </w:r>
    </w:p>
    <w:p w14:paraId="2CFAF670" w14:textId="4CC777D2" w:rsidR="0017446C" w:rsidRPr="00FE7C4C" w:rsidRDefault="00FE7C4C" w:rsidP="00FE7C4C">
      <w:pPr>
        <w:ind w:left="-851" w:right="-766" w:firstLine="0"/>
        <w:contextualSpacing/>
        <w:rPr>
          <w:rFonts w:ascii="Times New Roman" w:hAnsi="Times New Roman" w:cs="Times New Roman"/>
          <w:sz w:val="20"/>
          <w:szCs w:val="20"/>
          <w:lang w:val="lv-LV"/>
        </w:rPr>
      </w:pPr>
      <w:r w:rsidRPr="00FE7C4C">
        <w:rPr>
          <w:rFonts w:ascii="Times New Roman" w:hAnsi="Times New Roman" w:cs="Times New Roman"/>
          <w:sz w:val="20"/>
          <w:szCs w:val="20"/>
          <w:lang w:val="lv-LV"/>
        </w:rPr>
        <w:t>Inese.dolgais@fm.gov.lv</w:t>
      </w:r>
    </w:p>
    <w:sectPr w:rsidR="0017446C" w:rsidRPr="00FE7C4C" w:rsidSect="00E22619">
      <w:footerReference w:type="default" r:id="rId18"/>
      <w:pgSz w:w="11906" w:h="16838"/>
      <w:pgMar w:top="851" w:right="1700" w:bottom="851"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E683E" w14:textId="77777777" w:rsidR="00B8281E" w:rsidRDefault="00B8281E" w:rsidP="004E0FCC">
      <w:pPr>
        <w:spacing w:after="0"/>
      </w:pPr>
      <w:r>
        <w:separator/>
      </w:r>
    </w:p>
  </w:endnote>
  <w:endnote w:type="continuationSeparator" w:id="0">
    <w:p w14:paraId="13D018FD" w14:textId="77777777" w:rsidR="00B8281E" w:rsidRDefault="00B8281E" w:rsidP="004E0F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065749"/>
      <w:docPartObj>
        <w:docPartGallery w:val="Page Numbers (Bottom of Page)"/>
        <w:docPartUnique/>
      </w:docPartObj>
    </w:sdtPr>
    <w:sdtEndPr>
      <w:rPr>
        <w:noProof/>
      </w:rPr>
    </w:sdtEndPr>
    <w:sdtContent>
      <w:p w14:paraId="7745187C" w14:textId="546264F8" w:rsidR="00E22619" w:rsidRDefault="00E226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7D9146" w14:textId="77777777" w:rsidR="00E22619" w:rsidRDefault="00E22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2C29E" w14:textId="77777777" w:rsidR="00B8281E" w:rsidRDefault="00B8281E" w:rsidP="004E0FCC">
      <w:pPr>
        <w:spacing w:after="0"/>
      </w:pPr>
      <w:r>
        <w:separator/>
      </w:r>
    </w:p>
  </w:footnote>
  <w:footnote w:type="continuationSeparator" w:id="0">
    <w:p w14:paraId="7D9253DD" w14:textId="77777777" w:rsidR="00B8281E" w:rsidRDefault="00B8281E" w:rsidP="004E0FCC">
      <w:pPr>
        <w:spacing w:after="0"/>
      </w:pPr>
      <w:r>
        <w:continuationSeparator/>
      </w:r>
    </w:p>
  </w:footnote>
  <w:footnote w:id="1">
    <w:p w14:paraId="5512BA83" w14:textId="64E94994" w:rsidR="00AF7044" w:rsidRPr="00B866D6" w:rsidRDefault="00AF7044" w:rsidP="00630859">
      <w:pPr>
        <w:pStyle w:val="FootnoteText"/>
        <w:spacing w:line="240" w:lineRule="auto"/>
        <w:ind w:left="-851" w:right="-908"/>
        <w:contextualSpacing/>
        <w:jc w:val="both"/>
        <w:rPr>
          <w:rFonts w:ascii="Times New Roman" w:hAnsi="Times New Roman" w:cs="Times New Roman"/>
          <w:sz w:val="18"/>
          <w:szCs w:val="18"/>
          <w:lang w:val="lv-LV"/>
        </w:rPr>
      </w:pPr>
      <w:r w:rsidRPr="00B866D6">
        <w:rPr>
          <w:rStyle w:val="FootnoteReference"/>
          <w:rFonts w:ascii="Times New Roman" w:hAnsi="Times New Roman" w:cs="Times New Roman"/>
          <w:sz w:val="18"/>
          <w:szCs w:val="18"/>
        </w:rPr>
        <w:footnoteRef/>
      </w:r>
      <w:r w:rsidRPr="00B866D6">
        <w:rPr>
          <w:rFonts w:ascii="Times New Roman" w:hAnsi="Times New Roman" w:cs="Times New Roman"/>
          <w:sz w:val="18"/>
          <w:szCs w:val="18"/>
        </w:rPr>
        <w:t xml:space="preserve"> </w:t>
      </w:r>
      <w:hyperlink r:id="rId1" w:history="1">
        <w:r w:rsidR="00587EF6" w:rsidRPr="00B866D6">
          <w:rPr>
            <w:rStyle w:val="Hyperlink"/>
            <w:rFonts w:ascii="Times New Roman" w:hAnsi="Times New Roman" w:cs="Times New Roman"/>
            <w:sz w:val="18"/>
            <w:szCs w:val="18"/>
            <w:lang w:val="lv-LV"/>
          </w:rPr>
          <w:t>14.05.2024.</w:t>
        </w:r>
        <w:r w:rsidR="00587EF6" w:rsidRPr="00B866D6">
          <w:rPr>
            <w:rStyle w:val="Hyperlink"/>
            <w:rFonts w:ascii="Times New Roman" w:eastAsiaTheme="minorHAnsi" w:hAnsi="Times New Roman" w:cs="Times New Roman"/>
            <w:b/>
            <w:bCs/>
            <w:sz w:val="18"/>
            <w:szCs w:val="18"/>
            <w:shd w:val="clear" w:color="auto" w:fill="FFFFFF"/>
            <w:lang w:val="lv-LV"/>
          </w:rPr>
          <w:t xml:space="preserve"> </w:t>
        </w:r>
        <w:r w:rsidR="00587EF6" w:rsidRPr="00B866D6">
          <w:rPr>
            <w:rStyle w:val="Hyperlink"/>
            <w:rFonts w:ascii="Times New Roman" w:hAnsi="Times New Roman" w:cs="Times New Roman"/>
            <w:sz w:val="18"/>
            <w:szCs w:val="18"/>
            <w:lang w:val="lv-LV"/>
          </w:rPr>
          <w:t>Ministru kabineta rīkojums Nr. 374 “ Par Eiropas Savienības finanšu interešu aizsardzības koordinācijas dienesta (AFCOS) darbības stratēģiju un pasākumu plānu 2024.–2026. gadam”</w:t>
        </w:r>
      </w:hyperlink>
    </w:p>
  </w:footnote>
  <w:footnote w:id="2">
    <w:p w14:paraId="705320EC" w14:textId="167D9970" w:rsidR="003D54D0" w:rsidRPr="00B866D6" w:rsidRDefault="003D54D0" w:rsidP="00630859">
      <w:pPr>
        <w:pStyle w:val="FootnoteText"/>
        <w:spacing w:line="240" w:lineRule="auto"/>
        <w:ind w:left="-851" w:right="-908"/>
        <w:contextualSpacing/>
        <w:jc w:val="both"/>
        <w:rPr>
          <w:rFonts w:ascii="Times New Roman" w:hAnsi="Times New Roman" w:cs="Times New Roman"/>
          <w:sz w:val="18"/>
          <w:szCs w:val="18"/>
          <w:lang w:val="lv-LV"/>
        </w:rPr>
      </w:pPr>
      <w:r w:rsidRPr="00B866D6">
        <w:rPr>
          <w:rStyle w:val="FootnoteReference"/>
          <w:rFonts w:ascii="Times New Roman" w:hAnsi="Times New Roman" w:cs="Times New Roman"/>
          <w:sz w:val="18"/>
          <w:szCs w:val="18"/>
          <w:lang w:val="lv-LV"/>
        </w:rPr>
        <w:footnoteRef/>
      </w:r>
      <w:r w:rsidRPr="00B866D6">
        <w:rPr>
          <w:rFonts w:ascii="Times New Roman" w:hAnsi="Times New Roman" w:cs="Times New Roman"/>
          <w:sz w:val="18"/>
          <w:szCs w:val="18"/>
          <w:lang w:val="lv-LV"/>
        </w:rPr>
        <w:t xml:space="preserve"> </w:t>
      </w:r>
      <w:r w:rsidR="00B866D6" w:rsidRPr="00B866D6">
        <w:rPr>
          <w:rFonts w:ascii="Times New Roman" w:hAnsi="Times New Roman" w:cs="Times New Roman"/>
          <w:sz w:val="18"/>
          <w:szCs w:val="18"/>
          <w:lang w:val="lv-LV"/>
        </w:rPr>
        <w:t>Eiropas Savienības finanšu interešu aizsardzības koordinācijas dienesta (AFCOS) Darbības stratēģijas un pasākumu plāna</w:t>
      </w:r>
      <w:r w:rsidR="00B866D6">
        <w:rPr>
          <w:rFonts w:ascii="Times New Roman" w:hAnsi="Times New Roman" w:cs="Times New Roman"/>
          <w:sz w:val="18"/>
          <w:szCs w:val="18"/>
          <w:lang w:val="lv-LV"/>
        </w:rPr>
        <w:t xml:space="preserve"> </w:t>
      </w:r>
      <w:r w:rsidR="00B866D6" w:rsidRPr="00B866D6">
        <w:rPr>
          <w:rFonts w:ascii="Times New Roman" w:hAnsi="Times New Roman" w:cs="Times New Roman"/>
          <w:sz w:val="18"/>
          <w:szCs w:val="18"/>
          <w:lang w:val="lv-LV"/>
        </w:rPr>
        <w:t>2024.–2026. gadam 4.1.pasākuma ietvaros veiktās analīzes apkopojums</w:t>
      </w:r>
    </w:p>
  </w:footnote>
  <w:footnote w:id="3">
    <w:p w14:paraId="69AF3C36" w14:textId="2DEC5F5C" w:rsidR="007E1D72" w:rsidRPr="004A6977" w:rsidRDefault="007E1D72" w:rsidP="00630859">
      <w:pPr>
        <w:pStyle w:val="FootnoteText"/>
        <w:spacing w:line="240" w:lineRule="auto"/>
        <w:ind w:left="-851" w:right="-766"/>
        <w:contextualSpacing/>
        <w:jc w:val="both"/>
        <w:rPr>
          <w:rFonts w:ascii="Times New Roman" w:hAnsi="Times New Roman" w:cs="Times New Roman"/>
          <w:sz w:val="18"/>
          <w:szCs w:val="18"/>
          <w:lang w:val="lv-LV"/>
        </w:rPr>
      </w:pPr>
      <w:r w:rsidRPr="00B866D6">
        <w:rPr>
          <w:rStyle w:val="FootnoteReference"/>
          <w:rFonts w:ascii="Times New Roman" w:hAnsi="Times New Roman" w:cs="Times New Roman"/>
          <w:sz w:val="18"/>
          <w:szCs w:val="18"/>
          <w:lang w:val="lv-LV"/>
        </w:rPr>
        <w:footnoteRef/>
      </w:r>
      <w:r w:rsidRPr="00B866D6">
        <w:rPr>
          <w:rFonts w:ascii="Times New Roman" w:hAnsi="Times New Roman" w:cs="Times New Roman"/>
          <w:sz w:val="18"/>
          <w:szCs w:val="18"/>
          <w:lang w:val="lv-LV"/>
        </w:rPr>
        <w:t xml:space="preserve"> </w:t>
      </w:r>
      <w:hyperlink r:id="rId2" w:history="1">
        <w:r w:rsidRPr="004A6977">
          <w:rPr>
            <w:rStyle w:val="Hyperlink"/>
            <w:rFonts w:ascii="Times New Roman" w:hAnsi="Times New Roman" w:cs="Times New Roman"/>
            <w:sz w:val="18"/>
            <w:szCs w:val="18"/>
            <w:lang w:val="lv-LV"/>
          </w:rPr>
          <w:t>28.02.2017. Ministru kabineta noteikumi Nr. 104 “Noteikumi par iepirkuma procedūru un tās piemērošanas kārtību pasūtītāja finansētiem projektiem”</w:t>
        </w:r>
      </w:hyperlink>
    </w:p>
  </w:footnote>
  <w:footnote w:id="4">
    <w:p w14:paraId="7F79AA68" w14:textId="77777777" w:rsidR="007E1D72" w:rsidRPr="008C443E" w:rsidRDefault="007E1D72" w:rsidP="00630859">
      <w:pPr>
        <w:pStyle w:val="FootnoteText"/>
        <w:spacing w:line="240" w:lineRule="auto"/>
        <w:ind w:left="-851" w:right="-765"/>
        <w:contextualSpacing/>
        <w:jc w:val="both"/>
        <w:rPr>
          <w:rFonts w:ascii="Times New Roman" w:hAnsi="Times New Roman" w:cs="Times New Roman"/>
          <w:sz w:val="18"/>
          <w:szCs w:val="18"/>
          <w:lang w:val="lv-LV"/>
        </w:rPr>
      </w:pPr>
      <w:r w:rsidRPr="008C443E">
        <w:rPr>
          <w:rStyle w:val="FootnoteReference"/>
          <w:rFonts w:ascii="Times New Roman" w:hAnsi="Times New Roman" w:cs="Times New Roman"/>
          <w:sz w:val="18"/>
          <w:szCs w:val="18"/>
        </w:rPr>
        <w:footnoteRef/>
      </w:r>
      <w:r w:rsidRPr="007E30DB">
        <w:rPr>
          <w:rFonts w:ascii="Times New Roman" w:hAnsi="Times New Roman" w:cs="Times New Roman"/>
          <w:sz w:val="18"/>
          <w:szCs w:val="18"/>
          <w:lang w:val="fr-FR"/>
        </w:rPr>
        <w:t xml:space="preserve"> </w:t>
      </w:r>
      <w:hyperlink r:id="rId3" w:history="1">
        <w:r w:rsidRPr="00AE0B38">
          <w:rPr>
            <w:rStyle w:val="Hyperlink"/>
            <w:rFonts w:ascii="Times New Roman" w:hAnsi="Times New Roman" w:cs="Times New Roman"/>
            <w:sz w:val="18"/>
            <w:szCs w:val="18"/>
            <w:lang w:val="lv-LV"/>
          </w:rPr>
          <w:t>AFCOS Padomes 28.11.2024. sēdes protokols Nr.2/2024</w:t>
        </w:r>
      </w:hyperlink>
      <w:r w:rsidRPr="00AE0B38">
        <w:rPr>
          <w:rFonts w:ascii="Times New Roman" w:hAnsi="Times New Roman" w:cs="Times New Roman"/>
          <w:sz w:val="18"/>
          <w:szCs w:val="18"/>
          <w:lang w:val="lv-LV"/>
        </w:rPr>
        <w:t xml:space="preserve">, </w:t>
      </w:r>
      <w:r w:rsidRPr="00AE0B38">
        <w:rPr>
          <w:rFonts w:ascii="Times New Roman" w:hAnsi="Times New Roman" w:cs="Times New Roman"/>
          <w:sz w:val="18"/>
          <w:szCs w:val="18"/>
          <w:lang w:val="fr-FR"/>
        </w:rPr>
        <w:t xml:space="preserve">B.1.pk. </w:t>
      </w:r>
    </w:p>
  </w:footnote>
  <w:footnote w:id="5">
    <w:p w14:paraId="798B4F37" w14:textId="77777777" w:rsidR="007E1D72" w:rsidRPr="008C443E" w:rsidRDefault="007E1D72" w:rsidP="00630859">
      <w:pPr>
        <w:pStyle w:val="FootnoteText"/>
        <w:spacing w:line="240" w:lineRule="auto"/>
        <w:ind w:left="-851" w:right="-765"/>
        <w:contextualSpacing/>
        <w:jc w:val="both"/>
        <w:rPr>
          <w:rFonts w:ascii="Times New Roman" w:hAnsi="Times New Roman" w:cs="Times New Roman"/>
          <w:sz w:val="18"/>
          <w:szCs w:val="18"/>
          <w:lang w:val="lv-LV"/>
        </w:rPr>
      </w:pPr>
      <w:r w:rsidRPr="008C443E">
        <w:rPr>
          <w:rStyle w:val="FootnoteReference"/>
          <w:rFonts w:ascii="Times New Roman" w:hAnsi="Times New Roman" w:cs="Times New Roman"/>
          <w:sz w:val="18"/>
          <w:szCs w:val="18"/>
        </w:rPr>
        <w:footnoteRef/>
      </w:r>
      <w:r w:rsidRPr="00AE0B38">
        <w:rPr>
          <w:rFonts w:ascii="Times New Roman" w:hAnsi="Times New Roman" w:cs="Times New Roman"/>
          <w:sz w:val="18"/>
          <w:szCs w:val="18"/>
          <w:lang w:val="fr-FR"/>
        </w:rPr>
        <w:t xml:space="preserve"> </w:t>
      </w:r>
      <w:hyperlink r:id="rId4" w:history="1">
        <w:r w:rsidRPr="008C443E">
          <w:rPr>
            <w:rStyle w:val="Hyperlink"/>
            <w:rFonts w:ascii="Times New Roman" w:hAnsi="Times New Roman" w:cs="Times New Roman"/>
            <w:sz w:val="18"/>
            <w:szCs w:val="18"/>
            <w:lang w:val="lv-LV"/>
          </w:rPr>
          <w:t>AFCOS Padomes 30.10.2025. sēdes protokols Nr.2/2025</w:t>
        </w:r>
      </w:hyperlink>
      <w:r w:rsidRPr="008C443E">
        <w:rPr>
          <w:rFonts w:ascii="Times New Roman" w:hAnsi="Times New Roman" w:cs="Times New Roman"/>
          <w:sz w:val="18"/>
          <w:szCs w:val="18"/>
          <w:lang w:val="lv-LV"/>
        </w:rPr>
        <w:t>, B.7.pk.</w:t>
      </w:r>
    </w:p>
  </w:footnote>
  <w:footnote w:id="6">
    <w:p w14:paraId="0AF6D189" w14:textId="77777777" w:rsidR="002D39F5" w:rsidRPr="008C443E" w:rsidRDefault="002D39F5" w:rsidP="00630859">
      <w:pPr>
        <w:pStyle w:val="FootnoteText"/>
        <w:spacing w:line="240" w:lineRule="auto"/>
        <w:ind w:left="-851" w:right="-765"/>
        <w:contextualSpacing/>
        <w:jc w:val="both"/>
        <w:rPr>
          <w:rFonts w:ascii="Times New Roman" w:hAnsi="Times New Roman" w:cs="Times New Roman"/>
          <w:sz w:val="18"/>
          <w:szCs w:val="18"/>
          <w:lang w:val="lv-LV"/>
        </w:rPr>
      </w:pPr>
      <w:r w:rsidRPr="008C443E">
        <w:rPr>
          <w:rStyle w:val="FootnoteReference"/>
          <w:rFonts w:ascii="Times New Roman" w:hAnsi="Times New Roman" w:cs="Times New Roman"/>
          <w:sz w:val="18"/>
          <w:szCs w:val="18"/>
        </w:rPr>
        <w:footnoteRef/>
      </w:r>
      <w:r w:rsidRPr="00AE0B38">
        <w:rPr>
          <w:rFonts w:ascii="Times New Roman" w:hAnsi="Times New Roman" w:cs="Times New Roman"/>
          <w:sz w:val="18"/>
          <w:szCs w:val="18"/>
          <w:lang w:val="lv-LV"/>
        </w:rPr>
        <w:t xml:space="preserve"> </w:t>
      </w:r>
      <w:hyperlink r:id="rId5" w:history="1">
        <w:r w:rsidRPr="009D7FDF">
          <w:rPr>
            <w:rStyle w:val="Hyperlink"/>
            <w:rFonts w:ascii="Times New Roman" w:hAnsi="Times New Roman" w:cs="Times New Roman"/>
            <w:sz w:val="18"/>
            <w:szCs w:val="18"/>
            <w:lang w:val="lv-LV"/>
          </w:rPr>
          <w:t>16.12.2014. Ministru kabineta noteikumi Nr.769 “ Eiropas Savienības finanšu interešu aizsardzības koordinācijas padomes nolikums”</w:t>
        </w:r>
      </w:hyperlink>
    </w:p>
  </w:footnote>
  <w:footnote w:id="7">
    <w:p w14:paraId="5EA7AD37" w14:textId="5E30F27C" w:rsidR="00DD677D" w:rsidRPr="00DD677D" w:rsidRDefault="00DD677D" w:rsidP="00630859">
      <w:pPr>
        <w:pStyle w:val="FootnoteText"/>
        <w:spacing w:line="240" w:lineRule="auto"/>
        <w:ind w:left="-851" w:right="-805"/>
        <w:contextualSpacing/>
        <w:jc w:val="both"/>
        <w:rPr>
          <w:lang w:val="lv-LV"/>
        </w:rPr>
      </w:pPr>
      <w:r>
        <w:rPr>
          <w:rStyle w:val="FootnoteReference"/>
        </w:rPr>
        <w:footnoteRef/>
      </w:r>
      <w:r>
        <w:t xml:space="preserve"> </w:t>
      </w:r>
      <w:r w:rsidRPr="00763332">
        <w:rPr>
          <w:rFonts w:ascii="Times New Roman" w:hAnsi="Times New Roman" w:cs="Times New Roman"/>
          <w:lang w:val="lv-LV"/>
        </w:rPr>
        <w:t>Saskaņā ar 2024.gada 3.decembra Rīgas pilsētas tiesas spriedumu, aizdomās turamā persona tika atzīta par vainīgu Krimināllikuma 177. panta trešajā daļā paredzētā noziedzīgā nodarījuma izdarīšanā.</w:t>
      </w:r>
    </w:p>
  </w:footnote>
  <w:footnote w:id="8">
    <w:p w14:paraId="0864901D" w14:textId="77777777" w:rsidR="001F3D2B" w:rsidRPr="00630859" w:rsidRDefault="001F3D2B" w:rsidP="001F3D2B">
      <w:pPr>
        <w:pStyle w:val="FootnoteText"/>
        <w:spacing w:line="240" w:lineRule="auto"/>
        <w:ind w:left="-851" w:right="-663"/>
        <w:contextualSpacing/>
        <w:jc w:val="both"/>
        <w:rPr>
          <w:rFonts w:ascii="Times New Roman" w:hAnsi="Times New Roman" w:cs="Times New Roman"/>
          <w:lang w:val="lv-LV"/>
        </w:rPr>
      </w:pPr>
      <w:r>
        <w:rPr>
          <w:rStyle w:val="FootnoteReference"/>
        </w:rPr>
        <w:footnoteRef/>
      </w:r>
      <w:r>
        <w:t xml:space="preserve"> </w:t>
      </w:r>
      <w:r w:rsidRPr="00630859">
        <w:rPr>
          <w:rFonts w:ascii="Times New Roman" w:hAnsi="Times New Roman" w:cs="Times New Roman"/>
          <w:lang w:val="lv-LV"/>
        </w:rPr>
        <w:t xml:space="preserve">Lielākoties lietas tika izbeigtas, jo veicot izmeklēšanu kriminālprocesos, tika konstatēti kriminālprocesu nepieļaujošie apstākļi (Kriminālprocesa 377. pants vai 392. pants). 8 kriminālprocesi tika izbeigti, jo izdarītajā nodarījumā netika konstatēts noziedzīga nodarījuma sastāvs. Viens kriminālprocess tika izbeigts saskaņā Kriminālprocesa likuma 392. panta 2.daļu. </w:t>
      </w:r>
    </w:p>
    <w:p w14:paraId="14F95CEA" w14:textId="77777777" w:rsidR="001F3D2B" w:rsidRPr="00630859" w:rsidRDefault="001F3D2B" w:rsidP="001F3D2B">
      <w:pPr>
        <w:pStyle w:val="FootnoteText"/>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396"/>
    <w:multiLevelType w:val="hybridMultilevel"/>
    <w:tmpl w:val="B85652F8"/>
    <w:lvl w:ilvl="0" w:tplc="62E8EE7C">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CF5903"/>
    <w:multiLevelType w:val="hybridMultilevel"/>
    <w:tmpl w:val="7AB023B0"/>
    <w:lvl w:ilvl="0" w:tplc="2FA2D20A">
      <w:start w:val="1"/>
      <w:numFmt w:val="decimal"/>
      <w:lvlText w:val="%1."/>
      <w:lvlJc w:val="left"/>
      <w:pPr>
        <w:ind w:left="-491" w:hanging="360"/>
      </w:pPr>
      <w:rPr>
        <w:rFonts w:hint="default"/>
      </w:rPr>
    </w:lvl>
    <w:lvl w:ilvl="1" w:tplc="04260019" w:tentative="1">
      <w:start w:val="1"/>
      <w:numFmt w:val="lowerLetter"/>
      <w:lvlText w:val="%2."/>
      <w:lvlJc w:val="left"/>
      <w:pPr>
        <w:ind w:left="229" w:hanging="360"/>
      </w:pPr>
    </w:lvl>
    <w:lvl w:ilvl="2" w:tplc="0426001B" w:tentative="1">
      <w:start w:val="1"/>
      <w:numFmt w:val="lowerRoman"/>
      <w:lvlText w:val="%3."/>
      <w:lvlJc w:val="right"/>
      <w:pPr>
        <w:ind w:left="949" w:hanging="180"/>
      </w:pPr>
    </w:lvl>
    <w:lvl w:ilvl="3" w:tplc="0426000F" w:tentative="1">
      <w:start w:val="1"/>
      <w:numFmt w:val="decimal"/>
      <w:lvlText w:val="%4."/>
      <w:lvlJc w:val="left"/>
      <w:pPr>
        <w:ind w:left="1669" w:hanging="360"/>
      </w:pPr>
    </w:lvl>
    <w:lvl w:ilvl="4" w:tplc="04260019" w:tentative="1">
      <w:start w:val="1"/>
      <w:numFmt w:val="lowerLetter"/>
      <w:lvlText w:val="%5."/>
      <w:lvlJc w:val="left"/>
      <w:pPr>
        <w:ind w:left="2389" w:hanging="360"/>
      </w:pPr>
    </w:lvl>
    <w:lvl w:ilvl="5" w:tplc="0426001B" w:tentative="1">
      <w:start w:val="1"/>
      <w:numFmt w:val="lowerRoman"/>
      <w:lvlText w:val="%6."/>
      <w:lvlJc w:val="right"/>
      <w:pPr>
        <w:ind w:left="3109" w:hanging="180"/>
      </w:pPr>
    </w:lvl>
    <w:lvl w:ilvl="6" w:tplc="0426000F" w:tentative="1">
      <w:start w:val="1"/>
      <w:numFmt w:val="decimal"/>
      <w:lvlText w:val="%7."/>
      <w:lvlJc w:val="left"/>
      <w:pPr>
        <w:ind w:left="3829" w:hanging="360"/>
      </w:pPr>
    </w:lvl>
    <w:lvl w:ilvl="7" w:tplc="04260019" w:tentative="1">
      <w:start w:val="1"/>
      <w:numFmt w:val="lowerLetter"/>
      <w:lvlText w:val="%8."/>
      <w:lvlJc w:val="left"/>
      <w:pPr>
        <w:ind w:left="4549" w:hanging="360"/>
      </w:pPr>
    </w:lvl>
    <w:lvl w:ilvl="8" w:tplc="0426001B" w:tentative="1">
      <w:start w:val="1"/>
      <w:numFmt w:val="lowerRoman"/>
      <w:lvlText w:val="%9."/>
      <w:lvlJc w:val="right"/>
      <w:pPr>
        <w:ind w:left="5269" w:hanging="180"/>
      </w:pPr>
    </w:lvl>
  </w:abstractNum>
  <w:num w:numId="1" w16cid:durableId="1805078022">
    <w:abstractNumId w:val="0"/>
  </w:num>
  <w:num w:numId="2" w16cid:durableId="1718357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66F"/>
    <w:rsid w:val="0000038C"/>
    <w:rsid w:val="00000393"/>
    <w:rsid w:val="0000250D"/>
    <w:rsid w:val="00004BB5"/>
    <w:rsid w:val="00013C76"/>
    <w:rsid w:val="00020FF8"/>
    <w:rsid w:val="00024094"/>
    <w:rsid w:val="000243E7"/>
    <w:rsid w:val="00025B45"/>
    <w:rsid w:val="00026877"/>
    <w:rsid w:val="000323FC"/>
    <w:rsid w:val="00033E66"/>
    <w:rsid w:val="00034F77"/>
    <w:rsid w:val="0003514E"/>
    <w:rsid w:val="00047298"/>
    <w:rsid w:val="00047584"/>
    <w:rsid w:val="000532D4"/>
    <w:rsid w:val="000628A5"/>
    <w:rsid w:val="00066B92"/>
    <w:rsid w:val="00080741"/>
    <w:rsid w:val="00082CEC"/>
    <w:rsid w:val="00083F62"/>
    <w:rsid w:val="00085794"/>
    <w:rsid w:val="000907A0"/>
    <w:rsid w:val="00093E5B"/>
    <w:rsid w:val="000A1DC6"/>
    <w:rsid w:val="000A6DD5"/>
    <w:rsid w:val="000A74C3"/>
    <w:rsid w:val="000A75E9"/>
    <w:rsid w:val="000B2CFD"/>
    <w:rsid w:val="000B36B8"/>
    <w:rsid w:val="000B6000"/>
    <w:rsid w:val="000C0B22"/>
    <w:rsid w:val="000C3287"/>
    <w:rsid w:val="000C34D0"/>
    <w:rsid w:val="000C5B12"/>
    <w:rsid w:val="000D0DFA"/>
    <w:rsid w:val="000D1409"/>
    <w:rsid w:val="000D6F60"/>
    <w:rsid w:val="000E3D71"/>
    <w:rsid w:val="000E5FAE"/>
    <w:rsid w:val="000E7EA9"/>
    <w:rsid w:val="000F5625"/>
    <w:rsid w:val="000F597C"/>
    <w:rsid w:val="000F5A78"/>
    <w:rsid w:val="000F5EAA"/>
    <w:rsid w:val="001065C7"/>
    <w:rsid w:val="001079C6"/>
    <w:rsid w:val="0012050E"/>
    <w:rsid w:val="001258AB"/>
    <w:rsid w:val="00125F59"/>
    <w:rsid w:val="00126609"/>
    <w:rsid w:val="00126896"/>
    <w:rsid w:val="00132CF2"/>
    <w:rsid w:val="00136BD4"/>
    <w:rsid w:val="001408A7"/>
    <w:rsid w:val="001461E9"/>
    <w:rsid w:val="0014671B"/>
    <w:rsid w:val="001469B5"/>
    <w:rsid w:val="001473C3"/>
    <w:rsid w:val="00160060"/>
    <w:rsid w:val="00163909"/>
    <w:rsid w:val="00170464"/>
    <w:rsid w:val="00171540"/>
    <w:rsid w:val="0017446C"/>
    <w:rsid w:val="0017751D"/>
    <w:rsid w:val="0018044C"/>
    <w:rsid w:val="00180A7F"/>
    <w:rsid w:val="00182B51"/>
    <w:rsid w:val="00182E54"/>
    <w:rsid w:val="00193627"/>
    <w:rsid w:val="00193799"/>
    <w:rsid w:val="00196C32"/>
    <w:rsid w:val="001C0F2C"/>
    <w:rsid w:val="001C38B3"/>
    <w:rsid w:val="001C69A6"/>
    <w:rsid w:val="001C7178"/>
    <w:rsid w:val="001D2957"/>
    <w:rsid w:val="001D40B5"/>
    <w:rsid w:val="001E1226"/>
    <w:rsid w:val="001E1808"/>
    <w:rsid w:val="001E51A3"/>
    <w:rsid w:val="001F1316"/>
    <w:rsid w:val="001F223E"/>
    <w:rsid w:val="001F3571"/>
    <w:rsid w:val="001F3D2B"/>
    <w:rsid w:val="001F3FA9"/>
    <w:rsid w:val="001F75B7"/>
    <w:rsid w:val="00210CE4"/>
    <w:rsid w:val="002140D2"/>
    <w:rsid w:val="002142EC"/>
    <w:rsid w:val="002176F9"/>
    <w:rsid w:val="002200DF"/>
    <w:rsid w:val="00225680"/>
    <w:rsid w:val="002268FB"/>
    <w:rsid w:val="00234858"/>
    <w:rsid w:val="00240115"/>
    <w:rsid w:val="002448BF"/>
    <w:rsid w:val="002471B7"/>
    <w:rsid w:val="00252B23"/>
    <w:rsid w:val="0025352E"/>
    <w:rsid w:val="00260052"/>
    <w:rsid w:val="00263E60"/>
    <w:rsid w:val="00267990"/>
    <w:rsid w:val="0027688A"/>
    <w:rsid w:val="00276974"/>
    <w:rsid w:val="00280738"/>
    <w:rsid w:val="002843F3"/>
    <w:rsid w:val="00290485"/>
    <w:rsid w:val="00291712"/>
    <w:rsid w:val="00292481"/>
    <w:rsid w:val="00294C46"/>
    <w:rsid w:val="00297056"/>
    <w:rsid w:val="00297B18"/>
    <w:rsid w:val="002A4905"/>
    <w:rsid w:val="002C26ED"/>
    <w:rsid w:val="002C3A5C"/>
    <w:rsid w:val="002C5690"/>
    <w:rsid w:val="002D39F5"/>
    <w:rsid w:val="002D4210"/>
    <w:rsid w:val="002F1004"/>
    <w:rsid w:val="002F2C1E"/>
    <w:rsid w:val="002F2D30"/>
    <w:rsid w:val="00300864"/>
    <w:rsid w:val="00302882"/>
    <w:rsid w:val="0031327B"/>
    <w:rsid w:val="00316BD5"/>
    <w:rsid w:val="00333D0B"/>
    <w:rsid w:val="003419C3"/>
    <w:rsid w:val="00347256"/>
    <w:rsid w:val="003474BB"/>
    <w:rsid w:val="003507A4"/>
    <w:rsid w:val="0035542B"/>
    <w:rsid w:val="003662FA"/>
    <w:rsid w:val="00374BD1"/>
    <w:rsid w:val="00376F73"/>
    <w:rsid w:val="00387118"/>
    <w:rsid w:val="00397C2C"/>
    <w:rsid w:val="003A06B4"/>
    <w:rsid w:val="003A2F92"/>
    <w:rsid w:val="003A33AC"/>
    <w:rsid w:val="003A51C6"/>
    <w:rsid w:val="003A5DEF"/>
    <w:rsid w:val="003A61F2"/>
    <w:rsid w:val="003B383E"/>
    <w:rsid w:val="003C101D"/>
    <w:rsid w:val="003C62D4"/>
    <w:rsid w:val="003C64E2"/>
    <w:rsid w:val="003D54D0"/>
    <w:rsid w:val="003D6959"/>
    <w:rsid w:val="003E05FD"/>
    <w:rsid w:val="003E1316"/>
    <w:rsid w:val="003E71C9"/>
    <w:rsid w:val="003E757A"/>
    <w:rsid w:val="003F121D"/>
    <w:rsid w:val="003F3482"/>
    <w:rsid w:val="003F606E"/>
    <w:rsid w:val="003F67AD"/>
    <w:rsid w:val="003F6A2B"/>
    <w:rsid w:val="00401115"/>
    <w:rsid w:val="00401311"/>
    <w:rsid w:val="00404387"/>
    <w:rsid w:val="00411637"/>
    <w:rsid w:val="00412F0B"/>
    <w:rsid w:val="0041582B"/>
    <w:rsid w:val="00421A24"/>
    <w:rsid w:val="00421D5A"/>
    <w:rsid w:val="004266ED"/>
    <w:rsid w:val="00427980"/>
    <w:rsid w:val="00427E4B"/>
    <w:rsid w:val="0043000B"/>
    <w:rsid w:val="004345F3"/>
    <w:rsid w:val="00436F46"/>
    <w:rsid w:val="00445229"/>
    <w:rsid w:val="00452D86"/>
    <w:rsid w:val="00455ED4"/>
    <w:rsid w:val="00467587"/>
    <w:rsid w:val="004715FA"/>
    <w:rsid w:val="00472E27"/>
    <w:rsid w:val="00473935"/>
    <w:rsid w:val="00482C58"/>
    <w:rsid w:val="0048422B"/>
    <w:rsid w:val="00485156"/>
    <w:rsid w:val="004865AB"/>
    <w:rsid w:val="004871E6"/>
    <w:rsid w:val="00490CEB"/>
    <w:rsid w:val="00492E76"/>
    <w:rsid w:val="00497586"/>
    <w:rsid w:val="004A28C7"/>
    <w:rsid w:val="004A5BBD"/>
    <w:rsid w:val="004A5DEA"/>
    <w:rsid w:val="004A6977"/>
    <w:rsid w:val="004B0C77"/>
    <w:rsid w:val="004B55EF"/>
    <w:rsid w:val="004C2056"/>
    <w:rsid w:val="004D031C"/>
    <w:rsid w:val="004D31F0"/>
    <w:rsid w:val="004D7A29"/>
    <w:rsid w:val="004E0FCC"/>
    <w:rsid w:val="004E6FEB"/>
    <w:rsid w:val="004F3070"/>
    <w:rsid w:val="004F3BC9"/>
    <w:rsid w:val="00500FCD"/>
    <w:rsid w:val="00502CB3"/>
    <w:rsid w:val="00505929"/>
    <w:rsid w:val="00506341"/>
    <w:rsid w:val="00506BDA"/>
    <w:rsid w:val="00510E48"/>
    <w:rsid w:val="005149FD"/>
    <w:rsid w:val="005159B0"/>
    <w:rsid w:val="00515FA9"/>
    <w:rsid w:val="00521C42"/>
    <w:rsid w:val="00534D5C"/>
    <w:rsid w:val="00540190"/>
    <w:rsid w:val="00541DA4"/>
    <w:rsid w:val="00542116"/>
    <w:rsid w:val="00542A7F"/>
    <w:rsid w:val="005564B2"/>
    <w:rsid w:val="00556B0D"/>
    <w:rsid w:val="00561E27"/>
    <w:rsid w:val="00563BAC"/>
    <w:rsid w:val="00564015"/>
    <w:rsid w:val="00567EE1"/>
    <w:rsid w:val="005702D4"/>
    <w:rsid w:val="00571DFA"/>
    <w:rsid w:val="00574EBF"/>
    <w:rsid w:val="0057644C"/>
    <w:rsid w:val="0057707C"/>
    <w:rsid w:val="0058115E"/>
    <w:rsid w:val="00582FDD"/>
    <w:rsid w:val="00587EF6"/>
    <w:rsid w:val="00591F47"/>
    <w:rsid w:val="0059386D"/>
    <w:rsid w:val="005979E2"/>
    <w:rsid w:val="005A01CE"/>
    <w:rsid w:val="005A6FCB"/>
    <w:rsid w:val="005B04F0"/>
    <w:rsid w:val="005B24E4"/>
    <w:rsid w:val="005C0826"/>
    <w:rsid w:val="005C2B25"/>
    <w:rsid w:val="005D7B4E"/>
    <w:rsid w:val="005E429A"/>
    <w:rsid w:val="005E46E3"/>
    <w:rsid w:val="005E7A58"/>
    <w:rsid w:val="005F43F7"/>
    <w:rsid w:val="00606142"/>
    <w:rsid w:val="00606C9B"/>
    <w:rsid w:val="006102F2"/>
    <w:rsid w:val="0061088C"/>
    <w:rsid w:val="00612472"/>
    <w:rsid w:val="0062087F"/>
    <w:rsid w:val="00630859"/>
    <w:rsid w:val="00632B85"/>
    <w:rsid w:val="00635271"/>
    <w:rsid w:val="006354B2"/>
    <w:rsid w:val="006435C4"/>
    <w:rsid w:val="00650DFE"/>
    <w:rsid w:val="00653275"/>
    <w:rsid w:val="00653860"/>
    <w:rsid w:val="0067220C"/>
    <w:rsid w:val="00675A4A"/>
    <w:rsid w:val="00681AAB"/>
    <w:rsid w:val="00683C9C"/>
    <w:rsid w:val="006855E4"/>
    <w:rsid w:val="006A24D7"/>
    <w:rsid w:val="006A3DE6"/>
    <w:rsid w:val="006A4521"/>
    <w:rsid w:val="006C1714"/>
    <w:rsid w:val="006C2493"/>
    <w:rsid w:val="006C37B8"/>
    <w:rsid w:val="006C474C"/>
    <w:rsid w:val="006D11D6"/>
    <w:rsid w:val="006D5225"/>
    <w:rsid w:val="006D715B"/>
    <w:rsid w:val="006E2F3E"/>
    <w:rsid w:val="006E50F6"/>
    <w:rsid w:val="00701097"/>
    <w:rsid w:val="00703A2C"/>
    <w:rsid w:val="00710119"/>
    <w:rsid w:val="00715D8D"/>
    <w:rsid w:val="00720988"/>
    <w:rsid w:val="007262C2"/>
    <w:rsid w:val="007369D7"/>
    <w:rsid w:val="007372A3"/>
    <w:rsid w:val="00742712"/>
    <w:rsid w:val="00746ACA"/>
    <w:rsid w:val="007511CD"/>
    <w:rsid w:val="00753C7F"/>
    <w:rsid w:val="00753CF5"/>
    <w:rsid w:val="00756535"/>
    <w:rsid w:val="00763332"/>
    <w:rsid w:val="00773E85"/>
    <w:rsid w:val="00774E6C"/>
    <w:rsid w:val="0077701B"/>
    <w:rsid w:val="007802C1"/>
    <w:rsid w:val="00783860"/>
    <w:rsid w:val="00785856"/>
    <w:rsid w:val="007867CD"/>
    <w:rsid w:val="007878F7"/>
    <w:rsid w:val="0079362F"/>
    <w:rsid w:val="00795488"/>
    <w:rsid w:val="007A1ADB"/>
    <w:rsid w:val="007A1C34"/>
    <w:rsid w:val="007A50F2"/>
    <w:rsid w:val="007A5DFA"/>
    <w:rsid w:val="007A73A0"/>
    <w:rsid w:val="007A7499"/>
    <w:rsid w:val="007B402C"/>
    <w:rsid w:val="007B7366"/>
    <w:rsid w:val="007C408A"/>
    <w:rsid w:val="007C4847"/>
    <w:rsid w:val="007C4D8A"/>
    <w:rsid w:val="007D3FDD"/>
    <w:rsid w:val="007D53F3"/>
    <w:rsid w:val="007E1D72"/>
    <w:rsid w:val="007E30DB"/>
    <w:rsid w:val="007E3F69"/>
    <w:rsid w:val="007E4096"/>
    <w:rsid w:val="007F136D"/>
    <w:rsid w:val="007F6618"/>
    <w:rsid w:val="00800AD4"/>
    <w:rsid w:val="00801F58"/>
    <w:rsid w:val="00804F58"/>
    <w:rsid w:val="00806F79"/>
    <w:rsid w:val="00814247"/>
    <w:rsid w:val="008170B9"/>
    <w:rsid w:val="00820D52"/>
    <w:rsid w:val="008234C8"/>
    <w:rsid w:val="008236D2"/>
    <w:rsid w:val="00825FB0"/>
    <w:rsid w:val="008402F0"/>
    <w:rsid w:val="00844C51"/>
    <w:rsid w:val="008504B3"/>
    <w:rsid w:val="00861882"/>
    <w:rsid w:val="00861C8C"/>
    <w:rsid w:val="008620ED"/>
    <w:rsid w:val="00863FCE"/>
    <w:rsid w:val="0086477F"/>
    <w:rsid w:val="0086609D"/>
    <w:rsid w:val="0087277B"/>
    <w:rsid w:val="0087504C"/>
    <w:rsid w:val="0088318D"/>
    <w:rsid w:val="00885640"/>
    <w:rsid w:val="00885D5C"/>
    <w:rsid w:val="008904E1"/>
    <w:rsid w:val="008926F7"/>
    <w:rsid w:val="008A095E"/>
    <w:rsid w:val="008B22BF"/>
    <w:rsid w:val="008B59CA"/>
    <w:rsid w:val="008C0EA6"/>
    <w:rsid w:val="008C443E"/>
    <w:rsid w:val="008C49C1"/>
    <w:rsid w:val="008D3829"/>
    <w:rsid w:val="008E00BC"/>
    <w:rsid w:val="008E3634"/>
    <w:rsid w:val="008E41BB"/>
    <w:rsid w:val="008E514E"/>
    <w:rsid w:val="008E53A1"/>
    <w:rsid w:val="008E7EDD"/>
    <w:rsid w:val="008F277A"/>
    <w:rsid w:val="008F342F"/>
    <w:rsid w:val="008F70D4"/>
    <w:rsid w:val="0090746C"/>
    <w:rsid w:val="0091544D"/>
    <w:rsid w:val="00916543"/>
    <w:rsid w:val="00916991"/>
    <w:rsid w:val="0091717F"/>
    <w:rsid w:val="009253E0"/>
    <w:rsid w:val="00925C6F"/>
    <w:rsid w:val="009277F9"/>
    <w:rsid w:val="00936AFE"/>
    <w:rsid w:val="00937C6A"/>
    <w:rsid w:val="0094274F"/>
    <w:rsid w:val="00942F80"/>
    <w:rsid w:val="00946D79"/>
    <w:rsid w:val="009473DC"/>
    <w:rsid w:val="00950C56"/>
    <w:rsid w:val="0096791C"/>
    <w:rsid w:val="0097247E"/>
    <w:rsid w:val="009851A6"/>
    <w:rsid w:val="00990A2C"/>
    <w:rsid w:val="00992670"/>
    <w:rsid w:val="00995599"/>
    <w:rsid w:val="0099625B"/>
    <w:rsid w:val="009A1996"/>
    <w:rsid w:val="009B2765"/>
    <w:rsid w:val="009B4E62"/>
    <w:rsid w:val="009C0221"/>
    <w:rsid w:val="009C2360"/>
    <w:rsid w:val="009C248D"/>
    <w:rsid w:val="009C5DA7"/>
    <w:rsid w:val="009D05E9"/>
    <w:rsid w:val="009D09D7"/>
    <w:rsid w:val="009D309D"/>
    <w:rsid w:val="009D7380"/>
    <w:rsid w:val="009D7FDF"/>
    <w:rsid w:val="009E04FC"/>
    <w:rsid w:val="009E1935"/>
    <w:rsid w:val="009F2B3F"/>
    <w:rsid w:val="009F3E79"/>
    <w:rsid w:val="009F74ED"/>
    <w:rsid w:val="00A04D71"/>
    <w:rsid w:val="00A13821"/>
    <w:rsid w:val="00A17AB4"/>
    <w:rsid w:val="00A229DB"/>
    <w:rsid w:val="00A23878"/>
    <w:rsid w:val="00A30BA3"/>
    <w:rsid w:val="00A34234"/>
    <w:rsid w:val="00A36328"/>
    <w:rsid w:val="00A369B3"/>
    <w:rsid w:val="00A43D8B"/>
    <w:rsid w:val="00A45002"/>
    <w:rsid w:val="00A4786A"/>
    <w:rsid w:val="00A6166F"/>
    <w:rsid w:val="00A65973"/>
    <w:rsid w:val="00A73128"/>
    <w:rsid w:val="00A8083C"/>
    <w:rsid w:val="00A84379"/>
    <w:rsid w:val="00A93FBE"/>
    <w:rsid w:val="00AA59C2"/>
    <w:rsid w:val="00AB0216"/>
    <w:rsid w:val="00AB6933"/>
    <w:rsid w:val="00AB7934"/>
    <w:rsid w:val="00AD3D08"/>
    <w:rsid w:val="00AE0B38"/>
    <w:rsid w:val="00AE4AF6"/>
    <w:rsid w:val="00AE56A4"/>
    <w:rsid w:val="00AF3F8F"/>
    <w:rsid w:val="00AF4343"/>
    <w:rsid w:val="00AF7044"/>
    <w:rsid w:val="00AF70AC"/>
    <w:rsid w:val="00B03E26"/>
    <w:rsid w:val="00B17A64"/>
    <w:rsid w:val="00B20D83"/>
    <w:rsid w:val="00B25229"/>
    <w:rsid w:val="00B32B3F"/>
    <w:rsid w:val="00B46B80"/>
    <w:rsid w:val="00B52891"/>
    <w:rsid w:val="00B53F9E"/>
    <w:rsid w:val="00B54BD0"/>
    <w:rsid w:val="00B55642"/>
    <w:rsid w:val="00B63644"/>
    <w:rsid w:val="00B638EE"/>
    <w:rsid w:val="00B73D9D"/>
    <w:rsid w:val="00B777ED"/>
    <w:rsid w:val="00B8281E"/>
    <w:rsid w:val="00B866D6"/>
    <w:rsid w:val="00B96C6A"/>
    <w:rsid w:val="00BA6921"/>
    <w:rsid w:val="00BB0698"/>
    <w:rsid w:val="00BC2ED6"/>
    <w:rsid w:val="00BC3B04"/>
    <w:rsid w:val="00BC4056"/>
    <w:rsid w:val="00BD4684"/>
    <w:rsid w:val="00BE2127"/>
    <w:rsid w:val="00BE3C6E"/>
    <w:rsid w:val="00BF186C"/>
    <w:rsid w:val="00BF47BE"/>
    <w:rsid w:val="00BF506A"/>
    <w:rsid w:val="00C059C6"/>
    <w:rsid w:val="00C0620B"/>
    <w:rsid w:val="00C125F6"/>
    <w:rsid w:val="00C14671"/>
    <w:rsid w:val="00C152A2"/>
    <w:rsid w:val="00C15458"/>
    <w:rsid w:val="00C2053F"/>
    <w:rsid w:val="00C20C6D"/>
    <w:rsid w:val="00C3004F"/>
    <w:rsid w:val="00C34A73"/>
    <w:rsid w:val="00C35E74"/>
    <w:rsid w:val="00C411F7"/>
    <w:rsid w:val="00C4749C"/>
    <w:rsid w:val="00C50673"/>
    <w:rsid w:val="00C5272E"/>
    <w:rsid w:val="00C52C39"/>
    <w:rsid w:val="00C53331"/>
    <w:rsid w:val="00C54C34"/>
    <w:rsid w:val="00C556D7"/>
    <w:rsid w:val="00C73C62"/>
    <w:rsid w:val="00C73EE8"/>
    <w:rsid w:val="00C73FFC"/>
    <w:rsid w:val="00C83C0C"/>
    <w:rsid w:val="00C87E10"/>
    <w:rsid w:val="00C90259"/>
    <w:rsid w:val="00C97129"/>
    <w:rsid w:val="00CB489D"/>
    <w:rsid w:val="00CD3FDA"/>
    <w:rsid w:val="00CD6ED7"/>
    <w:rsid w:val="00CE70F5"/>
    <w:rsid w:val="00CF016C"/>
    <w:rsid w:val="00CF093D"/>
    <w:rsid w:val="00CF1D72"/>
    <w:rsid w:val="00CF367D"/>
    <w:rsid w:val="00CF5045"/>
    <w:rsid w:val="00CF7279"/>
    <w:rsid w:val="00D07D1F"/>
    <w:rsid w:val="00D11B6D"/>
    <w:rsid w:val="00D15A5C"/>
    <w:rsid w:val="00D208F4"/>
    <w:rsid w:val="00D20AC6"/>
    <w:rsid w:val="00D2581F"/>
    <w:rsid w:val="00D26B16"/>
    <w:rsid w:val="00D31DDE"/>
    <w:rsid w:val="00D3224D"/>
    <w:rsid w:val="00D32406"/>
    <w:rsid w:val="00D329C9"/>
    <w:rsid w:val="00D33E8A"/>
    <w:rsid w:val="00D34138"/>
    <w:rsid w:val="00D47174"/>
    <w:rsid w:val="00D576AF"/>
    <w:rsid w:val="00D57FDE"/>
    <w:rsid w:val="00D60431"/>
    <w:rsid w:val="00D712CB"/>
    <w:rsid w:val="00D71374"/>
    <w:rsid w:val="00D7415D"/>
    <w:rsid w:val="00D746FC"/>
    <w:rsid w:val="00D75FAA"/>
    <w:rsid w:val="00D920F7"/>
    <w:rsid w:val="00DB0F86"/>
    <w:rsid w:val="00DB0FB9"/>
    <w:rsid w:val="00DB1B39"/>
    <w:rsid w:val="00DB2AA8"/>
    <w:rsid w:val="00DB78F2"/>
    <w:rsid w:val="00DC3D9C"/>
    <w:rsid w:val="00DC4CDD"/>
    <w:rsid w:val="00DC78D6"/>
    <w:rsid w:val="00DD3F87"/>
    <w:rsid w:val="00DD5619"/>
    <w:rsid w:val="00DD677D"/>
    <w:rsid w:val="00DD6D0A"/>
    <w:rsid w:val="00DD7CC9"/>
    <w:rsid w:val="00DE1A5C"/>
    <w:rsid w:val="00DE630F"/>
    <w:rsid w:val="00DE65B5"/>
    <w:rsid w:val="00DF2394"/>
    <w:rsid w:val="00DF6955"/>
    <w:rsid w:val="00DF6BB2"/>
    <w:rsid w:val="00E22619"/>
    <w:rsid w:val="00E23920"/>
    <w:rsid w:val="00E33353"/>
    <w:rsid w:val="00E354E3"/>
    <w:rsid w:val="00E3584F"/>
    <w:rsid w:val="00E37520"/>
    <w:rsid w:val="00E50376"/>
    <w:rsid w:val="00E537E5"/>
    <w:rsid w:val="00E54B0C"/>
    <w:rsid w:val="00E64EEE"/>
    <w:rsid w:val="00E666F4"/>
    <w:rsid w:val="00E72830"/>
    <w:rsid w:val="00E7428A"/>
    <w:rsid w:val="00E808B6"/>
    <w:rsid w:val="00E85524"/>
    <w:rsid w:val="00E85AEE"/>
    <w:rsid w:val="00E87FE6"/>
    <w:rsid w:val="00E91CAA"/>
    <w:rsid w:val="00E94F97"/>
    <w:rsid w:val="00EA3B1B"/>
    <w:rsid w:val="00EA6D98"/>
    <w:rsid w:val="00EB2A96"/>
    <w:rsid w:val="00EB3DE4"/>
    <w:rsid w:val="00EC6066"/>
    <w:rsid w:val="00EC641A"/>
    <w:rsid w:val="00EC6EEA"/>
    <w:rsid w:val="00ED3493"/>
    <w:rsid w:val="00ED3604"/>
    <w:rsid w:val="00ED51CF"/>
    <w:rsid w:val="00EE0CE7"/>
    <w:rsid w:val="00EE150D"/>
    <w:rsid w:val="00EE1BC7"/>
    <w:rsid w:val="00EF13AF"/>
    <w:rsid w:val="00EF42DF"/>
    <w:rsid w:val="00F03421"/>
    <w:rsid w:val="00F07DA5"/>
    <w:rsid w:val="00F117B0"/>
    <w:rsid w:val="00F1219B"/>
    <w:rsid w:val="00F15F19"/>
    <w:rsid w:val="00F1658E"/>
    <w:rsid w:val="00F16A76"/>
    <w:rsid w:val="00F3051E"/>
    <w:rsid w:val="00F31376"/>
    <w:rsid w:val="00F32C4C"/>
    <w:rsid w:val="00F33F31"/>
    <w:rsid w:val="00F37457"/>
    <w:rsid w:val="00F4287C"/>
    <w:rsid w:val="00F44275"/>
    <w:rsid w:val="00F47A20"/>
    <w:rsid w:val="00F53798"/>
    <w:rsid w:val="00F54C3C"/>
    <w:rsid w:val="00F6364B"/>
    <w:rsid w:val="00F647DC"/>
    <w:rsid w:val="00F66FDD"/>
    <w:rsid w:val="00F67733"/>
    <w:rsid w:val="00F7224C"/>
    <w:rsid w:val="00F726A2"/>
    <w:rsid w:val="00F73943"/>
    <w:rsid w:val="00F74608"/>
    <w:rsid w:val="00F75E9D"/>
    <w:rsid w:val="00F80ACA"/>
    <w:rsid w:val="00F812DD"/>
    <w:rsid w:val="00F869E5"/>
    <w:rsid w:val="00F92AEB"/>
    <w:rsid w:val="00FB54DE"/>
    <w:rsid w:val="00FB7E30"/>
    <w:rsid w:val="00FD0D0B"/>
    <w:rsid w:val="00FD38F5"/>
    <w:rsid w:val="00FD5E01"/>
    <w:rsid w:val="00FD7250"/>
    <w:rsid w:val="00FE7C4C"/>
    <w:rsid w:val="00FF343E"/>
    <w:rsid w:val="16CD5074"/>
    <w:rsid w:val="2C6812B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C04EF"/>
  <w15:chartTrackingRefBased/>
  <w15:docId w15:val="{A6F3435C-480A-4B1F-94F0-C2C04345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6"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ED3604"/>
    <w:pPr>
      <w:ind w:firstLine="720"/>
      <w:jc w:val="both"/>
    </w:pPr>
    <w:rPr>
      <w:kern w:val="0"/>
      <w:lang w:val="en-US"/>
      <w14:ligatures w14:val="none"/>
    </w:rPr>
  </w:style>
  <w:style w:type="paragraph" w:styleId="Heading1">
    <w:name w:val="heading 1"/>
    <w:basedOn w:val="Normal"/>
    <w:next w:val="Normal"/>
    <w:link w:val="Heading1Char"/>
    <w:uiPriority w:val="9"/>
    <w:qFormat/>
    <w:rsid w:val="00A6166F"/>
    <w:pPr>
      <w:keepNext/>
      <w:keepLines/>
      <w:spacing w:before="360" w:line="278" w:lineRule="auto"/>
      <w:ind w:firstLine="0"/>
      <w:jc w:val="left"/>
      <w:outlineLvl w:val="0"/>
    </w:pPr>
    <w:rPr>
      <w:rFonts w:asciiTheme="majorHAnsi" w:eastAsiaTheme="majorEastAsia" w:hAnsiTheme="majorHAnsi" w:cstheme="majorBidi"/>
      <w:color w:val="0F4761" w:themeColor="accent1" w:themeShade="BF"/>
      <w:kern w:val="2"/>
      <w:sz w:val="40"/>
      <w:szCs w:val="40"/>
      <w:lang w:val="lv-LV"/>
      <w14:ligatures w14:val="standardContextual"/>
    </w:rPr>
  </w:style>
  <w:style w:type="paragraph" w:styleId="Heading2">
    <w:name w:val="heading 2"/>
    <w:basedOn w:val="Normal"/>
    <w:next w:val="Normal"/>
    <w:link w:val="Heading2Char"/>
    <w:uiPriority w:val="1"/>
    <w:unhideWhenUsed/>
    <w:qFormat/>
    <w:rsid w:val="00A6166F"/>
    <w:pPr>
      <w:keepNext/>
      <w:keepLines/>
      <w:spacing w:before="160" w:line="278" w:lineRule="auto"/>
      <w:ind w:firstLine="0"/>
      <w:jc w:val="left"/>
      <w:outlineLvl w:val="1"/>
    </w:pPr>
    <w:rPr>
      <w:rFonts w:asciiTheme="majorHAnsi" w:eastAsiaTheme="majorEastAsia" w:hAnsiTheme="majorHAnsi" w:cstheme="majorBidi"/>
      <w:color w:val="0F4761" w:themeColor="accent1" w:themeShade="BF"/>
      <w:kern w:val="2"/>
      <w:sz w:val="32"/>
      <w:szCs w:val="32"/>
      <w:lang w:val="lv-LV"/>
      <w14:ligatures w14:val="standardContextual"/>
    </w:rPr>
  </w:style>
  <w:style w:type="paragraph" w:styleId="Heading3">
    <w:name w:val="heading 3"/>
    <w:basedOn w:val="Normal"/>
    <w:next w:val="Normal"/>
    <w:link w:val="Heading3Char"/>
    <w:uiPriority w:val="9"/>
    <w:semiHidden/>
    <w:unhideWhenUsed/>
    <w:qFormat/>
    <w:rsid w:val="00A6166F"/>
    <w:pPr>
      <w:keepNext/>
      <w:keepLines/>
      <w:spacing w:before="160" w:line="278" w:lineRule="auto"/>
      <w:ind w:firstLine="0"/>
      <w:jc w:val="left"/>
      <w:outlineLvl w:val="2"/>
    </w:pPr>
    <w:rPr>
      <w:rFonts w:eastAsiaTheme="majorEastAsia" w:cstheme="majorBidi"/>
      <w:color w:val="0F4761" w:themeColor="accent1" w:themeShade="BF"/>
      <w:kern w:val="2"/>
      <w:sz w:val="28"/>
      <w:szCs w:val="28"/>
      <w:lang w:val="lv-LV"/>
      <w14:ligatures w14:val="standardContextual"/>
    </w:rPr>
  </w:style>
  <w:style w:type="paragraph" w:styleId="Heading4">
    <w:name w:val="heading 4"/>
    <w:basedOn w:val="Normal"/>
    <w:next w:val="Normal"/>
    <w:link w:val="Heading4Char"/>
    <w:uiPriority w:val="9"/>
    <w:semiHidden/>
    <w:unhideWhenUsed/>
    <w:qFormat/>
    <w:rsid w:val="00A6166F"/>
    <w:pPr>
      <w:keepNext/>
      <w:keepLines/>
      <w:spacing w:before="80" w:after="40" w:line="278" w:lineRule="auto"/>
      <w:ind w:firstLine="0"/>
      <w:jc w:val="left"/>
      <w:outlineLvl w:val="3"/>
    </w:pPr>
    <w:rPr>
      <w:rFonts w:eastAsiaTheme="majorEastAsia" w:cstheme="majorBidi"/>
      <w:i/>
      <w:iCs/>
      <w:color w:val="0F4761" w:themeColor="accent1" w:themeShade="BF"/>
      <w:kern w:val="2"/>
      <w:lang w:val="lv-LV"/>
      <w14:ligatures w14:val="standardContextual"/>
    </w:rPr>
  </w:style>
  <w:style w:type="paragraph" w:styleId="Heading5">
    <w:name w:val="heading 5"/>
    <w:basedOn w:val="Normal"/>
    <w:next w:val="Normal"/>
    <w:link w:val="Heading5Char"/>
    <w:uiPriority w:val="9"/>
    <w:semiHidden/>
    <w:unhideWhenUsed/>
    <w:qFormat/>
    <w:rsid w:val="00A6166F"/>
    <w:pPr>
      <w:keepNext/>
      <w:keepLines/>
      <w:spacing w:before="80" w:after="40" w:line="278" w:lineRule="auto"/>
      <w:ind w:firstLine="0"/>
      <w:jc w:val="left"/>
      <w:outlineLvl w:val="4"/>
    </w:pPr>
    <w:rPr>
      <w:rFonts w:eastAsiaTheme="majorEastAsia" w:cstheme="majorBidi"/>
      <w:color w:val="0F4761" w:themeColor="accent1" w:themeShade="BF"/>
      <w:kern w:val="2"/>
      <w:lang w:val="lv-LV"/>
      <w14:ligatures w14:val="standardContextual"/>
    </w:rPr>
  </w:style>
  <w:style w:type="paragraph" w:styleId="Heading6">
    <w:name w:val="heading 6"/>
    <w:basedOn w:val="Normal"/>
    <w:next w:val="Normal"/>
    <w:link w:val="Heading6Char"/>
    <w:uiPriority w:val="9"/>
    <w:semiHidden/>
    <w:unhideWhenUsed/>
    <w:qFormat/>
    <w:rsid w:val="00A6166F"/>
    <w:pPr>
      <w:keepNext/>
      <w:keepLines/>
      <w:spacing w:before="40" w:after="0" w:line="278" w:lineRule="auto"/>
      <w:ind w:firstLine="0"/>
      <w:jc w:val="left"/>
      <w:outlineLvl w:val="5"/>
    </w:pPr>
    <w:rPr>
      <w:rFonts w:eastAsiaTheme="majorEastAsia" w:cstheme="majorBidi"/>
      <w:i/>
      <w:iCs/>
      <w:color w:val="595959" w:themeColor="text1" w:themeTint="A6"/>
      <w:kern w:val="2"/>
      <w:lang w:val="lv-LV"/>
      <w14:ligatures w14:val="standardContextual"/>
    </w:rPr>
  </w:style>
  <w:style w:type="paragraph" w:styleId="Heading7">
    <w:name w:val="heading 7"/>
    <w:basedOn w:val="Normal"/>
    <w:next w:val="Normal"/>
    <w:link w:val="Heading7Char"/>
    <w:uiPriority w:val="9"/>
    <w:semiHidden/>
    <w:unhideWhenUsed/>
    <w:qFormat/>
    <w:rsid w:val="00A6166F"/>
    <w:pPr>
      <w:keepNext/>
      <w:keepLines/>
      <w:spacing w:before="40" w:after="0" w:line="278" w:lineRule="auto"/>
      <w:ind w:firstLine="0"/>
      <w:jc w:val="left"/>
      <w:outlineLvl w:val="6"/>
    </w:pPr>
    <w:rPr>
      <w:rFonts w:eastAsiaTheme="majorEastAsia" w:cstheme="majorBidi"/>
      <w:color w:val="595959" w:themeColor="text1" w:themeTint="A6"/>
      <w:kern w:val="2"/>
      <w:lang w:val="lv-LV"/>
      <w14:ligatures w14:val="standardContextual"/>
    </w:rPr>
  </w:style>
  <w:style w:type="paragraph" w:styleId="Heading8">
    <w:name w:val="heading 8"/>
    <w:basedOn w:val="Normal"/>
    <w:next w:val="Normal"/>
    <w:link w:val="Heading8Char"/>
    <w:uiPriority w:val="9"/>
    <w:semiHidden/>
    <w:unhideWhenUsed/>
    <w:qFormat/>
    <w:rsid w:val="00A6166F"/>
    <w:pPr>
      <w:keepNext/>
      <w:keepLines/>
      <w:spacing w:after="0" w:line="278" w:lineRule="auto"/>
      <w:ind w:firstLine="0"/>
      <w:jc w:val="left"/>
      <w:outlineLvl w:val="7"/>
    </w:pPr>
    <w:rPr>
      <w:rFonts w:eastAsiaTheme="majorEastAsia" w:cstheme="majorBidi"/>
      <w:i/>
      <w:iCs/>
      <w:color w:val="272727" w:themeColor="text1" w:themeTint="D8"/>
      <w:kern w:val="2"/>
      <w:lang w:val="lv-LV"/>
      <w14:ligatures w14:val="standardContextual"/>
    </w:rPr>
  </w:style>
  <w:style w:type="paragraph" w:styleId="Heading9">
    <w:name w:val="heading 9"/>
    <w:basedOn w:val="Normal"/>
    <w:next w:val="Normal"/>
    <w:link w:val="Heading9Char"/>
    <w:uiPriority w:val="9"/>
    <w:semiHidden/>
    <w:unhideWhenUsed/>
    <w:qFormat/>
    <w:rsid w:val="00A6166F"/>
    <w:pPr>
      <w:keepNext/>
      <w:keepLines/>
      <w:spacing w:after="0" w:line="278" w:lineRule="auto"/>
      <w:ind w:firstLine="0"/>
      <w:jc w:val="left"/>
      <w:outlineLvl w:val="8"/>
    </w:pPr>
    <w:rPr>
      <w:rFonts w:eastAsiaTheme="majorEastAsia" w:cstheme="majorBidi"/>
      <w:color w:val="272727" w:themeColor="text1" w:themeTint="D8"/>
      <w:kern w:val="2"/>
      <w:lang w:val="lv-LV"/>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6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A616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6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6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6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66F"/>
    <w:rPr>
      <w:rFonts w:eastAsiaTheme="majorEastAsia" w:cstheme="majorBidi"/>
      <w:color w:val="272727" w:themeColor="text1" w:themeTint="D8"/>
    </w:rPr>
  </w:style>
  <w:style w:type="paragraph" w:styleId="Title">
    <w:name w:val="Title"/>
    <w:basedOn w:val="Normal"/>
    <w:next w:val="Normal"/>
    <w:link w:val="TitleChar"/>
    <w:uiPriority w:val="10"/>
    <w:qFormat/>
    <w:rsid w:val="00A6166F"/>
    <w:pPr>
      <w:ind w:firstLine="0"/>
      <w:contextualSpacing/>
      <w:jc w:val="left"/>
    </w:pPr>
    <w:rPr>
      <w:rFonts w:asciiTheme="majorHAnsi" w:eastAsiaTheme="majorEastAsia" w:hAnsiTheme="majorHAnsi" w:cstheme="majorBidi"/>
      <w:spacing w:val="-10"/>
      <w:kern w:val="28"/>
      <w:sz w:val="56"/>
      <w:szCs w:val="56"/>
      <w:lang w:val="lv-LV"/>
      <w14:ligatures w14:val="standardContextual"/>
    </w:rPr>
  </w:style>
  <w:style w:type="character" w:customStyle="1" w:styleId="TitleChar">
    <w:name w:val="Title Char"/>
    <w:basedOn w:val="DefaultParagraphFont"/>
    <w:link w:val="Title"/>
    <w:uiPriority w:val="10"/>
    <w:rsid w:val="00A61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66F"/>
    <w:pPr>
      <w:numPr>
        <w:ilvl w:val="1"/>
      </w:numPr>
      <w:spacing w:after="160" w:line="278" w:lineRule="auto"/>
      <w:ind w:firstLine="720"/>
      <w:jc w:val="left"/>
    </w:pPr>
    <w:rPr>
      <w:rFonts w:eastAsiaTheme="majorEastAsia" w:cstheme="majorBidi"/>
      <w:color w:val="595959" w:themeColor="text1" w:themeTint="A6"/>
      <w:spacing w:val="15"/>
      <w:kern w:val="2"/>
      <w:sz w:val="28"/>
      <w:szCs w:val="28"/>
      <w:lang w:val="lv-LV"/>
      <w14:ligatures w14:val="standardContextual"/>
    </w:rPr>
  </w:style>
  <w:style w:type="character" w:customStyle="1" w:styleId="SubtitleChar">
    <w:name w:val="Subtitle Char"/>
    <w:basedOn w:val="DefaultParagraphFont"/>
    <w:link w:val="Subtitle"/>
    <w:uiPriority w:val="11"/>
    <w:rsid w:val="00A61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66F"/>
    <w:pPr>
      <w:spacing w:before="160" w:after="160" w:line="278" w:lineRule="auto"/>
      <w:ind w:firstLine="0"/>
      <w:jc w:val="center"/>
    </w:pPr>
    <w:rPr>
      <w:i/>
      <w:iCs/>
      <w:color w:val="404040" w:themeColor="text1" w:themeTint="BF"/>
      <w:kern w:val="2"/>
      <w:lang w:val="lv-LV"/>
      <w14:ligatures w14:val="standardContextual"/>
    </w:rPr>
  </w:style>
  <w:style w:type="character" w:customStyle="1" w:styleId="QuoteChar">
    <w:name w:val="Quote Char"/>
    <w:basedOn w:val="DefaultParagraphFont"/>
    <w:link w:val="Quote"/>
    <w:uiPriority w:val="29"/>
    <w:rsid w:val="00A6166F"/>
    <w:rPr>
      <w:i/>
      <w:iCs/>
      <w:color w:val="404040" w:themeColor="text1" w:themeTint="BF"/>
    </w:rPr>
  </w:style>
  <w:style w:type="paragraph" w:styleId="ListParagraph">
    <w:name w:val="List Paragraph"/>
    <w:basedOn w:val="Normal"/>
    <w:uiPriority w:val="34"/>
    <w:qFormat/>
    <w:rsid w:val="00A6166F"/>
    <w:pPr>
      <w:spacing w:after="160" w:line="278" w:lineRule="auto"/>
      <w:ind w:left="720" w:firstLine="0"/>
      <w:contextualSpacing/>
      <w:jc w:val="left"/>
    </w:pPr>
    <w:rPr>
      <w:kern w:val="2"/>
      <w:lang w:val="lv-LV"/>
      <w14:ligatures w14:val="standardContextual"/>
    </w:rPr>
  </w:style>
  <w:style w:type="character" w:styleId="IntenseEmphasis">
    <w:name w:val="Intense Emphasis"/>
    <w:basedOn w:val="DefaultParagraphFont"/>
    <w:uiPriority w:val="21"/>
    <w:qFormat/>
    <w:rsid w:val="00A6166F"/>
    <w:rPr>
      <w:i/>
      <w:iCs/>
      <w:color w:val="0F4761" w:themeColor="accent1" w:themeShade="BF"/>
    </w:rPr>
  </w:style>
  <w:style w:type="paragraph" w:styleId="IntenseQuote">
    <w:name w:val="Intense Quote"/>
    <w:basedOn w:val="Normal"/>
    <w:next w:val="Normal"/>
    <w:link w:val="IntenseQuoteChar"/>
    <w:uiPriority w:val="30"/>
    <w:qFormat/>
    <w:rsid w:val="00A6166F"/>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i/>
      <w:iCs/>
      <w:color w:val="0F4761" w:themeColor="accent1" w:themeShade="BF"/>
      <w:kern w:val="2"/>
      <w:lang w:val="lv-LV"/>
      <w14:ligatures w14:val="standardContextual"/>
    </w:rPr>
  </w:style>
  <w:style w:type="character" w:customStyle="1" w:styleId="IntenseQuoteChar">
    <w:name w:val="Intense Quote Char"/>
    <w:basedOn w:val="DefaultParagraphFont"/>
    <w:link w:val="IntenseQuote"/>
    <w:uiPriority w:val="30"/>
    <w:rsid w:val="00A6166F"/>
    <w:rPr>
      <w:i/>
      <w:iCs/>
      <w:color w:val="0F4761" w:themeColor="accent1" w:themeShade="BF"/>
    </w:rPr>
  </w:style>
  <w:style w:type="character" w:styleId="IntenseReference">
    <w:name w:val="Intense Reference"/>
    <w:basedOn w:val="DefaultParagraphFont"/>
    <w:uiPriority w:val="32"/>
    <w:qFormat/>
    <w:rsid w:val="00A6166F"/>
    <w:rPr>
      <w:b/>
      <w:bCs/>
      <w:smallCaps/>
      <w:color w:val="0F4761" w:themeColor="accent1" w:themeShade="BF"/>
      <w:spacing w:val="5"/>
    </w:rPr>
  </w:style>
  <w:style w:type="character" w:styleId="Hyperlink">
    <w:name w:val="Hyperlink"/>
    <w:basedOn w:val="DefaultParagraphFont"/>
    <w:uiPriority w:val="99"/>
    <w:unhideWhenUsed/>
    <w:rsid w:val="00263E60"/>
    <w:rPr>
      <w:color w:val="467886" w:themeColor="hyperlink"/>
      <w:u w:val="single"/>
    </w:rPr>
  </w:style>
  <w:style w:type="character" w:styleId="UnresolvedMention">
    <w:name w:val="Unresolved Mention"/>
    <w:basedOn w:val="DefaultParagraphFont"/>
    <w:uiPriority w:val="99"/>
    <w:semiHidden/>
    <w:unhideWhenUsed/>
    <w:rsid w:val="00263E60"/>
    <w:rPr>
      <w:color w:val="605E5C"/>
      <w:shd w:val="clear" w:color="auto" w:fill="E1DFDD"/>
    </w:rPr>
  </w:style>
  <w:style w:type="paragraph" w:styleId="FootnoteText">
    <w:name w:val="footnote text"/>
    <w:aliases w:val="Char,Footnote,Fußnote,Vēres teksts Char Char Char Char Char Char Char Char Char Char Char Char1,Char Char Char Char Char Char Char Char Char Char Char Char Char Char Char Char Char Char Char1,-E Fußnotentext,fn,f"/>
    <w:basedOn w:val="Normal"/>
    <w:link w:val="FootnoteTextChar"/>
    <w:uiPriority w:val="99"/>
    <w:unhideWhenUsed/>
    <w:rsid w:val="004E0FCC"/>
    <w:pPr>
      <w:spacing w:after="160" w:line="276" w:lineRule="auto"/>
      <w:ind w:firstLine="0"/>
      <w:jc w:val="left"/>
    </w:pPr>
    <w:rPr>
      <w:rFonts w:eastAsiaTheme="minorEastAsia"/>
      <w:sz w:val="20"/>
      <w:szCs w:val="20"/>
    </w:rPr>
  </w:style>
  <w:style w:type="character" w:customStyle="1" w:styleId="FootnoteTextChar">
    <w:name w:val="Footnote Text Char"/>
    <w:aliases w:val="Char Char,Footnote Char,Fußnote Char,Vēres teksts Char Char Char Char Char Char Char Char Char Char Char Char1 Char,Char Char Char Char Char Char Char Char Char Char Char Char Char Char Char Char Char Char Char1 Char,fn Char,f Char"/>
    <w:basedOn w:val="DefaultParagraphFont"/>
    <w:link w:val="FootnoteText"/>
    <w:uiPriority w:val="99"/>
    <w:rsid w:val="004E0FCC"/>
    <w:rPr>
      <w:rFonts w:eastAsiaTheme="minorEastAsia"/>
      <w:kern w:val="0"/>
      <w:sz w:val="20"/>
      <w:szCs w:val="20"/>
      <w:lang w:val="en-US"/>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4E0FCC"/>
    <w:rPr>
      <w:vertAlign w:val="superscript"/>
    </w:rPr>
  </w:style>
  <w:style w:type="paragraph" w:customStyle="1" w:styleId="CharCharCharChar">
    <w:name w:val="Char Char Char Char"/>
    <w:aliases w:val="Char2"/>
    <w:basedOn w:val="Normal"/>
    <w:next w:val="Normal"/>
    <w:link w:val="FootnoteReference"/>
    <w:uiPriority w:val="99"/>
    <w:rsid w:val="004E0FCC"/>
    <w:pPr>
      <w:spacing w:after="160" w:line="240" w:lineRule="exact"/>
      <w:ind w:firstLine="0"/>
    </w:pPr>
    <w:rPr>
      <w:kern w:val="2"/>
      <w:vertAlign w:val="superscript"/>
      <w:lang w:val="lv-LV"/>
      <w14:ligatures w14:val="standardContextual"/>
    </w:rPr>
  </w:style>
  <w:style w:type="character" w:styleId="CommentReference">
    <w:name w:val="annotation reference"/>
    <w:basedOn w:val="DefaultParagraphFont"/>
    <w:uiPriority w:val="99"/>
    <w:semiHidden/>
    <w:unhideWhenUsed/>
    <w:rsid w:val="00567EE1"/>
    <w:rPr>
      <w:sz w:val="16"/>
      <w:szCs w:val="16"/>
    </w:rPr>
  </w:style>
  <w:style w:type="paragraph" w:styleId="CommentText">
    <w:name w:val="annotation text"/>
    <w:basedOn w:val="Normal"/>
    <w:link w:val="CommentTextChar"/>
    <w:uiPriority w:val="99"/>
    <w:unhideWhenUsed/>
    <w:rsid w:val="00567EE1"/>
    <w:rPr>
      <w:sz w:val="20"/>
      <w:szCs w:val="20"/>
    </w:rPr>
  </w:style>
  <w:style w:type="character" w:customStyle="1" w:styleId="CommentTextChar">
    <w:name w:val="Comment Text Char"/>
    <w:basedOn w:val="DefaultParagraphFont"/>
    <w:link w:val="CommentText"/>
    <w:uiPriority w:val="99"/>
    <w:rsid w:val="00567EE1"/>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67EE1"/>
    <w:rPr>
      <w:b/>
      <w:bCs/>
    </w:rPr>
  </w:style>
  <w:style w:type="character" w:customStyle="1" w:styleId="CommentSubjectChar">
    <w:name w:val="Comment Subject Char"/>
    <w:basedOn w:val="CommentTextChar"/>
    <w:link w:val="CommentSubject"/>
    <w:uiPriority w:val="99"/>
    <w:semiHidden/>
    <w:rsid w:val="00567EE1"/>
    <w:rPr>
      <w:b/>
      <w:bCs/>
      <w:kern w:val="0"/>
      <w:sz w:val="20"/>
      <w:szCs w:val="20"/>
      <w:lang w:val="en-US"/>
      <w14:ligatures w14:val="none"/>
    </w:rPr>
  </w:style>
  <w:style w:type="paragraph" w:customStyle="1" w:styleId="TabulasAttli">
    <w:name w:val="Tabulas/Attēli"/>
    <w:basedOn w:val="Normal"/>
    <w:link w:val="TabulasAttliChar"/>
    <w:uiPriority w:val="6"/>
    <w:qFormat/>
    <w:rsid w:val="00D920F7"/>
    <w:pPr>
      <w:jc w:val="right"/>
    </w:pPr>
    <w:rPr>
      <w:i/>
      <w:iCs/>
      <w:lang w:val="lv-LV"/>
    </w:rPr>
  </w:style>
  <w:style w:type="character" w:customStyle="1" w:styleId="TabulasAttliChar">
    <w:name w:val="Tabulas/Attēli Char"/>
    <w:basedOn w:val="DefaultParagraphFont"/>
    <w:link w:val="TabulasAttli"/>
    <w:uiPriority w:val="6"/>
    <w:rsid w:val="00D920F7"/>
    <w:rPr>
      <w:i/>
      <w:iCs/>
      <w:kern w:val="0"/>
      <w14:ligatures w14:val="none"/>
    </w:rPr>
  </w:style>
  <w:style w:type="table" w:styleId="TableGrid">
    <w:name w:val="Table Grid"/>
    <w:basedOn w:val="TableNormal"/>
    <w:uiPriority w:val="39"/>
    <w:rsid w:val="00F47A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DA5"/>
    <w:pPr>
      <w:tabs>
        <w:tab w:val="center" w:pos="4153"/>
        <w:tab w:val="right" w:pos="8306"/>
      </w:tabs>
      <w:spacing w:after="0"/>
    </w:pPr>
  </w:style>
  <w:style w:type="character" w:customStyle="1" w:styleId="HeaderChar">
    <w:name w:val="Header Char"/>
    <w:basedOn w:val="DefaultParagraphFont"/>
    <w:link w:val="Header"/>
    <w:uiPriority w:val="99"/>
    <w:rsid w:val="00F07DA5"/>
    <w:rPr>
      <w:kern w:val="0"/>
      <w:lang w:val="en-US"/>
      <w14:ligatures w14:val="none"/>
    </w:rPr>
  </w:style>
  <w:style w:type="paragraph" w:styleId="Footer">
    <w:name w:val="footer"/>
    <w:basedOn w:val="Normal"/>
    <w:link w:val="FooterChar"/>
    <w:uiPriority w:val="99"/>
    <w:unhideWhenUsed/>
    <w:rsid w:val="00F07DA5"/>
    <w:pPr>
      <w:tabs>
        <w:tab w:val="center" w:pos="4153"/>
        <w:tab w:val="right" w:pos="8306"/>
      </w:tabs>
      <w:spacing w:after="0"/>
    </w:pPr>
  </w:style>
  <w:style w:type="character" w:customStyle="1" w:styleId="FooterChar">
    <w:name w:val="Footer Char"/>
    <w:basedOn w:val="DefaultParagraphFont"/>
    <w:link w:val="Footer"/>
    <w:uiPriority w:val="99"/>
    <w:rsid w:val="00F07DA5"/>
    <w:rPr>
      <w:kern w:val="0"/>
      <w:lang w:val="en-US"/>
      <w14:ligatures w14:val="none"/>
    </w:rPr>
  </w:style>
  <w:style w:type="paragraph" w:styleId="Revision">
    <w:name w:val="Revision"/>
    <w:hidden/>
    <w:uiPriority w:val="99"/>
    <w:semiHidden/>
    <w:rsid w:val="002C26ED"/>
    <w:pPr>
      <w:spacing w:after="0"/>
    </w:pPr>
    <w:rPr>
      <w:kern w:val="0"/>
      <w:lang w:val="en-US"/>
      <w14:ligatures w14:val="none"/>
    </w:rPr>
  </w:style>
  <w:style w:type="character" w:styleId="FollowedHyperlink">
    <w:name w:val="FollowedHyperlink"/>
    <w:basedOn w:val="DefaultParagraphFont"/>
    <w:uiPriority w:val="99"/>
    <w:semiHidden/>
    <w:unhideWhenUsed/>
    <w:rsid w:val="00F5379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tkrapies.lv" TargetMode="External"/><Relationship Id="rId17" Type="http://schemas.openxmlformats.org/officeDocument/2006/relationships/hyperlink" Target="https://www.eppo.europa.eu/assets/annual-report-2025/pdfs/EPPO_Annual_Report_2025_en.pdf" TargetMode="Externa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lv/afcos-padome"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fm.gov.lv/lv/media/19885/download?attachment" TargetMode="External"/><Relationship Id="rId2" Type="http://schemas.openxmlformats.org/officeDocument/2006/relationships/hyperlink" Target="https://likumi.lv/ta/id/289082-noteikumi-par-iepirkuma-proceduru-un-tas-piemerosanas-kartibu-pasutitaja-finansetiem-projektiem" TargetMode="External"/><Relationship Id="rId1" Type="http://schemas.openxmlformats.org/officeDocument/2006/relationships/hyperlink" Target="https://likumi.lv/ta/id/351975-par-eiropas-savienibas-finansu-interesu-aizsardzibas-koordinacijas-dienesta-afcos-darbibas-strategiju-un-pasakumu-planu-20242026-gadam" TargetMode="External"/><Relationship Id="rId5" Type="http://schemas.openxmlformats.org/officeDocument/2006/relationships/hyperlink" Target="https://likumi.lv/ta/id/271068-eiropas-savienibas-finansu-interesu-aizsardzibas-koordinacijas-padomes-nolikums" TargetMode="External"/><Relationship Id="rId4" Type="http://schemas.openxmlformats.org/officeDocument/2006/relationships/hyperlink" Target="https://www.fm.gov.lv/lv/media/23561/download?attachmen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fmlv.sharepoint.com/sites/ESFRDportals/AFCOS/AFCOS%20informat&#299;vais%20zi&#326;ojums%202026/Zi&#326;ojuma%20projekts/Darba%20fails_tabula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03000397349918"/>
          <c:y val="5.2816901408450703E-2"/>
          <c:w val="0.81041802833348198"/>
          <c:h val="0.79903737384939555"/>
        </c:manualLayout>
      </c:layout>
      <c:barChart>
        <c:barDir val="bar"/>
        <c:grouping val="percentStacked"/>
        <c:varyColors val="0"/>
        <c:ser>
          <c:idx val="0"/>
          <c:order val="0"/>
          <c:tx>
            <c:strRef>
              <c:f>'Neatbilstību salīdzinajums 5.ie'!$B$30</c:f>
              <c:strCache>
                <c:ptCount val="1"/>
                <c:pt idx="0">
                  <c:v>2007-2013</c:v>
                </c:pt>
              </c:strCache>
            </c:strRef>
          </c:tx>
          <c:spPr>
            <a:solidFill>
              <a:schemeClr val="accent1">
                <a:lumMod val="40000"/>
                <a:lumOff val="60000"/>
              </a:schemeClr>
            </a:solidFill>
            <a:ln>
              <a:noFill/>
            </a:ln>
            <a:effectLst/>
          </c:spPr>
          <c:invertIfNegative val="0"/>
          <c:dLbls>
            <c:dLbl>
              <c:idx val="2"/>
              <c:layout>
                <c:manualLayout>
                  <c:x val="2.7689030883919063E-2"/>
                  <c:y val="-3.4692107545533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B5F-4A24-987F-431A0F53CA91}"/>
                </c:ext>
              </c:extLst>
            </c:dLbl>
            <c:dLbl>
              <c:idx val="3"/>
              <c:layout>
                <c:manualLayout>
                  <c:x val="-8.5197018104366355E-3"/>
                  <c:y val="-1.2720292487457964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B5F-4A24-987F-431A0F53CA91}"/>
                </c:ext>
              </c:extLst>
            </c:dLbl>
            <c:dLbl>
              <c:idx val="5"/>
              <c:layout>
                <c:manualLayout>
                  <c:x val="-2.3429179978700747E-2"/>
                  <c:y val="3.46921075455327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B5F-4A24-987F-431A0F53CA91}"/>
                </c:ext>
              </c:extLst>
            </c:dLbl>
            <c:dLbl>
              <c:idx val="6"/>
              <c:layout>
                <c:manualLayout>
                  <c:x val="3.6208732694355719E-2"/>
                  <c:y val="-6.360146243728981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B5F-4A24-987F-431A0F53CA91}"/>
                </c:ext>
              </c:extLst>
            </c:dLbl>
            <c:dLbl>
              <c:idx val="10"/>
              <c:delete val="1"/>
              <c:extLst>
                <c:ext xmlns:c15="http://schemas.microsoft.com/office/drawing/2012/chart" uri="{CE6537A1-D6FC-4f65-9D91-7224C49458BB}"/>
                <c:ext xmlns:c16="http://schemas.microsoft.com/office/drawing/2014/chart" uri="{C3380CC4-5D6E-409C-BE32-E72D297353CC}">
                  <c16:uniqueId val="{00000004-7B5F-4A24-987F-431A0F53CA9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'Neatbilstību salīdzinajums 5.ie'!$A$31:$A$41</c:f>
              <c:strCache>
                <c:ptCount val="11"/>
                <c:pt idx="0">
                  <c:v>ERAF</c:v>
                </c:pt>
                <c:pt idx="1">
                  <c:v>ESF/ESF+</c:v>
                </c:pt>
                <c:pt idx="2">
                  <c:v>KF</c:v>
                </c:pt>
                <c:pt idx="3">
                  <c:v>EZF/EJZF/EJZAF</c:v>
                </c:pt>
                <c:pt idx="4">
                  <c:v>ELFLA</c:v>
                </c:pt>
                <c:pt idx="5">
                  <c:v>ELGF</c:v>
                </c:pt>
                <c:pt idx="6">
                  <c:v>ETS</c:v>
                </c:pt>
                <c:pt idx="7">
                  <c:v>EAFVP/ESF+programma</c:v>
                </c:pt>
                <c:pt idx="8">
                  <c:v>IDF/RPVP</c:v>
                </c:pt>
                <c:pt idx="9">
                  <c:v>PMIF</c:v>
                </c:pt>
                <c:pt idx="10">
                  <c:v>TPF</c:v>
                </c:pt>
              </c:strCache>
            </c:strRef>
          </c:cat>
          <c:val>
            <c:numRef>
              <c:f>'Neatbilstību salīdzinajums 5.ie'!$B$31:$B$41</c:f>
              <c:numCache>
                <c:formatCode>_("€"* #,##0.00_);_("€"* \(#,##0.00\);_("€"* "-"??_);_(@_)</c:formatCode>
                <c:ptCount val="11"/>
                <c:pt idx="0">
                  <c:v>500316</c:v>
                </c:pt>
                <c:pt idx="1">
                  <c:v>220480</c:v>
                </c:pt>
                <c:pt idx="2">
                  <c:v>46427</c:v>
                </c:pt>
                <c:pt idx="3">
                  <c:v>56756</c:v>
                </c:pt>
                <c:pt idx="4">
                  <c:v>1929347</c:v>
                </c:pt>
                <c:pt idx="5">
                  <c:v>360946</c:v>
                </c:pt>
                <c:pt idx="6">
                  <c:v>1471.25</c:v>
                </c:pt>
                <c:pt idx="7" formatCode="General">
                  <c:v>0</c:v>
                </c:pt>
                <c:pt idx="8" formatCode="General">
                  <c:v>0</c:v>
                </c:pt>
                <c:pt idx="9" formatCode="General">
                  <c:v>0</c:v>
                </c:pt>
                <c:pt idx="10" formatCode="General">
                  <c:v>0</c:v>
                </c:pt>
              </c:numCache>
            </c:numRef>
          </c:val>
          <c:extLst>
            <c:ext xmlns:c16="http://schemas.microsoft.com/office/drawing/2014/chart" uri="{C3380CC4-5D6E-409C-BE32-E72D297353CC}">
              <c16:uniqueId val="{00000005-7B5F-4A24-987F-431A0F53CA91}"/>
            </c:ext>
          </c:extLst>
        </c:ser>
        <c:ser>
          <c:idx val="1"/>
          <c:order val="1"/>
          <c:tx>
            <c:strRef>
              <c:f>'Neatbilstību salīdzinajums 5.ie'!$C$30</c:f>
              <c:strCache>
                <c:ptCount val="1"/>
                <c:pt idx="0">
                  <c:v>2014-2020</c:v>
                </c:pt>
              </c:strCache>
            </c:strRef>
          </c:tx>
          <c:spPr>
            <a:solidFill>
              <a:schemeClr val="accent2">
                <a:lumMod val="40000"/>
                <a:lumOff val="60000"/>
              </a:schemeClr>
            </a:solidFill>
            <a:ln>
              <a:noFill/>
            </a:ln>
            <a:effectLst/>
          </c:spPr>
          <c:invertIfNegative val="0"/>
          <c:dLbls>
            <c:dLbl>
              <c:idx val="1"/>
              <c:layout>
                <c:manualLayout>
                  <c:x val="-1.9169329073482427E-2"/>
                  <c:y val="-1.2720292487457964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B5F-4A24-987F-431A0F53CA91}"/>
                </c:ext>
              </c:extLst>
            </c:dLbl>
            <c:dLbl>
              <c:idx val="8"/>
              <c:layout>
                <c:manualLayout>
                  <c:x val="3.713254254770500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B5F-4A24-987F-431A0F53CA91}"/>
                </c:ext>
              </c:extLst>
            </c:dLbl>
            <c:dLbl>
              <c:idx val="10"/>
              <c:layout>
                <c:manualLayout>
                  <c:x val="5.9637912673056424E-2"/>
                  <c:y val="0"/>
                </c:manualLayout>
              </c:layout>
              <c:tx>
                <c:rich>
                  <a:bodyPr/>
                  <a:lstStyle/>
                  <a:p>
                    <a:r>
                      <a:rPr lang="en-US"/>
                      <a:t>*Jauns Fonds</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7B5F-4A24-987F-431A0F53CA9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'Neatbilstību salīdzinajums 5.ie'!$A$31:$A$41</c:f>
              <c:strCache>
                <c:ptCount val="11"/>
                <c:pt idx="0">
                  <c:v>ERAF</c:v>
                </c:pt>
                <c:pt idx="1">
                  <c:v>ESF/ESF+</c:v>
                </c:pt>
                <c:pt idx="2">
                  <c:v>KF</c:v>
                </c:pt>
                <c:pt idx="3">
                  <c:v>EZF/EJZF/EJZAF</c:v>
                </c:pt>
                <c:pt idx="4">
                  <c:v>ELFLA</c:v>
                </c:pt>
                <c:pt idx="5">
                  <c:v>ELGF</c:v>
                </c:pt>
                <c:pt idx="6">
                  <c:v>ETS</c:v>
                </c:pt>
                <c:pt idx="7">
                  <c:v>EAFVP/ESF+programma</c:v>
                </c:pt>
                <c:pt idx="8">
                  <c:v>IDF/RPVP</c:v>
                </c:pt>
                <c:pt idx="9">
                  <c:v>PMIF</c:v>
                </c:pt>
                <c:pt idx="10">
                  <c:v>TPF</c:v>
                </c:pt>
              </c:strCache>
            </c:strRef>
          </c:cat>
          <c:val>
            <c:numRef>
              <c:f>'Neatbilstību salīdzinajums 5.ie'!$C$31:$C$41</c:f>
              <c:numCache>
                <c:formatCode>_("€"* #,##0.00_);_("€"* \(#,##0.00\);_("€"* "-"??_);_(@_)</c:formatCode>
                <c:ptCount val="11"/>
                <c:pt idx="0">
                  <c:v>719229</c:v>
                </c:pt>
                <c:pt idx="1">
                  <c:v>115204</c:v>
                </c:pt>
                <c:pt idx="2">
                  <c:v>949451</c:v>
                </c:pt>
                <c:pt idx="3">
                  <c:v>86162</c:v>
                </c:pt>
                <c:pt idx="4">
                  <c:v>660275</c:v>
                </c:pt>
                <c:pt idx="5">
                  <c:v>75137</c:v>
                </c:pt>
                <c:pt idx="6">
                  <c:v>103451</c:v>
                </c:pt>
                <c:pt idx="7">
                  <c:v>1690.67</c:v>
                </c:pt>
                <c:pt idx="8">
                  <c:v>6511.71</c:v>
                </c:pt>
                <c:pt idx="9">
                  <c:v>3582.0099999999998</c:v>
                </c:pt>
                <c:pt idx="10" formatCode="General">
                  <c:v>0</c:v>
                </c:pt>
              </c:numCache>
            </c:numRef>
          </c:val>
          <c:extLst>
            <c:ext xmlns:c16="http://schemas.microsoft.com/office/drawing/2014/chart" uri="{C3380CC4-5D6E-409C-BE32-E72D297353CC}">
              <c16:uniqueId val="{00000009-7B5F-4A24-987F-431A0F53CA91}"/>
            </c:ext>
          </c:extLst>
        </c:ser>
        <c:ser>
          <c:idx val="2"/>
          <c:order val="2"/>
          <c:tx>
            <c:strRef>
              <c:f>'Neatbilstību salīdzinajums 5.ie'!$D$30</c:f>
              <c:strCache>
                <c:ptCount val="1"/>
                <c:pt idx="0">
                  <c:v>2021-2027</c:v>
                </c:pt>
              </c:strCache>
            </c:strRef>
          </c:tx>
          <c:spPr>
            <a:solidFill>
              <a:schemeClr val="accent6">
                <a:lumMod val="40000"/>
                <a:lumOff val="60000"/>
              </a:schemeClr>
            </a:solidFill>
            <a:ln>
              <a:noFill/>
            </a:ln>
            <a:effectLst/>
          </c:spPr>
          <c:invertIfNegative val="0"/>
          <c:dLbls>
            <c:dLbl>
              <c:idx val="0"/>
              <c:layout>
                <c:manualLayout>
                  <c:x val="-2.555910543130990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B5F-4A24-987F-431A0F53CA91}"/>
                </c:ext>
              </c:extLst>
            </c:dLbl>
            <c:dLbl>
              <c:idx val="1"/>
              <c:layout>
                <c:manualLayout>
                  <c:x val="-3.8338658146964855E-2"/>
                  <c:y val="-1.2720292487457964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B5F-4A24-987F-431A0F53CA91}"/>
                </c:ext>
              </c:extLst>
            </c:dLbl>
            <c:dLbl>
              <c:idx val="2"/>
              <c:layout>
                <c:manualLayout>
                  <c:x val="-3.620873269435569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B5F-4A24-987F-431A0F53CA91}"/>
                </c:ext>
              </c:extLst>
            </c:dLbl>
            <c:dLbl>
              <c:idx val="9"/>
              <c:layout>
                <c:manualLayout>
                  <c:x val="-2.981895633652822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B5F-4A24-987F-431A0F53CA9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'Neatbilstību salīdzinajums 5.ie'!$A$31:$A$41</c:f>
              <c:strCache>
                <c:ptCount val="11"/>
                <c:pt idx="0">
                  <c:v>ERAF</c:v>
                </c:pt>
                <c:pt idx="1">
                  <c:v>ESF/ESF+</c:v>
                </c:pt>
                <c:pt idx="2">
                  <c:v>KF</c:v>
                </c:pt>
                <c:pt idx="3">
                  <c:v>EZF/EJZF/EJZAF</c:v>
                </c:pt>
                <c:pt idx="4">
                  <c:v>ELFLA</c:v>
                </c:pt>
                <c:pt idx="5">
                  <c:v>ELGF</c:v>
                </c:pt>
                <c:pt idx="6">
                  <c:v>ETS</c:v>
                </c:pt>
                <c:pt idx="7">
                  <c:v>EAFVP/ESF+programma</c:v>
                </c:pt>
                <c:pt idx="8">
                  <c:v>IDF/RPVP</c:v>
                </c:pt>
                <c:pt idx="9">
                  <c:v>PMIF</c:v>
                </c:pt>
                <c:pt idx="10">
                  <c:v>TPF</c:v>
                </c:pt>
              </c:strCache>
            </c:strRef>
          </c:cat>
          <c:val>
            <c:numRef>
              <c:f>'Neatbilstību salīdzinajums 5.ie'!$D$31:$D$41</c:f>
              <c:numCache>
                <c:formatCode>_("€"* #,##0.00_);_("€"* \(#,##0.00\);_("€"* "-"??_);_(@_)</c:formatCode>
                <c:ptCount val="11"/>
                <c:pt idx="0">
                  <c:v>96283</c:v>
                </c:pt>
                <c:pt idx="1">
                  <c:v>6989</c:v>
                </c:pt>
                <c:pt idx="2">
                  <c:v>46420</c:v>
                </c:pt>
                <c:pt idx="3">
                  <c:v>240225</c:v>
                </c:pt>
                <c:pt idx="4">
                  <c:v>494132</c:v>
                </c:pt>
                <c:pt idx="5">
                  <c:v>1237860</c:v>
                </c:pt>
                <c:pt idx="6">
                  <c:v>58329</c:v>
                </c:pt>
                <c:pt idx="7">
                  <c:v>10640.95</c:v>
                </c:pt>
                <c:pt idx="8" formatCode="#\ ##0.00\ &quot;€&quot;">
                  <c:v>173381.74</c:v>
                </c:pt>
                <c:pt idx="9">
                  <c:v>67.180000000000007</c:v>
                </c:pt>
                <c:pt idx="10">
                  <c:v>42314</c:v>
                </c:pt>
              </c:numCache>
            </c:numRef>
          </c:val>
          <c:extLst>
            <c:ext xmlns:c16="http://schemas.microsoft.com/office/drawing/2014/chart" uri="{C3380CC4-5D6E-409C-BE32-E72D297353CC}">
              <c16:uniqueId val="{0000000E-7B5F-4A24-987F-431A0F53CA91}"/>
            </c:ext>
          </c:extLst>
        </c:ser>
        <c:dLbls>
          <c:showLegendKey val="0"/>
          <c:showVal val="0"/>
          <c:showCatName val="0"/>
          <c:showSerName val="0"/>
          <c:showPercent val="0"/>
          <c:showBubbleSize val="0"/>
        </c:dLbls>
        <c:gapWidth val="50"/>
        <c:overlap val="100"/>
        <c:axId val="863505439"/>
        <c:axId val="863494399"/>
      </c:barChart>
      <c:catAx>
        <c:axId val="8635054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v-LV"/>
          </a:p>
        </c:txPr>
        <c:crossAx val="863494399"/>
        <c:crosses val="autoZero"/>
        <c:auto val="1"/>
        <c:lblAlgn val="ctr"/>
        <c:lblOffset val="100"/>
        <c:noMultiLvlLbl val="0"/>
      </c:catAx>
      <c:valAx>
        <c:axId val="86349439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635054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01A837B2FB81045B3CF579351B0587F" ma:contentTypeVersion="18" ma:contentTypeDescription="Izveidot jaunu dokumentu." ma:contentTypeScope="" ma:versionID="1ca73e4ba9b6394fec8b9954b60849bf">
  <xsd:schema xmlns:xsd="http://www.w3.org/2001/XMLSchema" xmlns:xs="http://www.w3.org/2001/XMLSchema" xmlns:p="http://schemas.microsoft.com/office/2006/metadata/properties" xmlns:ns1="http://schemas.microsoft.com/sharepoint/v3" xmlns:ns2="343b5817-b78a-4925-a516-1fb7c4e94848" xmlns:ns3="1ca026a0-9b04-4307-bb2d-1d6b3c942469" targetNamespace="http://schemas.microsoft.com/office/2006/metadata/properties" ma:root="true" ma:fieldsID="e07da8316ed7f6818991bced4ab422f9" ns1:_="" ns2:_="" ns3:_="">
    <xsd:import namespace="http://schemas.microsoft.com/sharepoint/v3"/>
    <xsd:import namespace="343b5817-b78a-4925-a516-1fb7c4e94848"/>
    <xsd:import namespace="1ca026a0-9b04-4307-bb2d-1d6b3c9424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1:_ip_UnifiedCompliancePolicyProperties" minOccurs="0"/>
                <xsd:element ref="ns1:_ip_UnifiedCompliancePolicyUIActio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Vienotās atbilstības politikas rekvizīti" ma:hidden="true" ma:internalName="_ip_UnifiedCompliancePolicyProperties">
      <xsd:simpleType>
        <xsd:restriction base="dms:Note"/>
      </xsd:simpleType>
    </xsd:element>
    <xsd:element name="_ip_UnifiedCompliancePolicyUIAction" ma:index="22"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b5817-b78a-4925-a516-1fb7c4e94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026a0-9b04-4307-bb2d-1d6b3c942469"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TaxCatchAll" ma:index="15" nillable="true" ma:displayName="Taxonomy Catch All Column" ma:hidden="true" ma:list="{e80159df-8b3a-4bc7-815a-1f793a5e717b}" ma:internalName="TaxCatchAll" ma:showField="CatchAllData" ma:web="1ca026a0-9b04-4307-bb2d-1d6b3c942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3b5817-b78a-4925-a516-1fb7c4e9484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1ca026a0-9b04-4307-bb2d-1d6b3c942469" xsi:nil="true"/>
  </documentManagement>
</p:properties>
</file>

<file path=customXml/itemProps1.xml><?xml version="1.0" encoding="utf-8"?>
<ds:datastoreItem xmlns:ds="http://schemas.openxmlformats.org/officeDocument/2006/customXml" ds:itemID="{5A1785EC-F36F-466B-8188-AF77DDF5F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3b5817-b78a-4925-a516-1fb7c4e94848"/>
    <ds:schemaRef ds:uri="1ca026a0-9b04-4307-bb2d-1d6b3c942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C95EB0-EEBD-4240-B5C2-7B8065F8BC94}">
  <ds:schemaRefs>
    <ds:schemaRef ds:uri="http://schemas.openxmlformats.org/officeDocument/2006/bibliography"/>
  </ds:schemaRefs>
</ds:datastoreItem>
</file>

<file path=customXml/itemProps3.xml><?xml version="1.0" encoding="utf-8"?>
<ds:datastoreItem xmlns:ds="http://schemas.openxmlformats.org/officeDocument/2006/customXml" ds:itemID="{D971A952-CDA3-41DA-BA97-121506666AF0}">
  <ds:schemaRefs>
    <ds:schemaRef ds:uri="http://schemas.microsoft.com/sharepoint/v3/contenttype/forms"/>
  </ds:schemaRefs>
</ds:datastoreItem>
</file>

<file path=customXml/itemProps4.xml><?xml version="1.0" encoding="utf-8"?>
<ds:datastoreItem xmlns:ds="http://schemas.openxmlformats.org/officeDocument/2006/customXml" ds:itemID="{F26CC28F-8262-4837-8813-D89ACA01BCBC}">
  <ds:schemaRefs>
    <ds:schemaRef ds:uri="http://schemas.microsoft.com/office/2006/metadata/properties"/>
    <ds:schemaRef ds:uri="http://schemas.microsoft.com/office/infopath/2007/PartnerControls"/>
    <ds:schemaRef ds:uri="343b5817-b78a-4925-a516-1fb7c4e94848"/>
    <ds:schemaRef ds:uri="http://schemas.microsoft.com/sharepoint/v3"/>
    <ds:schemaRef ds:uri="1ca026a0-9b04-4307-bb2d-1d6b3c942469"/>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6</Pages>
  <Words>2083</Words>
  <Characters>14187</Characters>
  <Application>Microsoft Office Word</Application>
  <DocSecurity>0</DocSecurity>
  <Lines>267</Lines>
  <Paragraphs>81</Paragraphs>
  <ScaleCrop>false</ScaleCrop>
  <Company/>
  <LinksUpToDate>false</LinksUpToDate>
  <CharactersWithSpaces>16189</CharactersWithSpaces>
  <SharedDoc>false</SharedDoc>
  <HLinks>
    <vt:vector size="42" baseType="variant">
      <vt:variant>
        <vt:i4>1638427</vt:i4>
      </vt:variant>
      <vt:variant>
        <vt:i4>3</vt:i4>
      </vt:variant>
      <vt:variant>
        <vt:i4>0</vt:i4>
      </vt:variant>
      <vt:variant>
        <vt:i4>5</vt:i4>
      </vt:variant>
      <vt:variant>
        <vt:lpwstr>http://www.atkrapies.lv/</vt:lpwstr>
      </vt:variant>
      <vt:variant>
        <vt:lpwstr/>
      </vt:variant>
      <vt:variant>
        <vt:i4>589910</vt:i4>
      </vt:variant>
      <vt:variant>
        <vt:i4>0</vt:i4>
      </vt:variant>
      <vt:variant>
        <vt:i4>0</vt:i4>
      </vt:variant>
      <vt:variant>
        <vt:i4>5</vt:i4>
      </vt:variant>
      <vt:variant>
        <vt:lpwstr>https://www.fm.gov.lv/lv/afcos-padome</vt:lpwstr>
      </vt:variant>
      <vt:variant>
        <vt:lpwstr/>
      </vt:variant>
      <vt:variant>
        <vt:i4>7209011</vt:i4>
      </vt:variant>
      <vt:variant>
        <vt:i4>12</vt:i4>
      </vt:variant>
      <vt:variant>
        <vt:i4>0</vt:i4>
      </vt:variant>
      <vt:variant>
        <vt:i4>5</vt:i4>
      </vt:variant>
      <vt:variant>
        <vt:lpwstr>https://likumi.lv/ta/id/271068-eiropas-savienibas-finansu-interesu-aizsardzibas-koordinacijas-padomes-nolikums</vt:lpwstr>
      </vt:variant>
      <vt:variant>
        <vt:lpwstr/>
      </vt:variant>
      <vt:variant>
        <vt:i4>1179658</vt:i4>
      </vt:variant>
      <vt:variant>
        <vt:i4>9</vt:i4>
      </vt:variant>
      <vt:variant>
        <vt:i4>0</vt:i4>
      </vt:variant>
      <vt:variant>
        <vt:i4>5</vt:i4>
      </vt:variant>
      <vt:variant>
        <vt:lpwstr>https://www.fm.gov.lv/lv/media/23561/download?attachment</vt:lpwstr>
      </vt:variant>
      <vt:variant>
        <vt:lpwstr/>
      </vt:variant>
      <vt:variant>
        <vt:i4>1572878</vt:i4>
      </vt:variant>
      <vt:variant>
        <vt:i4>6</vt:i4>
      </vt:variant>
      <vt:variant>
        <vt:i4>0</vt:i4>
      </vt:variant>
      <vt:variant>
        <vt:i4>5</vt:i4>
      </vt:variant>
      <vt:variant>
        <vt:lpwstr>https://www.fm.gov.lv/lv/media/19885/download?attachment</vt:lpwstr>
      </vt:variant>
      <vt:variant>
        <vt:lpwstr/>
      </vt:variant>
      <vt:variant>
        <vt:i4>3080227</vt:i4>
      </vt:variant>
      <vt:variant>
        <vt:i4>3</vt:i4>
      </vt:variant>
      <vt:variant>
        <vt:i4>0</vt:i4>
      </vt:variant>
      <vt:variant>
        <vt:i4>5</vt:i4>
      </vt:variant>
      <vt:variant>
        <vt:lpwstr>https://likumi.lv/ta/id/289082-noteikumi-par-iepirkuma-proceduru-un-tas-piemerosanas-kartibu-pasutitaja-finansetiem-projektiem</vt:lpwstr>
      </vt:variant>
      <vt:variant>
        <vt:lpwstr/>
      </vt:variant>
      <vt:variant>
        <vt:i4>393287</vt:i4>
      </vt:variant>
      <vt:variant>
        <vt:i4>0</vt:i4>
      </vt:variant>
      <vt:variant>
        <vt:i4>0</vt:i4>
      </vt:variant>
      <vt:variant>
        <vt:i4>5</vt:i4>
      </vt:variant>
      <vt:variant>
        <vt:lpwstr>https://likumi.lv/ta/id/351975-par-eiropas-savienibas-finansu-interesu-aizsardzibas-koordinacijas-dienesta-afcos-darbibas-strategiju-un-pasakumu-planu-20242026-gadam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Dolgais</dc:creator>
  <cp:keywords/>
  <dc:description/>
  <cp:lastModifiedBy>Inese Dolgais</cp:lastModifiedBy>
  <cp:revision>20</cp:revision>
  <cp:lastPrinted>2026-02-10T07:44:00Z</cp:lastPrinted>
  <dcterms:created xsi:type="dcterms:W3CDTF">2026-03-11T12:34:00Z</dcterms:created>
  <dcterms:modified xsi:type="dcterms:W3CDTF">2026-04-02T09:54:00Z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0x010100C01A837B2FB81045B3CF579351B0587F</vt:lpwstr>
  </property>
  <property fmtid="{D5CDD505-2E9C-101B-9397-08002B2CF9AE}" pid="3" name="MediaServiceImageTags">
    <vt:lpwstr/>
  </property>
</Properties>
</file>