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84435A" w14:textId="77777777" w:rsidR="00EB7B4C" w:rsidRPr="00CF042B" w:rsidRDefault="00EB7B4C" w:rsidP="00EB7B4C">
      <w:pPr>
        <w:tabs>
          <w:tab w:val="left" w:pos="810"/>
        </w:tabs>
        <w:contextualSpacing/>
        <w:jc w:val="center"/>
        <w:rPr>
          <w:rFonts w:eastAsia="Times New Roman" w:cs="Times New Roman"/>
          <w:b/>
          <w:iCs/>
          <w:sz w:val="24"/>
          <w:szCs w:val="24"/>
        </w:rPr>
      </w:pPr>
      <w:r w:rsidRPr="00CF042B">
        <w:rPr>
          <w:rFonts w:eastAsia="Times New Roman" w:cs="Times New Roman"/>
          <w:b/>
          <w:iCs/>
          <w:sz w:val="24"/>
          <w:szCs w:val="24"/>
        </w:rPr>
        <w:t>Uzziņa par tiesību akta projektu</w:t>
      </w:r>
    </w:p>
    <w:p w14:paraId="5D18A9F0" w14:textId="0901523F" w:rsidR="00EB7B4C" w:rsidRPr="00CF042B" w:rsidRDefault="00AA5406" w:rsidP="00EB7B4C">
      <w:pPr>
        <w:tabs>
          <w:tab w:val="left" w:pos="810"/>
        </w:tabs>
        <w:contextualSpacing/>
        <w:jc w:val="center"/>
        <w:rPr>
          <w:rFonts w:eastAsia="Times New Roman" w:cs="Times New Roman"/>
          <w:i/>
          <w:iCs/>
          <w:sz w:val="24"/>
          <w:szCs w:val="24"/>
        </w:rPr>
      </w:pPr>
      <w:r>
        <w:rPr>
          <w:rFonts w:eastAsia="Times New Roman" w:cs="Times New Roman"/>
          <w:i/>
          <w:iCs/>
          <w:sz w:val="24"/>
          <w:szCs w:val="24"/>
        </w:rPr>
        <w:t>19</w:t>
      </w:r>
      <w:r w:rsidR="00467EE4">
        <w:rPr>
          <w:rFonts w:eastAsia="Times New Roman" w:cs="Times New Roman"/>
          <w:i/>
          <w:iCs/>
          <w:sz w:val="24"/>
          <w:szCs w:val="24"/>
        </w:rPr>
        <w:t>.01.2021.</w:t>
      </w:r>
    </w:p>
    <w:p w14:paraId="163C38A7" w14:textId="77777777" w:rsidR="00EB7B4C" w:rsidRPr="00D139C9" w:rsidRDefault="00EB7B4C" w:rsidP="00EB7B4C">
      <w:pPr>
        <w:tabs>
          <w:tab w:val="left" w:pos="810"/>
        </w:tabs>
        <w:contextualSpacing/>
        <w:jc w:val="center"/>
        <w:rPr>
          <w:rFonts w:eastAsia="Times New Roman" w:cs="Times New Roman"/>
          <w:iCs/>
          <w:sz w:val="22"/>
        </w:rPr>
      </w:pPr>
    </w:p>
    <w:tbl>
      <w:tblPr>
        <w:tblW w:w="952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3147"/>
        <w:gridCol w:w="5670"/>
      </w:tblGrid>
      <w:tr w:rsidR="00EB7B4C" w:rsidRPr="00CF042B" w14:paraId="5596AD54" w14:textId="77777777" w:rsidTr="00E93659">
        <w:tc>
          <w:tcPr>
            <w:tcW w:w="710" w:type="dxa"/>
            <w:vAlign w:val="center"/>
          </w:tcPr>
          <w:p w14:paraId="1F5617B1" w14:textId="77777777" w:rsidR="00EB7B4C" w:rsidRPr="00CF042B" w:rsidRDefault="00EB7B4C" w:rsidP="00BF6058">
            <w:pPr>
              <w:jc w:val="center"/>
              <w:rPr>
                <w:rFonts w:eastAsia="Times New Roman" w:cs="Times New Roman"/>
                <w:sz w:val="24"/>
                <w:szCs w:val="24"/>
              </w:rPr>
            </w:pPr>
            <w:r w:rsidRPr="00CF042B">
              <w:rPr>
                <w:rFonts w:eastAsia="Times New Roman" w:cs="Times New Roman"/>
                <w:sz w:val="24"/>
                <w:szCs w:val="24"/>
              </w:rPr>
              <w:t>№</w:t>
            </w:r>
          </w:p>
        </w:tc>
        <w:tc>
          <w:tcPr>
            <w:tcW w:w="3147" w:type="dxa"/>
            <w:vAlign w:val="center"/>
          </w:tcPr>
          <w:p w14:paraId="44D79D8B" w14:textId="77777777" w:rsidR="00EB7B4C" w:rsidRPr="00CF042B" w:rsidRDefault="00EB7B4C" w:rsidP="00BF6058">
            <w:pPr>
              <w:jc w:val="center"/>
              <w:rPr>
                <w:rFonts w:eastAsia="Times New Roman" w:cs="Times New Roman"/>
                <w:sz w:val="24"/>
                <w:szCs w:val="24"/>
              </w:rPr>
            </w:pPr>
            <w:r w:rsidRPr="00CF042B">
              <w:rPr>
                <w:rFonts w:eastAsia="Times New Roman" w:cs="Times New Roman"/>
                <w:sz w:val="24"/>
                <w:szCs w:val="24"/>
              </w:rPr>
              <w:t>Sniedzamā informācija</w:t>
            </w:r>
          </w:p>
        </w:tc>
        <w:tc>
          <w:tcPr>
            <w:tcW w:w="5670" w:type="dxa"/>
            <w:vAlign w:val="center"/>
          </w:tcPr>
          <w:p w14:paraId="1EC3B8D6" w14:textId="77777777" w:rsidR="00EB7B4C" w:rsidRPr="00CF042B" w:rsidRDefault="00EB7B4C" w:rsidP="00BF6058">
            <w:pPr>
              <w:jc w:val="center"/>
              <w:rPr>
                <w:rFonts w:eastAsia="Times New Roman" w:cs="Times New Roman"/>
                <w:sz w:val="24"/>
                <w:szCs w:val="24"/>
              </w:rPr>
            </w:pPr>
            <w:r w:rsidRPr="00CF042B">
              <w:rPr>
                <w:rFonts w:eastAsia="Times New Roman" w:cs="Times New Roman"/>
                <w:sz w:val="24"/>
                <w:szCs w:val="24"/>
              </w:rPr>
              <w:t>Informācija par projektu</w:t>
            </w:r>
          </w:p>
        </w:tc>
      </w:tr>
      <w:tr w:rsidR="00EB7B4C" w:rsidRPr="00CF042B" w14:paraId="2DA111C1" w14:textId="77777777" w:rsidTr="00B66018">
        <w:tc>
          <w:tcPr>
            <w:tcW w:w="710" w:type="dxa"/>
          </w:tcPr>
          <w:p w14:paraId="10844337" w14:textId="77777777" w:rsidR="00EB7B4C" w:rsidRPr="00CF042B" w:rsidRDefault="00EB7B4C" w:rsidP="00BF6058">
            <w:pPr>
              <w:rPr>
                <w:rFonts w:eastAsia="Times New Roman" w:cs="Times New Roman"/>
                <w:sz w:val="24"/>
                <w:szCs w:val="24"/>
              </w:rPr>
            </w:pPr>
          </w:p>
        </w:tc>
        <w:tc>
          <w:tcPr>
            <w:tcW w:w="8817" w:type="dxa"/>
            <w:gridSpan w:val="2"/>
          </w:tcPr>
          <w:p w14:paraId="2731694A" w14:textId="12BCF243" w:rsidR="00EB7B4C" w:rsidRPr="00CF042B" w:rsidRDefault="006E4E4C" w:rsidP="00AA5406">
            <w:pPr>
              <w:ind w:left="-79" w:right="-108"/>
              <w:jc w:val="center"/>
              <w:rPr>
                <w:rFonts w:eastAsia="Times New Roman" w:cs="Times New Roman"/>
                <w:b/>
                <w:bCs/>
                <w:sz w:val="24"/>
                <w:szCs w:val="24"/>
              </w:rPr>
            </w:pPr>
            <w:r w:rsidRPr="00CF042B">
              <w:rPr>
                <w:b/>
                <w:sz w:val="24"/>
                <w:szCs w:val="24"/>
              </w:rPr>
              <w:t xml:space="preserve">Ministru kabineta noteikumu projekts </w:t>
            </w:r>
            <w:r w:rsidR="00AA5406" w:rsidRPr="00BF5376">
              <w:rPr>
                <w:rFonts w:eastAsia="Times New Roman" w:cs="Times New Roman"/>
                <w:b/>
                <w:bCs/>
                <w:sz w:val="24"/>
                <w:szCs w:val="24"/>
                <w:lang w:eastAsia="lv-LV"/>
              </w:rPr>
              <w:t>“Grozījums Ministru kabineta 2015. gada 10. februāra noteikumos Nr. 77 “Eiropas Savienības struktūrfondu un Kohēzijas fonda projektu pārbaužu veikšanas kārtība 2014.–2020. gada plānošanas periodā””</w:t>
            </w:r>
          </w:p>
        </w:tc>
      </w:tr>
      <w:tr w:rsidR="00EB7B4C" w:rsidRPr="00CF042B" w14:paraId="3C0B6EDE" w14:textId="77777777" w:rsidTr="00E93659">
        <w:tc>
          <w:tcPr>
            <w:tcW w:w="710" w:type="dxa"/>
            <w:vAlign w:val="center"/>
          </w:tcPr>
          <w:p w14:paraId="1732D2BC" w14:textId="77777777" w:rsidR="00EB7B4C" w:rsidRPr="00CF042B" w:rsidRDefault="00EB7B4C" w:rsidP="00EB7B4C">
            <w:pPr>
              <w:numPr>
                <w:ilvl w:val="0"/>
                <w:numId w:val="1"/>
              </w:numPr>
              <w:contextualSpacing/>
              <w:jc w:val="center"/>
              <w:rPr>
                <w:rFonts w:eastAsia="Calibri" w:cs="Times New Roman"/>
                <w:sz w:val="24"/>
                <w:szCs w:val="24"/>
              </w:rPr>
            </w:pPr>
          </w:p>
        </w:tc>
        <w:tc>
          <w:tcPr>
            <w:tcW w:w="3147" w:type="dxa"/>
          </w:tcPr>
          <w:p w14:paraId="13CB43ED" w14:textId="4043234A" w:rsidR="004E0537" w:rsidRPr="00CF042B" w:rsidRDefault="00EB7B4C" w:rsidP="00CF042B">
            <w:pPr>
              <w:jc w:val="both"/>
              <w:rPr>
                <w:rFonts w:eastAsia="Times New Roman" w:cs="Times New Roman"/>
                <w:sz w:val="24"/>
                <w:szCs w:val="24"/>
              </w:rPr>
            </w:pPr>
            <w:r w:rsidRPr="00CF042B">
              <w:rPr>
                <w:rFonts w:eastAsia="Times New Roman" w:cs="Times New Roman"/>
                <w:sz w:val="24"/>
                <w:szCs w:val="24"/>
              </w:rPr>
              <w:t>Projekta izstrādes nepieciešamības pamatojums</w:t>
            </w:r>
          </w:p>
        </w:tc>
        <w:tc>
          <w:tcPr>
            <w:tcW w:w="5670" w:type="dxa"/>
          </w:tcPr>
          <w:p w14:paraId="27031362" w14:textId="75A6B0BB" w:rsidR="00EB7B4C" w:rsidRPr="00CF042B" w:rsidRDefault="00AA5406" w:rsidP="00B659FF">
            <w:pPr>
              <w:jc w:val="both"/>
              <w:rPr>
                <w:rFonts w:cs="Times New Roman"/>
                <w:sz w:val="24"/>
                <w:szCs w:val="24"/>
              </w:rPr>
            </w:pPr>
            <w:r>
              <w:t xml:space="preserve"> </w:t>
            </w:r>
            <w:r>
              <w:rPr>
                <w:rFonts w:cs="Times New Roman"/>
                <w:sz w:val="24"/>
                <w:szCs w:val="24"/>
              </w:rPr>
              <w:t>Ministru kabineta</w:t>
            </w:r>
            <w:r w:rsidRPr="00AA5406">
              <w:rPr>
                <w:rFonts w:cs="Times New Roman"/>
                <w:sz w:val="24"/>
                <w:szCs w:val="24"/>
              </w:rPr>
              <w:t xml:space="preserve"> 2019. gada 26. marta sēdes protokola Nr. 16 3. § 7. punkt</w:t>
            </w:r>
            <w:r>
              <w:rPr>
                <w:rFonts w:cs="Times New Roman"/>
                <w:sz w:val="24"/>
                <w:szCs w:val="24"/>
              </w:rPr>
              <w:t>s</w:t>
            </w:r>
          </w:p>
        </w:tc>
      </w:tr>
      <w:tr w:rsidR="00EB7B4C" w:rsidRPr="00CF042B" w14:paraId="1356E748" w14:textId="77777777" w:rsidTr="00E93659">
        <w:tc>
          <w:tcPr>
            <w:tcW w:w="710" w:type="dxa"/>
            <w:vAlign w:val="center"/>
          </w:tcPr>
          <w:p w14:paraId="1DA91371" w14:textId="14DCB26E" w:rsidR="00EB7B4C" w:rsidRPr="00CF042B" w:rsidRDefault="00EB7B4C" w:rsidP="00EB7B4C">
            <w:pPr>
              <w:numPr>
                <w:ilvl w:val="0"/>
                <w:numId w:val="1"/>
              </w:numPr>
              <w:contextualSpacing/>
              <w:jc w:val="center"/>
              <w:rPr>
                <w:rFonts w:eastAsia="Calibri" w:cs="Times New Roman"/>
                <w:sz w:val="24"/>
                <w:szCs w:val="24"/>
              </w:rPr>
            </w:pPr>
          </w:p>
        </w:tc>
        <w:tc>
          <w:tcPr>
            <w:tcW w:w="3147" w:type="dxa"/>
          </w:tcPr>
          <w:p w14:paraId="7A5B92E4" w14:textId="77777777" w:rsidR="00EB7B4C" w:rsidRPr="00CF042B" w:rsidRDefault="00EB7B4C" w:rsidP="00BF6058">
            <w:pPr>
              <w:jc w:val="both"/>
              <w:rPr>
                <w:rFonts w:eastAsia="Times New Roman" w:cs="Times New Roman"/>
                <w:sz w:val="24"/>
                <w:szCs w:val="24"/>
              </w:rPr>
            </w:pPr>
            <w:r w:rsidRPr="00CF042B">
              <w:rPr>
                <w:rFonts w:eastAsia="Times New Roman" w:cs="Times New Roman"/>
                <w:sz w:val="24"/>
                <w:szCs w:val="24"/>
              </w:rPr>
              <w:t>Vadības darba plāna uzdevuma numurs un tā izpildes termiņš (ja nepieciešams)</w:t>
            </w:r>
          </w:p>
        </w:tc>
        <w:tc>
          <w:tcPr>
            <w:tcW w:w="5670" w:type="dxa"/>
          </w:tcPr>
          <w:p w14:paraId="261F218D" w14:textId="067B298E" w:rsidR="00EB7B4C" w:rsidRPr="00CF042B" w:rsidRDefault="0067183D" w:rsidP="00BF6058">
            <w:pPr>
              <w:jc w:val="both"/>
              <w:rPr>
                <w:rFonts w:eastAsia="Times New Roman" w:cs="Times New Roman"/>
                <w:iCs/>
                <w:sz w:val="24"/>
                <w:szCs w:val="24"/>
              </w:rPr>
            </w:pPr>
            <w:r w:rsidRPr="00CF042B">
              <w:rPr>
                <w:rFonts w:eastAsia="Times New Roman" w:cs="Times New Roman"/>
                <w:iCs/>
                <w:sz w:val="24"/>
                <w:szCs w:val="24"/>
              </w:rPr>
              <w:t>Nav attiecināms.</w:t>
            </w:r>
          </w:p>
        </w:tc>
      </w:tr>
      <w:tr w:rsidR="00EB7B4C" w:rsidRPr="00CF042B" w14:paraId="2566D11B" w14:textId="77777777" w:rsidTr="00E93659">
        <w:tc>
          <w:tcPr>
            <w:tcW w:w="710" w:type="dxa"/>
            <w:vAlign w:val="center"/>
          </w:tcPr>
          <w:p w14:paraId="07F36C75" w14:textId="77777777" w:rsidR="00EB7B4C" w:rsidRPr="00CF042B" w:rsidRDefault="00EB7B4C" w:rsidP="00EB7B4C">
            <w:pPr>
              <w:numPr>
                <w:ilvl w:val="0"/>
                <w:numId w:val="1"/>
              </w:numPr>
              <w:contextualSpacing/>
              <w:jc w:val="center"/>
              <w:rPr>
                <w:rFonts w:eastAsia="Calibri" w:cs="Times New Roman"/>
                <w:sz w:val="24"/>
                <w:szCs w:val="24"/>
              </w:rPr>
            </w:pPr>
          </w:p>
        </w:tc>
        <w:tc>
          <w:tcPr>
            <w:tcW w:w="3147" w:type="dxa"/>
          </w:tcPr>
          <w:p w14:paraId="209479EE" w14:textId="77777777" w:rsidR="00EB7B4C" w:rsidRPr="00CF042B" w:rsidRDefault="00EB7B4C" w:rsidP="00BF6058">
            <w:pPr>
              <w:jc w:val="both"/>
              <w:rPr>
                <w:rFonts w:eastAsia="Times New Roman" w:cs="Times New Roman"/>
                <w:sz w:val="24"/>
                <w:szCs w:val="24"/>
              </w:rPr>
            </w:pPr>
            <w:r w:rsidRPr="00CF042B">
              <w:rPr>
                <w:rFonts w:eastAsia="Times New Roman" w:cs="Times New Roman"/>
                <w:sz w:val="24"/>
                <w:szCs w:val="24"/>
              </w:rPr>
              <w:t>Projekta īss saturs</w:t>
            </w:r>
          </w:p>
        </w:tc>
        <w:tc>
          <w:tcPr>
            <w:tcW w:w="5670" w:type="dxa"/>
          </w:tcPr>
          <w:p w14:paraId="2D3B0C94" w14:textId="0BC7B5FE" w:rsidR="00AA5406" w:rsidRPr="00BF5376" w:rsidRDefault="00AA5406" w:rsidP="00AA5406">
            <w:pPr>
              <w:ind w:firstLine="264"/>
              <w:jc w:val="both"/>
              <w:rPr>
                <w:rFonts w:eastAsia="Times New Roman" w:cs="Times New Roman"/>
                <w:iCs/>
                <w:sz w:val="24"/>
                <w:szCs w:val="24"/>
                <w:lang w:eastAsia="lv-LV"/>
              </w:rPr>
            </w:pPr>
            <w:r w:rsidRPr="00AA5406">
              <w:rPr>
                <w:rFonts w:cs="Times New Roman"/>
                <w:sz w:val="24"/>
                <w:szCs w:val="24"/>
              </w:rPr>
              <w:t xml:space="preserve">Grozījumu projekts izstrādāts, lai noteiktu, ka </w:t>
            </w:r>
            <w:r w:rsidRPr="00BF5376">
              <w:rPr>
                <w:rFonts w:eastAsia="Times New Roman" w:cs="Times New Roman"/>
                <w:iCs/>
                <w:sz w:val="24"/>
                <w:szCs w:val="24"/>
                <w:lang w:eastAsia="lv-LV"/>
              </w:rPr>
              <w:t>finansējuma saņēmējs aizpilda Pārskata par projekta dalībniekiem (pārskats) 2.tabulas 0.3., 0.4., 0.5., 2.1., 2.2., 2.2.1., 3.2., 3.2.1., 3.2.2., 3.2.3., 3.2.4., 3.2.5., 6., 8.1., 8.4. kolonu, ja dalībniekam nav Pilsonības un migrācijas lietu pārvaldes piešķirts personas kods.</w:t>
            </w:r>
          </w:p>
          <w:p w14:paraId="7B16667D" w14:textId="77FDD1FB" w:rsidR="00D929C3" w:rsidRPr="00D929C3" w:rsidRDefault="00AA5406" w:rsidP="00AA5406">
            <w:pPr>
              <w:jc w:val="both"/>
              <w:rPr>
                <w:rFonts w:cs="Times New Roman"/>
                <w:sz w:val="24"/>
                <w:szCs w:val="24"/>
              </w:rPr>
            </w:pPr>
            <w:r w:rsidRPr="00AA5406">
              <w:rPr>
                <w:rFonts w:cs="Times New Roman"/>
                <w:sz w:val="24"/>
                <w:szCs w:val="24"/>
              </w:rPr>
              <w:t>Ņemot vērā, ka dati, kas ir informācija par  dalībnieka vecumu, dzimumu, tā deklarēto dzīvesvie</w:t>
            </w:r>
            <w:r w:rsidRPr="00BF5376">
              <w:rPr>
                <w:rFonts w:cs="Times New Roman"/>
                <w:sz w:val="24"/>
                <w:szCs w:val="24"/>
              </w:rPr>
              <w:t>tu, kā arī</w:t>
            </w:r>
            <w:r w:rsidR="003C0817">
              <w:rPr>
                <w:rFonts w:cs="Times New Roman"/>
                <w:sz w:val="24"/>
                <w:szCs w:val="24"/>
              </w:rPr>
              <w:t>,</w:t>
            </w:r>
            <w:r w:rsidRPr="00BF5376">
              <w:rPr>
                <w:rFonts w:cs="Times New Roman"/>
                <w:sz w:val="24"/>
                <w:szCs w:val="24"/>
              </w:rPr>
              <w:t xml:space="preserve"> vai dalībnieks ir no lauku apvidiem</w:t>
            </w:r>
            <w:r w:rsidR="003C0817">
              <w:rPr>
                <w:rFonts w:cs="Times New Roman"/>
                <w:sz w:val="24"/>
                <w:szCs w:val="24"/>
              </w:rPr>
              <w:t>,</w:t>
            </w:r>
            <w:r w:rsidRPr="00BF5376">
              <w:rPr>
                <w:rFonts w:cs="Times New Roman"/>
                <w:sz w:val="24"/>
                <w:szCs w:val="24"/>
              </w:rPr>
              <w:t xml:space="preserve"> varētu būt nepieciešami pašam finansējuma saņēmējam, lai sasniegtu projektā noteikto mērķi un ir jāuzkrāj kā rādītāji, tad ar grozījumiem papildus tiek paredzēts izņēmums, ka pārskata 2. tabulas 0.3., 0.4., 0.5. un 6. kolonna nav obligāti aizpildāma, tādejādi finansējuma saņēmējs var izvēlēties sniegt attiecīgos datus sadarbības iestādei vai nē. Tomēr minētais izņēmums būs attiecināms pie nosacījuma, ja dalībniekam ir Pilsonības un migrācijas lietu pārvaldes piešķirts personas kods.</w:t>
            </w:r>
          </w:p>
        </w:tc>
      </w:tr>
      <w:tr w:rsidR="00EB7B4C" w:rsidRPr="00CF042B" w14:paraId="58A343B7" w14:textId="77777777" w:rsidTr="00E93659">
        <w:tc>
          <w:tcPr>
            <w:tcW w:w="710" w:type="dxa"/>
            <w:vAlign w:val="center"/>
          </w:tcPr>
          <w:p w14:paraId="7470D0D9" w14:textId="7F8BB43D" w:rsidR="00EB7B4C" w:rsidRPr="00CF042B" w:rsidRDefault="00EB7B4C" w:rsidP="00EB7B4C">
            <w:pPr>
              <w:numPr>
                <w:ilvl w:val="0"/>
                <w:numId w:val="1"/>
              </w:numPr>
              <w:contextualSpacing/>
              <w:jc w:val="center"/>
              <w:rPr>
                <w:rFonts w:eastAsia="Calibri" w:cs="Times New Roman"/>
                <w:sz w:val="24"/>
                <w:szCs w:val="24"/>
              </w:rPr>
            </w:pPr>
          </w:p>
        </w:tc>
        <w:tc>
          <w:tcPr>
            <w:tcW w:w="3147" w:type="dxa"/>
          </w:tcPr>
          <w:p w14:paraId="2708FF15" w14:textId="77777777" w:rsidR="00EB7B4C" w:rsidRPr="00CF042B" w:rsidRDefault="00EB7B4C" w:rsidP="00BF6058">
            <w:pPr>
              <w:jc w:val="both"/>
              <w:rPr>
                <w:rFonts w:eastAsia="Times New Roman" w:cs="Times New Roman"/>
                <w:sz w:val="24"/>
                <w:szCs w:val="24"/>
              </w:rPr>
            </w:pPr>
            <w:r w:rsidRPr="00CF042B">
              <w:rPr>
                <w:rFonts w:eastAsia="Times New Roman" w:cs="Times New Roman"/>
                <w:sz w:val="24"/>
                <w:szCs w:val="24"/>
              </w:rPr>
              <w:t>Iespējamie risinājuma varianti (ja nepieciešams)</w:t>
            </w:r>
          </w:p>
        </w:tc>
        <w:tc>
          <w:tcPr>
            <w:tcW w:w="5670" w:type="dxa"/>
          </w:tcPr>
          <w:p w14:paraId="1F2E91FC" w14:textId="4EDF24AE" w:rsidR="00EB7B4C" w:rsidRPr="00CF042B" w:rsidRDefault="006E4E4C" w:rsidP="00BF2FC7">
            <w:pPr>
              <w:jc w:val="both"/>
              <w:rPr>
                <w:rFonts w:eastAsia="Times New Roman" w:cs="Times New Roman"/>
                <w:sz w:val="24"/>
                <w:szCs w:val="24"/>
              </w:rPr>
            </w:pPr>
            <w:r w:rsidRPr="00CF042B">
              <w:rPr>
                <w:rFonts w:eastAsia="Times New Roman" w:cs="Times New Roman"/>
                <w:sz w:val="24"/>
                <w:szCs w:val="24"/>
              </w:rPr>
              <w:t>Nav citi risinājumi.</w:t>
            </w:r>
          </w:p>
        </w:tc>
      </w:tr>
      <w:tr w:rsidR="00EB7B4C" w:rsidRPr="00CF042B" w14:paraId="2886FEAF" w14:textId="77777777" w:rsidTr="00E93659">
        <w:tc>
          <w:tcPr>
            <w:tcW w:w="710" w:type="dxa"/>
            <w:vAlign w:val="center"/>
          </w:tcPr>
          <w:p w14:paraId="0A69B526" w14:textId="77777777" w:rsidR="00EB7B4C" w:rsidRPr="00CF042B" w:rsidRDefault="00EB7B4C" w:rsidP="00EB7B4C">
            <w:pPr>
              <w:numPr>
                <w:ilvl w:val="0"/>
                <w:numId w:val="1"/>
              </w:numPr>
              <w:contextualSpacing/>
              <w:jc w:val="center"/>
              <w:rPr>
                <w:rFonts w:eastAsia="Calibri" w:cs="Times New Roman"/>
                <w:sz w:val="24"/>
                <w:szCs w:val="24"/>
              </w:rPr>
            </w:pPr>
          </w:p>
        </w:tc>
        <w:tc>
          <w:tcPr>
            <w:tcW w:w="3147" w:type="dxa"/>
          </w:tcPr>
          <w:p w14:paraId="14573B57" w14:textId="77777777" w:rsidR="00EB7B4C" w:rsidRPr="00CF042B" w:rsidRDefault="00EB7B4C" w:rsidP="00BF6058">
            <w:pPr>
              <w:jc w:val="both"/>
              <w:rPr>
                <w:rFonts w:eastAsia="Times New Roman" w:cs="Times New Roman"/>
                <w:sz w:val="24"/>
                <w:szCs w:val="24"/>
              </w:rPr>
            </w:pPr>
            <w:r w:rsidRPr="00CF042B">
              <w:rPr>
                <w:rFonts w:eastAsia="Times New Roman" w:cs="Times New Roman"/>
                <w:sz w:val="24"/>
                <w:szCs w:val="24"/>
              </w:rPr>
              <w:t>Par projektu nosakāmā atbildīgā amatpersona</w:t>
            </w:r>
          </w:p>
        </w:tc>
        <w:tc>
          <w:tcPr>
            <w:tcW w:w="5670" w:type="dxa"/>
          </w:tcPr>
          <w:p w14:paraId="718C257C" w14:textId="0C823325" w:rsidR="00EB7B4C" w:rsidRPr="00CF042B" w:rsidRDefault="006E4E4C" w:rsidP="00467EE4">
            <w:pPr>
              <w:jc w:val="both"/>
              <w:rPr>
                <w:rFonts w:eastAsia="Times New Roman" w:cs="Times New Roman"/>
                <w:sz w:val="24"/>
                <w:szCs w:val="24"/>
              </w:rPr>
            </w:pPr>
            <w:r w:rsidRPr="00CF042B">
              <w:rPr>
                <w:rFonts w:eastAsia="Times New Roman" w:cs="Times New Roman"/>
                <w:sz w:val="24"/>
                <w:szCs w:val="24"/>
              </w:rPr>
              <w:t xml:space="preserve">ES fondu </w:t>
            </w:r>
            <w:r w:rsidR="00467EE4">
              <w:rPr>
                <w:rFonts w:eastAsia="Times New Roman" w:cs="Times New Roman"/>
                <w:sz w:val="24"/>
                <w:szCs w:val="24"/>
              </w:rPr>
              <w:t xml:space="preserve">sistēmas </w:t>
            </w:r>
            <w:r w:rsidRPr="00CF042B">
              <w:rPr>
                <w:rFonts w:eastAsia="Times New Roman" w:cs="Times New Roman"/>
                <w:sz w:val="24"/>
                <w:szCs w:val="24"/>
              </w:rPr>
              <w:t xml:space="preserve">vadības departamenta ES fondu tiesiskā nodrošinājuma nodaļas vadītāja </w:t>
            </w:r>
            <w:r w:rsidR="00467EE4">
              <w:rPr>
                <w:rFonts w:eastAsia="Times New Roman" w:cs="Times New Roman"/>
                <w:sz w:val="24"/>
                <w:szCs w:val="24"/>
              </w:rPr>
              <w:t>Zane Logina</w:t>
            </w:r>
          </w:p>
        </w:tc>
      </w:tr>
      <w:tr w:rsidR="00EB7B4C" w:rsidRPr="00CF042B" w14:paraId="5B37D115" w14:textId="77777777" w:rsidTr="00E93659">
        <w:tc>
          <w:tcPr>
            <w:tcW w:w="710" w:type="dxa"/>
            <w:vAlign w:val="center"/>
          </w:tcPr>
          <w:p w14:paraId="5DE54422" w14:textId="77777777" w:rsidR="00EB7B4C" w:rsidRPr="00CF042B" w:rsidRDefault="00EB7B4C" w:rsidP="00EB7B4C">
            <w:pPr>
              <w:numPr>
                <w:ilvl w:val="0"/>
                <w:numId w:val="1"/>
              </w:numPr>
              <w:contextualSpacing/>
              <w:jc w:val="center"/>
              <w:rPr>
                <w:rFonts w:eastAsia="Calibri" w:cs="Times New Roman"/>
                <w:sz w:val="24"/>
                <w:szCs w:val="24"/>
              </w:rPr>
            </w:pPr>
          </w:p>
        </w:tc>
        <w:tc>
          <w:tcPr>
            <w:tcW w:w="3147" w:type="dxa"/>
          </w:tcPr>
          <w:p w14:paraId="3F73ADE9" w14:textId="77777777" w:rsidR="00EB7B4C" w:rsidRPr="00CF042B" w:rsidRDefault="00EB7B4C" w:rsidP="00BF6058">
            <w:pPr>
              <w:jc w:val="both"/>
              <w:rPr>
                <w:rFonts w:eastAsia="Times New Roman" w:cs="Times New Roman"/>
                <w:sz w:val="24"/>
                <w:szCs w:val="24"/>
              </w:rPr>
            </w:pPr>
            <w:r w:rsidRPr="00CF042B">
              <w:rPr>
                <w:rFonts w:eastAsia="Times New Roman" w:cs="Times New Roman"/>
                <w:sz w:val="24"/>
                <w:szCs w:val="24"/>
              </w:rPr>
              <w:t>Nosakāmais projekta sagatavotājs (ja nepieciešams)</w:t>
            </w:r>
          </w:p>
        </w:tc>
        <w:tc>
          <w:tcPr>
            <w:tcW w:w="5670" w:type="dxa"/>
          </w:tcPr>
          <w:p w14:paraId="53E38A27" w14:textId="1B017D9B" w:rsidR="00EB7B4C" w:rsidRPr="00CF042B" w:rsidRDefault="006E4E4C" w:rsidP="00467EE4">
            <w:pPr>
              <w:jc w:val="both"/>
              <w:rPr>
                <w:rFonts w:eastAsia="Times New Roman" w:cs="Times New Roman"/>
                <w:sz w:val="24"/>
                <w:szCs w:val="24"/>
              </w:rPr>
            </w:pPr>
            <w:r w:rsidRPr="00CF042B">
              <w:rPr>
                <w:rFonts w:eastAsia="Times New Roman" w:cs="Times New Roman"/>
                <w:sz w:val="24"/>
                <w:szCs w:val="24"/>
              </w:rPr>
              <w:t xml:space="preserve">ES fondu </w:t>
            </w:r>
            <w:r w:rsidR="00467EE4">
              <w:rPr>
                <w:rFonts w:eastAsia="Times New Roman" w:cs="Times New Roman"/>
                <w:sz w:val="24"/>
                <w:szCs w:val="24"/>
              </w:rPr>
              <w:t xml:space="preserve">sistēmas </w:t>
            </w:r>
            <w:r w:rsidRPr="00CF042B">
              <w:rPr>
                <w:rFonts w:eastAsia="Times New Roman" w:cs="Times New Roman"/>
                <w:sz w:val="24"/>
                <w:szCs w:val="24"/>
              </w:rPr>
              <w:t xml:space="preserve">vadības departamenta ES fondu tiesiskā nodrošinājuma nodaļas </w:t>
            </w:r>
            <w:r w:rsidR="006B3350">
              <w:rPr>
                <w:rFonts w:eastAsia="Times New Roman" w:cs="Times New Roman"/>
                <w:sz w:val="24"/>
                <w:szCs w:val="24"/>
              </w:rPr>
              <w:t>vadītājas vietniece</w:t>
            </w:r>
            <w:r w:rsidRPr="00CF042B">
              <w:rPr>
                <w:rFonts w:eastAsia="Times New Roman" w:cs="Times New Roman"/>
                <w:sz w:val="24"/>
                <w:szCs w:val="24"/>
              </w:rPr>
              <w:t xml:space="preserve"> Inita Petrova</w:t>
            </w:r>
          </w:p>
        </w:tc>
      </w:tr>
      <w:tr w:rsidR="00EB7B4C" w:rsidRPr="00CF042B" w14:paraId="3DF462F1" w14:textId="77777777" w:rsidTr="00E93659">
        <w:tc>
          <w:tcPr>
            <w:tcW w:w="710" w:type="dxa"/>
            <w:vAlign w:val="center"/>
          </w:tcPr>
          <w:p w14:paraId="075D0772" w14:textId="77777777" w:rsidR="00EB7B4C" w:rsidRPr="00CF042B" w:rsidRDefault="00EB7B4C" w:rsidP="00EB7B4C">
            <w:pPr>
              <w:numPr>
                <w:ilvl w:val="0"/>
                <w:numId w:val="1"/>
              </w:numPr>
              <w:contextualSpacing/>
              <w:jc w:val="center"/>
              <w:rPr>
                <w:rFonts w:eastAsia="Calibri" w:cs="Times New Roman"/>
                <w:sz w:val="24"/>
                <w:szCs w:val="24"/>
              </w:rPr>
            </w:pPr>
          </w:p>
        </w:tc>
        <w:tc>
          <w:tcPr>
            <w:tcW w:w="3147" w:type="dxa"/>
          </w:tcPr>
          <w:p w14:paraId="16F35AB6" w14:textId="77777777" w:rsidR="00EB7B4C" w:rsidRPr="00CF042B" w:rsidRDefault="00EB7B4C" w:rsidP="00BF6058">
            <w:pPr>
              <w:jc w:val="both"/>
              <w:rPr>
                <w:rFonts w:eastAsia="Times New Roman" w:cs="Times New Roman"/>
                <w:sz w:val="24"/>
                <w:szCs w:val="24"/>
              </w:rPr>
            </w:pPr>
            <w:r w:rsidRPr="00CF042B">
              <w:rPr>
                <w:rFonts w:eastAsia="Times New Roman" w:cs="Times New Roman"/>
                <w:sz w:val="24"/>
                <w:szCs w:val="24"/>
              </w:rPr>
              <w:t>Darba grupas vadītājs un iespējamais sastāvs (ja nepieciešams)</w:t>
            </w:r>
          </w:p>
        </w:tc>
        <w:tc>
          <w:tcPr>
            <w:tcW w:w="5670" w:type="dxa"/>
          </w:tcPr>
          <w:p w14:paraId="10EBB7BC" w14:textId="4CF271C6" w:rsidR="00EB7B4C" w:rsidRPr="00CF042B" w:rsidRDefault="006E4E4C" w:rsidP="00BF2FC7">
            <w:pPr>
              <w:jc w:val="both"/>
              <w:rPr>
                <w:rFonts w:eastAsia="Times New Roman" w:cs="Times New Roman"/>
                <w:sz w:val="24"/>
                <w:szCs w:val="24"/>
              </w:rPr>
            </w:pPr>
            <w:r w:rsidRPr="00CF042B">
              <w:rPr>
                <w:rFonts w:eastAsia="Times New Roman" w:cs="Times New Roman"/>
                <w:sz w:val="24"/>
                <w:szCs w:val="24"/>
              </w:rPr>
              <w:t>Darba grupa nav nepieciešama.</w:t>
            </w:r>
          </w:p>
        </w:tc>
      </w:tr>
      <w:tr w:rsidR="001E55D5" w:rsidRPr="00CF042B" w14:paraId="60EADACE" w14:textId="77777777" w:rsidTr="00E93659">
        <w:tc>
          <w:tcPr>
            <w:tcW w:w="710" w:type="dxa"/>
            <w:vAlign w:val="center"/>
          </w:tcPr>
          <w:p w14:paraId="259DC61C" w14:textId="77777777" w:rsidR="001E55D5" w:rsidRPr="00CF042B" w:rsidRDefault="001E55D5" w:rsidP="00EB7B4C">
            <w:pPr>
              <w:numPr>
                <w:ilvl w:val="0"/>
                <w:numId w:val="1"/>
              </w:numPr>
              <w:contextualSpacing/>
              <w:jc w:val="center"/>
              <w:rPr>
                <w:rFonts w:eastAsia="Calibri" w:cs="Times New Roman"/>
                <w:sz w:val="24"/>
                <w:szCs w:val="24"/>
              </w:rPr>
            </w:pPr>
          </w:p>
        </w:tc>
        <w:tc>
          <w:tcPr>
            <w:tcW w:w="3147" w:type="dxa"/>
          </w:tcPr>
          <w:p w14:paraId="30C5DA18" w14:textId="61E1DF9A" w:rsidR="001E55D5" w:rsidRPr="00CF042B" w:rsidRDefault="001E55D5" w:rsidP="00BF6058">
            <w:pPr>
              <w:jc w:val="both"/>
              <w:rPr>
                <w:rFonts w:eastAsia="Times New Roman" w:cs="Times New Roman"/>
                <w:sz w:val="24"/>
                <w:szCs w:val="24"/>
              </w:rPr>
            </w:pPr>
            <w:r w:rsidRPr="00CF042B">
              <w:rPr>
                <w:rFonts w:eastAsia="Times New Roman" w:cs="Times New Roman"/>
                <w:b/>
                <w:sz w:val="24"/>
                <w:szCs w:val="24"/>
              </w:rPr>
              <w:t>Sabiedrības līdzdalība</w:t>
            </w:r>
          </w:p>
        </w:tc>
        <w:tc>
          <w:tcPr>
            <w:tcW w:w="5670" w:type="dxa"/>
          </w:tcPr>
          <w:p w14:paraId="64837192" w14:textId="77777777" w:rsidR="001E55D5" w:rsidRDefault="00CF47B2" w:rsidP="00AA5406">
            <w:pPr>
              <w:jc w:val="both"/>
              <w:rPr>
                <w:rFonts w:eastAsia="Times New Roman" w:cs="Times New Roman"/>
                <w:sz w:val="24"/>
                <w:szCs w:val="24"/>
              </w:rPr>
            </w:pPr>
            <w:r w:rsidRPr="00CF042B">
              <w:rPr>
                <w:rFonts w:eastAsia="Times New Roman" w:cs="Times New Roman"/>
                <w:sz w:val="24"/>
                <w:szCs w:val="24"/>
              </w:rPr>
              <w:t>Sabiedrības pārstāvji varēs līdzdarboties Ministru kabineta noteikumu izstrādē, sniedzot atzinumu par to pēc izsludināšanas Valsts sekretāru sanāksmē</w:t>
            </w:r>
            <w:r w:rsidR="003023C5">
              <w:rPr>
                <w:rFonts w:eastAsia="Times New Roman" w:cs="Times New Roman"/>
                <w:sz w:val="24"/>
                <w:szCs w:val="24"/>
              </w:rPr>
              <w:t>. N</w:t>
            </w:r>
            <w:r w:rsidR="00CF042B" w:rsidRPr="00CF042B">
              <w:rPr>
                <w:rFonts w:eastAsia="Times New Roman" w:cs="Times New Roman"/>
                <w:sz w:val="24"/>
                <w:szCs w:val="24"/>
              </w:rPr>
              <w:t>oteikumu projekts tiks publicēts Finanšu ministrijas</w:t>
            </w:r>
            <w:r w:rsidR="00B64033">
              <w:rPr>
                <w:rFonts w:eastAsia="Times New Roman" w:cs="Times New Roman"/>
                <w:sz w:val="24"/>
                <w:szCs w:val="24"/>
              </w:rPr>
              <w:t xml:space="preserve"> </w:t>
            </w:r>
            <w:r w:rsidR="00CF042B" w:rsidRPr="00CF042B">
              <w:rPr>
                <w:rFonts w:eastAsia="Times New Roman" w:cs="Times New Roman"/>
                <w:sz w:val="24"/>
                <w:szCs w:val="24"/>
              </w:rPr>
              <w:t>tīmekļa vietnē sadaļā “</w:t>
            </w:r>
            <w:r w:rsidR="00AA5406">
              <w:rPr>
                <w:rFonts w:eastAsia="Times New Roman" w:cs="Times New Roman"/>
                <w:sz w:val="24"/>
                <w:szCs w:val="24"/>
              </w:rPr>
              <w:t>ES publiskās konsultācijas</w:t>
            </w:r>
            <w:r w:rsidR="00CF042B" w:rsidRPr="00CF042B">
              <w:rPr>
                <w:rFonts w:eastAsia="Times New Roman" w:cs="Times New Roman"/>
                <w:sz w:val="24"/>
                <w:szCs w:val="24"/>
              </w:rPr>
              <w:t>”</w:t>
            </w:r>
            <w:r w:rsidR="00CF1972">
              <w:rPr>
                <w:rFonts w:eastAsia="Times New Roman" w:cs="Times New Roman"/>
                <w:sz w:val="24"/>
                <w:szCs w:val="24"/>
              </w:rPr>
              <w:t xml:space="preserve">, </w:t>
            </w:r>
            <w:r w:rsidR="00B64033">
              <w:rPr>
                <w:rFonts w:eastAsia="Times New Roman" w:cs="Times New Roman"/>
                <w:sz w:val="24"/>
                <w:szCs w:val="24"/>
              </w:rPr>
              <w:t>ES fondu tīmekļa vietnē sadaļā  “</w:t>
            </w:r>
            <w:r w:rsidR="00AA5406">
              <w:rPr>
                <w:rFonts w:eastAsia="Times New Roman" w:cs="Times New Roman"/>
                <w:sz w:val="24"/>
                <w:szCs w:val="24"/>
              </w:rPr>
              <w:t>Sabiedrības līdzdalība</w:t>
            </w:r>
            <w:r w:rsidR="00B64033">
              <w:rPr>
                <w:rFonts w:eastAsia="Times New Roman" w:cs="Times New Roman"/>
                <w:sz w:val="24"/>
                <w:szCs w:val="24"/>
              </w:rPr>
              <w:t>”</w:t>
            </w:r>
            <w:r w:rsidR="002F1D12">
              <w:rPr>
                <w:rFonts w:eastAsia="Times New Roman" w:cs="Times New Roman"/>
                <w:sz w:val="24"/>
                <w:szCs w:val="24"/>
              </w:rPr>
              <w:t>.</w:t>
            </w:r>
            <w:r w:rsidR="003023C5">
              <w:rPr>
                <w:rFonts w:eastAsia="Times New Roman" w:cs="Times New Roman"/>
                <w:sz w:val="24"/>
                <w:szCs w:val="24"/>
              </w:rPr>
              <w:t xml:space="preserve"> </w:t>
            </w:r>
          </w:p>
          <w:p w14:paraId="314C8DDB" w14:textId="6FE55409" w:rsidR="00BF5376" w:rsidRPr="00CF042B" w:rsidRDefault="00BF5376" w:rsidP="00AA5406">
            <w:pPr>
              <w:jc w:val="both"/>
              <w:rPr>
                <w:rFonts w:eastAsia="Times New Roman" w:cs="Times New Roman"/>
                <w:sz w:val="24"/>
                <w:szCs w:val="24"/>
              </w:rPr>
            </w:pPr>
            <w:r>
              <w:rPr>
                <w:rFonts w:eastAsia="Times New Roman" w:cs="Times New Roman"/>
                <w:sz w:val="24"/>
                <w:szCs w:val="24"/>
              </w:rPr>
              <w:t>Termiņš viedokļa sniegšanai – 08.02.2021.</w:t>
            </w:r>
          </w:p>
        </w:tc>
      </w:tr>
      <w:tr w:rsidR="00EB7B4C" w:rsidRPr="00CF042B" w14:paraId="2393C7A5" w14:textId="77777777" w:rsidTr="00E93659">
        <w:tc>
          <w:tcPr>
            <w:tcW w:w="710" w:type="dxa"/>
            <w:vAlign w:val="center"/>
          </w:tcPr>
          <w:p w14:paraId="63848181" w14:textId="77777777" w:rsidR="00EB7B4C" w:rsidRPr="00CF042B" w:rsidRDefault="00EB7B4C" w:rsidP="00EB7B4C">
            <w:pPr>
              <w:numPr>
                <w:ilvl w:val="0"/>
                <w:numId w:val="1"/>
              </w:numPr>
              <w:contextualSpacing/>
              <w:jc w:val="center"/>
              <w:rPr>
                <w:rFonts w:eastAsia="Calibri" w:cs="Times New Roman"/>
                <w:sz w:val="24"/>
                <w:szCs w:val="24"/>
              </w:rPr>
            </w:pPr>
          </w:p>
        </w:tc>
        <w:tc>
          <w:tcPr>
            <w:tcW w:w="3147" w:type="dxa"/>
          </w:tcPr>
          <w:p w14:paraId="6D69166A" w14:textId="77777777" w:rsidR="00EB7B4C" w:rsidRPr="00CF042B" w:rsidRDefault="00EB7B4C" w:rsidP="00BF6058">
            <w:pPr>
              <w:jc w:val="both"/>
              <w:rPr>
                <w:rFonts w:eastAsia="Times New Roman" w:cs="Times New Roman"/>
                <w:sz w:val="24"/>
                <w:szCs w:val="24"/>
              </w:rPr>
            </w:pPr>
            <w:r w:rsidRPr="00CF042B">
              <w:rPr>
                <w:rFonts w:eastAsia="Times New Roman" w:cs="Times New Roman"/>
                <w:sz w:val="24"/>
                <w:szCs w:val="24"/>
              </w:rPr>
              <w:t>Ministrijas struktūrvienības un padotības iestādēm ar kurām projekts jāsaskaņo</w:t>
            </w:r>
          </w:p>
        </w:tc>
        <w:tc>
          <w:tcPr>
            <w:tcW w:w="5670" w:type="dxa"/>
          </w:tcPr>
          <w:p w14:paraId="738DD791" w14:textId="09B8DA67" w:rsidR="00EB7B4C" w:rsidRPr="00BF5376" w:rsidRDefault="00BF5376" w:rsidP="00BF5376">
            <w:pPr>
              <w:jc w:val="both"/>
              <w:rPr>
                <w:rFonts w:eastAsia="Times New Roman" w:cs="Times New Roman"/>
                <w:sz w:val="24"/>
                <w:szCs w:val="24"/>
              </w:rPr>
            </w:pPr>
            <w:r w:rsidRPr="00BF5376">
              <w:rPr>
                <w:rFonts w:cs="Times New Roman"/>
                <w:sz w:val="24"/>
                <w:szCs w:val="24"/>
              </w:rPr>
              <w:t>ES fondu investīciju pārvaldības departaments</w:t>
            </w:r>
            <w:r w:rsidR="006E4E4C" w:rsidRPr="00BF5376">
              <w:rPr>
                <w:rFonts w:eastAsia="Times New Roman" w:cs="Times New Roman"/>
                <w:sz w:val="24"/>
                <w:szCs w:val="24"/>
              </w:rPr>
              <w:t>, ES fondu stratēģijas departaments,</w:t>
            </w:r>
            <w:r w:rsidR="00467EE4" w:rsidRPr="00BF5376">
              <w:rPr>
                <w:rFonts w:eastAsia="Times New Roman" w:cs="Times New Roman"/>
                <w:sz w:val="24"/>
                <w:szCs w:val="24"/>
              </w:rPr>
              <w:t xml:space="preserve"> </w:t>
            </w:r>
            <w:r w:rsidR="007F60CC" w:rsidRPr="00BF5376">
              <w:rPr>
                <w:rFonts w:eastAsia="Times New Roman" w:cs="Times New Roman"/>
                <w:sz w:val="24"/>
                <w:szCs w:val="24"/>
              </w:rPr>
              <w:t>Juridiskais departaments</w:t>
            </w:r>
            <w:r w:rsidR="006E4E4C" w:rsidRPr="00BF5376">
              <w:rPr>
                <w:rFonts w:eastAsia="Times New Roman" w:cs="Times New Roman"/>
                <w:sz w:val="24"/>
                <w:szCs w:val="24"/>
              </w:rPr>
              <w:t xml:space="preserve">, </w:t>
            </w:r>
            <w:r w:rsidR="00E90733" w:rsidRPr="00BF5376">
              <w:rPr>
                <w:rFonts w:eastAsia="Times New Roman" w:cs="Times New Roman"/>
                <w:sz w:val="24"/>
                <w:szCs w:val="24"/>
              </w:rPr>
              <w:t xml:space="preserve">ES fondu revīzijas departaments, </w:t>
            </w:r>
            <w:r w:rsidR="006E4E4C" w:rsidRPr="00BF5376">
              <w:rPr>
                <w:rFonts w:eastAsia="Times New Roman" w:cs="Times New Roman"/>
                <w:sz w:val="24"/>
                <w:szCs w:val="24"/>
              </w:rPr>
              <w:t>Centrālā finanšu un līgumu aģentūra</w:t>
            </w:r>
            <w:r w:rsidR="00D26C37" w:rsidRPr="00BF5376">
              <w:rPr>
                <w:rFonts w:eastAsia="Times New Roman" w:cs="Times New Roman"/>
                <w:sz w:val="24"/>
                <w:szCs w:val="24"/>
              </w:rPr>
              <w:t>.</w:t>
            </w:r>
          </w:p>
        </w:tc>
      </w:tr>
      <w:tr w:rsidR="00EB7B4C" w:rsidRPr="00CF042B" w14:paraId="039FEA7D" w14:textId="77777777" w:rsidTr="00E93659">
        <w:tc>
          <w:tcPr>
            <w:tcW w:w="710" w:type="dxa"/>
            <w:vAlign w:val="center"/>
          </w:tcPr>
          <w:p w14:paraId="775EC30E" w14:textId="77777777" w:rsidR="00EB7B4C" w:rsidRPr="00CF042B" w:rsidRDefault="00EB7B4C" w:rsidP="00EB7B4C">
            <w:pPr>
              <w:numPr>
                <w:ilvl w:val="0"/>
                <w:numId w:val="1"/>
              </w:numPr>
              <w:contextualSpacing/>
              <w:jc w:val="center"/>
              <w:rPr>
                <w:rFonts w:eastAsia="Calibri" w:cs="Times New Roman"/>
                <w:sz w:val="24"/>
                <w:szCs w:val="24"/>
              </w:rPr>
            </w:pPr>
          </w:p>
        </w:tc>
        <w:tc>
          <w:tcPr>
            <w:tcW w:w="3147" w:type="dxa"/>
          </w:tcPr>
          <w:p w14:paraId="096DE02F" w14:textId="77777777" w:rsidR="00EB7B4C" w:rsidRPr="00CF042B" w:rsidRDefault="00EB7B4C" w:rsidP="00BF6058">
            <w:pPr>
              <w:jc w:val="both"/>
              <w:rPr>
                <w:rFonts w:eastAsia="Times New Roman" w:cs="Times New Roman"/>
                <w:sz w:val="24"/>
                <w:szCs w:val="24"/>
              </w:rPr>
            </w:pPr>
            <w:r w:rsidRPr="00CF042B">
              <w:rPr>
                <w:rFonts w:eastAsia="Times New Roman" w:cs="Times New Roman"/>
                <w:sz w:val="24"/>
                <w:szCs w:val="24"/>
              </w:rPr>
              <w:t>Saskaņošanas termiņš</w:t>
            </w:r>
          </w:p>
        </w:tc>
        <w:tc>
          <w:tcPr>
            <w:tcW w:w="5670" w:type="dxa"/>
          </w:tcPr>
          <w:p w14:paraId="391D7770" w14:textId="1D983A75" w:rsidR="006E4E4C" w:rsidRPr="00487C38" w:rsidRDefault="006E4E4C" w:rsidP="006E4E4C">
            <w:pPr>
              <w:jc w:val="both"/>
              <w:rPr>
                <w:rFonts w:eastAsia="Times New Roman" w:cs="Times New Roman"/>
                <w:sz w:val="24"/>
                <w:szCs w:val="24"/>
              </w:rPr>
            </w:pPr>
            <w:r w:rsidRPr="00487C38">
              <w:rPr>
                <w:rFonts w:eastAsia="Times New Roman" w:cs="Times New Roman"/>
                <w:sz w:val="24"/>
                <w:szCs w:val="24"/>
              </w:rPr>
              <w:t xml:space="preserve">Nosūtīts struktūrvienībām saskaņošanai - </w:t>
            </w:r>
            <w:r w:rsidR="00BF5376">
              <w:rPr>
                <w:rFonts w:eastAsia="Times New Roman" w:cs="Times New Roman"/>
                <w:sz w:val="24"/>
                <w:szCs w:val="24"/>
              </w:rPr>
              <w:t>2</w:t>
            </w:r>
            <w:bookmarkStart w:id="0" w:name="_GoBack"/>
            <w:bookmarkEnd w:id="0"/>
            <w:r w:rsidR="00BF5376">
              <w:rPr>
                <w:rFonts w:eastAsia="Times New Roman" w:cs="Times New Roman"/>
                <w:sz w:val="24"/>
                <w:szCs w:val="24"/>
              </w:rPr>
              <w:t>5</w:t>
            </w:r>
            <w:r w:rsidR="00467EE4">
              <w:rPr>
                <w:rFonts w:eastAsia="Times New Roman" w:cs="Times New Roman"/>
                <w:sz w:val="24"/>
                <w:szCs w:val="24"/>
              </w:rPr>
              <w:t>.01.2021</w:t>
            </w:r>
            <w:r w:rsidRPr="00487C38">
              <w:rPr>
                <w:rFonts w:eastAsia="Times New Roman" w:cs="Times New Roman"/>
                <w:sz w:val="24"/>
                <w:szCs w:val="24"/>
              </w:rPr>
              <w:t>.</w:t>
            </w:r>
          </w:p>
          <w:p w14:paraId="573E145C" w14:textId="08A382B6" w:rsidR="00E02A0C" w:rsidRPr="00487C38" w:rsidRDefault="006E4E4C" w:rsidP="00BF5376">
            <w:pPr>
              <w:jc w:val="both"/>
              <w:rPr>
                <w:rFonts w:eastAsia="Times New Roman" w:cs="Times New Roman"/>
                <w:sz w:val="24"/>
                <w:szCs w:val="24"/>
              </w:rPr>
            </w:pPr>
            <w:r w:rsidRPr="00487C38">
              <w:rPr>
                <w:rFonts w:eastAsia="Times New Roman" w:cs="Times New Roman"/>
                <w:sz w:val="24"/>
                <w:szCs w:val="24"/>
              </w:rPr>
              <w:lastRenderedPageBreak/>
              <w:t xml:space="preserve">Atzinuma sniegšanas termiņš: </w:t>
            </w:r>
            <w:r w:rsidR="00BF5376">
              <w:rPr>
                <w:rFonts w:eastAsia="Times New Roman" w:cs="Times New Roman"/>
                <w:sz w:val="24"/>
                <w:szCs w:val="24"/>
              </w:rPr>
              <w:t>0</w:t>
            </w:r>
            <w:r w:rsidR="00AC55D2">
              <w:rPr>
                <w:rFonts w:eastAsia="Times New Roman" w:cs="Times New Roman"/>
                <w:sz w:val="24"/>
                <w:szCs w:val="24"/>
              </w:rPr>
              <w:t>1</w:t>
            </w:r>
            <w:r w:rsidR="00467EE4">
              <w:rPr>
                <w:rFonts w:eastAsia="Times New Roman" w:cs="Times New Roman"/>
                <w:sz w:val="24"/>
                <w:szCs w:val="24"/>
              </w:rPr>
              <w:t>.</w:t>
            </w:r>
            <w:r w:rsidR="00BF5376">
              <w:rPr>
                <w:rFonts w:eastAsia="Times New Roman" w:cs="Times New Roman"/>
                <w:sz w:val="24"/>
                <w:szCs w:val="24"/>
              </w:rPr>
              <w:t>02</w:t>
            </w:r>
            <w:r w:rsidR="00467EE4">
              <w:rPr>
                <w:rFonts w:eastAsia="Times New Roman" w:cs="Times New Roman"/>
                <w:sz w:val="24"/>
                <w:szCs w:val="24"/>
              </w:rPr>
              <w:t>.2021</w:t>
            </w:r>
            <w:r w:rsidRPr="00487C38">
              <w:rPr>
                <w:rFonts w:eastAsia="Times New Roman" w:cs="Times New Roman"/>
                <w:sz w:val="24"/>
                <w:szCs w:val="24"/>
              </w:rPr>
              <w:t>.</w:t>
            </w:r>
          </w:p>
        </w:tc>
      </w:tr>
      <w:tr w:rsidR="00EB7B4C" w:rsidRPr="00CF042B" w14:paraId="5AD03E43" w14:textId="77777777" w:rsidTr="00E93659">
        <w:tc>
          <w:tcPr>
            <w:tcW w:w="710" w:type="dxa"/>
            <w:vAlign w:val="center"/>
          </w:tcPr>
          <w:p w14:paraId="28F36174" w14:textId="729800EE" w:rsidR="00EB7B4C" w:rsidRPr="00CF042B" w:rsidRDefault="00EB7B4C" w:rsidP="00EB7B4C">
            <w:pPr>
              <w:numPr>
                <w:ilvl w:val="0"/>
                <w:numId w:val="1"/>
              </w:numPr>
              <w:contextualSpacing/>
              <w:jc w:val="center"/>
              <w:rPr>
                <w:rFonts w:eastAsia="Calibri" w:cs="Times New Roman"/>
                <w:sz w:val="24"/>
                <w:szCs w:val="24"/>
              </w:rPr>
            </w:pPr>
          </w:p>
        </w:tc>
        <w:tc>
          <w:tcPr>
            <w:tcW w:w="3147" w:type="dxa"/>
          </w:tcPr>
          <w:p w14:paraId="1BEE60C8" w14:textId="77777777" w:rsidR="00EB7B4C" w:rsidRPr="00CF042B" w:rsidRDefault="00EB7B4C" w:rsidP="00BF6058">
            <w:pPr>
              <w:jc w:val="both"/>
              <w:rPr>
                <w:rFonts w:eastAsia="Times New Roman" w:cs="Times New Roman"/>
                <w:sz w:val="24"/>
                <w:szCs w:val="24"/>
              </w:rPr>
            </w:pPr>
            <w:r w:rsidRPr="00CF042B">
              <w:rPr>
                <w:rFonts w:eastAsia="Times New Roman" w:cs="Times New Roman"/>
                <w:sz w:val="24"/>
                <w:szCs w:val="24"/>
              </w:rPr>
              <w:t>Prognozējamā projekta finansiālā ietekme uz valsts budžetu</w:t>
            </w:r>
          </w:p>
        </w:tc>
        <w:tc>
          <w:tcPr>
            <w:tcW w:w="5670" w:type="dxa"/>
          </w:tcPr>
          <w:p w14:paraId="230390A1" w14:textId="60C3F19F" w:rsidR="00EB7B4C" w:rsidRPr="00487C38" w:rsidRDefault="006E4E4C" w:rsidP="00BF2FC7">
            <w:pPr>
              <w:tabs>
                <w:tab w:val="num" w:pos="1440"/>
              </w:tabs>
              <w:jc w:val="both"/>
              <w:rPr>
                <w:rFonts w:eastAsia="Times New Roman" w:cs="Times New Roman"/>
                <w:sz w:val="24"/>
                <w:szCs w:val="24"/>
              </w:rPr>
            </w:pPr>
            <w:r w:rsidRPr="00487C38">
              <w:rPr>
                <w:rFonts w:eastAsia="Times New Roman" w:cs="Times New Roman"/>
                <w:sz w:val="24"/>
                <w:szCs w:val="24"/>
              </w:rPr>
              <w:t>Ministru kabineta noteikumu projekt</w:t>
            </w:r>
            <w:r w:rsidR="006B3350">
              <w:rPr>
                <w:rFonts w:eastAsia="Times New Roman" w:cs="Times New Roman"/>
                <w:sz w:val="24"/>
                <w:szCs w:val="24"/>
              </w:rPr>
              <w:t>a</w:t>
            </w:r>
            <w:r w:rsidRPr="00487C38">
              <w:rPr>
                <w:rFonts w:eastAsia="Times New Roman" w:cs="Times New Roman"/>
                <w:sz w:val="24"/>
                <w:szCs w:val="24"/>
              </w:rPr>
              <w:t xml:space="preserve"> finansiālā ietekme uz valsts budžetu netiek plānota.</w:t>
            </w:r>
          </w:p>
        </w:tc>
      </w:tr>
      <w:tr w:rsidR="00EB7B4C" w:rsidRPr="00CF042B" w14:paraId="3BA16DDF" w14:textId="77777777" w:rsidTr="00E93659">
        <w:tc>
          <w:tcPr>
            <w:tcW w:w="710" w:type="dxa"/>
            <w:vAlign w:val="center"/>
          </w:tcPr>
          <w:p w14:paraId="01F17F03" w14:textId="77777777" w:rsidR="00EB7B4C" w:rsidRPr="00CF042B" w:rsidRDefault="00EB7B4C" w:rsidP="00EB7B4C">
            <w:pPr>
              <w:numPr>
                <w:ilvl w:val="0"/>
                <w:numId w:val="1"/>
              </w:numPr>
              <w:contextualSpacing/>
              <w:jc w:val="center"/>
              <w:rPr>
                <w:rFonts w:eastAsia="Calibri" w:cs="Times New Roman"/>
                <w:sz w:val="24"/>
                <w:szCs w:val="24"/>
              </w:rPr>
            </w:pPr>
          </w:p>
        </w:tc>
        <w:tc>
          <w:tcPr>
            <w:tcW w:w="3147" w:type="dxa"/>
          </w:tcPr>
          <w:p w14:paraId="28A2546F" w14:textId="77777777" w:rsidR="00EB7B4C" w:rsidRPr="00CF042B" w:rsidRDefault="00EB7B4C" w:rsidP="00BF6058">
            <w:pPr>
              <w:jc w:val="both"/>
              <w:rPr>
                <w:rFonts w:eastAsia="Times New Roman" w:cs="Times New Roman"/>
                <w:sz w:val="24"/>
                <w:szCs w:val="24"/>
              </w:rPr>
            </w:pPr>
            <w:r w:rsidRPr="00CF042B">
              <w:rPr>
                <w:rFonts w:eastAsia="Times New Roman" w:cs="Times New Roman"/>
                <w:sz w:val="24"/>
                <w:szCs w:val="24"/>
              </w:rPr>
              <w:t>Tiesību akta pieņemšanas kalendārais plāns</w:t>
            </w:r>
          </w:p>
        </w:tc>
        <w:tc>
          <w:tcPr>
            <w:tcW w:w="5670" w:type="dxa"/>
          </w:tcPr>
          <w:p w14:paraId="6F398CEC" w14:textId="3992A87E" w:rsidR="00EB7B4C" w:rsidRPr="00487C38" w:rsidRDefault="00BF5376" w:rsidP="00BF2FC7">
            <w:pPr>
              <w:jc w:val="both"/>
              <w:rPr>
                <w:rFonts w:eastAsia="Times New Roman" w:cs="Times New Roman"/>
                <w:sz w:val="24"/>
                <w:szCs w:val="24"/>
              </w:rPr>
            </w:pPr>
            <w:r>
              <w:rPr>
                <w:rFonts w:eastAsia="Times New Roman" w:cs="Times New Roman"/>
                <w:sz w:val="24"/>
                <w:szCs w:val="24"/>
              </w:rPr>
              <w:t>25</w:t>
            </w:r>
            <w:r w:rsidR="006E4E4C" w:rsidRPr="00210518">
              <w:rPr>
                <w:rFonts w:eastAsia="Times New Roman" w:cs="Times New Roman"/>
                <w:sz w:val="24"/>
                <w:szCs w:val="24"/>
              </w:rPr>
              <w:t>.</w:t>
            </w:r>
            <w:r w:rsidR="00D33A6B" w:rsidRPr="00210518">
              <w:rPr>
                <w:rFonts w:eastAsia="Times New Roman" w:cs="Times New Roman"/>
                <w:sz w:val="24"/>
                <w:szCs w:val="24"/>
              </w:rPr>
              <w:t>0</w:t>
            </w:r>
            <w:r w:rsidR="00D33A6B">
              <w:rPr>
                <w:rFonts w:eastAsia="Times New Roman" w:cs="Times New Roman"/>
                <w:sz w:val="24"/>
                <w:szCs w:val="24"/>
              </w:rPr>
              <w:t>1</w:t>
            </w:r>
            <w:r w:rsidR="006E4E4C" w:rsidRPr="00210518">
              <w:rPr>
                <w:rFonts w:eastAsia="Times New Roman" w:cs="Times New Roman"/>
                <w:sz w:val="24"/>
                <w:szCs w:val="24"/>
              </w:rPr>
              <w:t>.</w:t>
            </w:r>
            <w:r w:rsidR="00C22399" w:rsidRPr="00210518">
              <w:rPr>
                <w:rFonts w:eastAsia="Times New Roman" w:cs="Times New Roman"/>
                <w:sz w:val="24"/>
                <w:szCs w:val="24"/>
              </w:rPr>
              <w:t>20</w:t>
            </w:r>
            <w:r w:rsidR="00D33A6B">
              <w:rPr>
                <w:rFonts w:eastAsia="Times New Roman" w:cs="Times New Roman"/>
                <w:sz w:val="24"/>
                <w:szCs w:val="24"/>
              </w:rPr>
              <w:t>21. -</w:t>
            </w:r>
            <w:r w:rsidR="004C6ED8" w:rsidRPr="00487C38">
              <w:rPr>
                <w:rFonts w:eastAsia="Times New Roman" w:cs="Times New Roman"/>
                <w:sz w:val="24"/>
                <w:szCs w:val="24"/>
              </w:rPr>
              <w:t>– projekts izsūtīts iekšējai saskaņošanai.</w:t>
            </w:r>
          </w:p>
          <w:p w14:paraId="5685D56C" w14:textId="03DA4642" w:rsidR="004C6ED8" w:rsidRPr="00487C38" w:rsidRDefault="00BF5376" w:rsidP="00BF2FC7">
            <w:pPr>
              <w:jc w:val="both"/>
              <w:rPr>
                <w:rFonts w:eastAsia="Times New Roman" w:cs="Times New Roman"/>
                <w:sz w:val="24"/>
                <w:szCs w:val="24"/>
              </w:rPr>
            </w:pPr>
            <w:r>
              <w:rPr>
                <w:rFonts w:eastAsia="Times New Roman" w:cs="Times New Roman"/>
                <w:sz w:val="24"/>
                <w:szCs w:val="24"/>
              </w:rPr>
              <w:t>11</w:t>
            </w:r>
            <w:r w:rsidR="006E4E4C" w:rsidRPr="00487C38">
              <w:rPr>
                <w:rFonts w:eastAsia="Times New Roman" w:cs="Times New Roman"/>
                <w:sz w:val="24"/>
                <w:szCs w:val="24"/>
              </w:rPr>
              <w:t>.</w:t>
            </w:r>
            <w:r w:rsidR="00D33A6B" w:rsidRPr="00487C38">
              <w:rPr>
                <w:rFonts w:eastAsia="Times New Roman" w:cs="Times New Roman"/>
                <w:sz w:val="24"/>
                <w:szCs w:val="24"/>
              </w:rPr>
              <w:t>0</w:t>
            </w:r>
            <w:r w:rsidR="00AC55D2">
              <w:rPr>
                <w:rFonts w:eastAsia="Times New Roman" w:cs="Times New Roman"/>
                <w:sz w:val="24"/>
                <w:szCs w:val="24"/>
              </w:rPr>
              <w:t>2</w:t>
            </w:r>
            <w:r w:rsidR="006E4E4C" w:rsidRPr="00487C38">
              <w:rPr>
                <w:rFonts w:eastAsia="Times New Roman" w:cs="Times New Roman"/>
                <w:sz w:val="24"/>
                <w:szCs w:val="24"/>
              </w:rPr>
              <w:t>.</w:t>
            </w:r>
            <w:r w:rsidR="00D33A6B" w:rsidRPr="00487C38">
              <w:rPr>
                <w:rFonts w:eastAsia="Times New Roman" w:cs="Times New Roman"/>
                <w:sz w:val="24"/>
                <w:szCs w:val="24"/>
              </w:rPr>
              <w:t>20</w:t>
            </w:r>
            <w:r w:rsidR="00D33A6B">
              <w:rPr>
                <w:rFonts w:eastAsia="Times New Roman" w:cs="Times New Roman"/>
                <w:sz w:val="24"/>
                <w:szCs w:val="24"/>
              </w:rPr>
              <w:t>21</w:t>
            </w:r>
            <w:r w:rsidR="006E4E4C" w:rsidRPr="00487C38">
              <w:rPr>
                <w:rFonts w:eastAsia="Times New Roman" w:cs="Times New Roman"/>
                <w:i/>
                <w:sz w:val="24"/>
                <w:szCs w:val="24"/>
              </w:rPr>
              <w:t>.</w:t>
            </w:r>
            <w:r w:rsidR="004C6ED8" w:rsidRPr="00487C38">
              <w:rPr>
                <w:rFonts w:eastAsia="Times New Roman" w:cs="Times New Roman"/>
                <w:sz w:val="24"/>
                <w:szCs w:val="24"/>
              </w:rPr>
              <w:t xml:space="preserve"> – </w:t>
            </w:r>
            <w:r w:rsidR="00593723" w:rsidRPr="00487C38">
              <w:rPr>
                <w:rFonts w:eastAsia="Times New Roman" w:cs="Times New Roman"/>
                <w:sz w:val="24"/>
                <w:szCs w:val="24"/>
              </w:rPr>
              <w:t xml:space="preserve">projekts tiks </w:t>
            </w:r>
            <w:r w:rsidR="00CF1972" w:rsidRPr="00487C38">
              <w:rPr>
                <w:rFonts w:eastAsia="Times New Roman" w:cs="Times New Roman"/>
                <w:sz w:val="24"/>
                <w:szCs w:val="24"/>
              </w:rPr>
              <w:t>iesniegts izs</w:t>
            </w:r>
            <w:r w:rsidR="003C0817">
              <w:rPr>
                <w:rFonts w:eastAsia="Times New Roman" w:cs="Times New Roman"/>
                <w:sz w:val="24"/>
                <w:szCs w:val="24"/>
              </w:rPr>
              <w:t>ludināšanai</w:t>
            </w:r>
            <w:r w:rsidR="00CF1972" w:rsidRPr="00487C38">
              <w:rPr>
                <w:rFonts w:eastAsia="Times New Roman" w:cs="Times New Roman"/>
                <w:sz w:val="24"/>
                <w:szCs w:val="24"/>
              </w:rPr>
              <w:t xml:space="preserve"> </w:t>
            </w:r>
            <w:r w:rsidR="00593723" w:rsidRPr="00487C38">
              <w:rPr>
                <w:rFonts w:eastAsia="Times New Roman" w:cs="Times New Roman"/>
                <w:sz w:val="24"/>
                <w:szCs w:val="24"/>
              </w:rPr>
              <w:t>VSS.</w:t>
            </w:r>
          </w:p>
          <w:p w14:paraId="768DDE98" w14:textId="25C710E2" w:rsidR="004C6ED8" w:rsidRPr="00487C38" w:rsidRDefault="00AC55D2" w:rsidP="00D33A6B">
            <w:pPr>
              <w:jc w:val="both"/>
              <w:rPr>
                <w:rFonts w:eastAsia="Times New Roman" w:cs="Times New Roman"/>
                <w:sz w:val="24"/>
                <w:szCs w:val="24"/>
              </w:rPr>
            </w:pPr>
            <w:r>
              <w:rPr>
                <w:rFonts w:eastAsia="Times New Roman" w:cs="Times New Roman"/>
                <w:sz w:val="24"/>
                <w:szCs w:val="24"/>
              </w:rPr>
              <w:t>09.03</w:t>
            </w:r>
            <w:r w:rsidR="006E4E4C" w:rsidRPr="00487C38">
              <w:rPr>
                <w:rFonts w:eastAsia="Times New Roman" w:cs="Times New Roman"/>
                <w:sz w:val="24"/>
                <w:szCs w:val="24"/>
              </w:rPr>
              <w:t>.</w:t>
            </w:r>
            <w:r w:rsidR="00D33A6B">
              <w:rPr>
                <w:rFonts w:eastAsia="Times New Roman" w:cs="Times New Roman"/>
                <w:sz w:val="24"/>
                <w:szCs w:val="24"/>
              </w:rPr>
              <w:t>2021</w:t>
            </w:r>
            <w:r w:rsidR="004C6ED8" w:rsidRPr="00487C38">
              <w:rPr>
                <w:rFonts w:eastAsia="Times New Roman" w:cs="Times New Roman"/>
                <w:sz w:val="24"/>
                <w:szCs w:val="24"/>
              </w:rPr>
              <w:t xml:space="preserve"> –</w:t>
            </w:r>
            <w:r w:rsidR="001E1924" w:rsidRPr="00487C38">
              <w:rPr>
                <w:rFonts w:eastAsia="Times New Roman" w:cs="Times New Roman"/>
                <w:sz w:val="24"/>
                <w:szCs w:val="24"/>
              </w:rPr>
              <w:t xml:space="preserve"> p</w:t>
            </w:r>
            <w:r w:rsidR="004C6ED8" w:rsidRPr="00487C38">
              <w:rPr>
                <w:rFonts w:eastAsia="Times New Roman" w:cs="Times New Roman"/>
                <w:sz w:val="24"/>
                <w:szCs w:val="24"/>
              </w:rPr>
              <w:t>rojekts tiks</w:t>
            </w:r>
            <w:r w:rsidR="00AD6E7F" w:rsidRPr="00487C38">
              <w:rPr>
                <w:rFonts w:eastAsia="Times New Roman" w:cs="Times New Roman"/>
                <w:sz w:val="24"/>
                <w:szCs w:val="24"/>
              </w:rPr>
              <w:t xml:space="preserve"> </w:t>
            </w:r>
            <w:r w:rsidR="00CF1972" w:rsidRPr="00487C38">
              <w:rPr>
                <w:rFonts w:eastAsia="Times New Roman" w:cs="Times New Roman"/>
                <w:sz w:val="24"/>
                <w:szCs w:val="24"/>
              </w:rPr>
              <w:t xml:space="preserve">iesniegts izskatīšanai </w:t>
            </w:r>
            <w:r w:rsidR="004C6ED8" w:rsidRPr="00487C38">
              <w:rPr>
                <w:rFonts w:eastAsia="Times New Roman" w:cs="Times New Roman"/>
                <w:sz w:val="24"/>
                <w:szCs w:val="24"/>
              </w:rPr>
              <w:t>MK.</w:t>
            </w:r>
          </w:p>
        </w:tc>
      </w:tr>
      <w:tr w:rsidR="00EB7B4C" w:rsidRPr="00CF042B" w14:paraId="70B67449" w14:textId="77777777" w:rsidTr="00E93659">
        <w:tc>
          <w:tcPr>
            <w:tcW w:w="710" w:type="dxa"/>
            <w:tcBorders>
              <w:bottom w:val="single" w:sz="4" w:space="0" w:color="000000"/>
            </w:tcBorders>
            <w:vAlign w:val="center"/>
          </w:tcPr>
          <w:p w14:paraId="3B00D935" w14:textId="605A6BA7" w:rsidR="00EB7B4C" w:rsidRPr="00CF042B" w:rsidRDefault="00EB7B4C" w:rsidP="00EB7B4C">
            <w:pPr>
              <w:numPr>
                <w:ilvl w:val="0"/>
                <w:numId w:val="1"/>
              </w:numPr>
              <w:contextualSpacing/>
              <w:jc w:val="center"/>
              <w:rPr>
                <w:rFonts w:eastAsia="Calibri" w:cs="Times New Roman"/>
                <w:sz w:val="24"/>
                <w:szCs w:val="24"/>
              </w:rPr>
            </w:pPr>
          </w:p>
        </w:tc>
        <w:tc>
          <w:tcPr>
            <w:tcW w:w="3147" w:type="dxa"/>
            <w:tcBorders>
              <w:bottom w:val="single" w:sz="4" w:space="0" w:color="000000"/>
            </w:tcBorders>
          </w:tcPr>
          <w:p w14:paraId="2A998DE3" w14:textId="77777777" w:rsidR="00EB7B4C" w:rsidRPr="00CF042B" w:rsidRDefault="00EB7B4C" w:rsidP="00BF6058">
            <w:pPr>
              <w:jc w:val="both"/>
              <w:rPr>
                <w:rFonts w:eastAsia="Times New Roman" w:cs="Times New Roman"/>
                <w:sz w:val="24"/>
                <w:szCs w:val="24"/>
              </w:rPr>
            </w:pPr>
            <w:r w:rsidRPr="00CF042B">
              <w:rPr>
                <w:rFonts w:eastAsia="Times New Roman" w:cs="Times New Roman"/>
                <w:sz w:val="24"/>
                <w:szCs w:val="24"/>
              </w:rPr>
              <w:t>Uzziņas sagatavotājs</w:t>
            </w:r>
          </w:p>
        </w:tc>
        <w:tc>
          <w:tcPr>
            <w:tcW w:w="5670" w:type="dxa"/>
            <w:tcBorders>
              <w:bottom w:val="single" w:sz="4" w:space="0" w:color="000000"/>
            </w:tcBorders>
          </w:tcPr>
          <w:p w14:paraId="5FE509D1" w14:textId="0FB12C69" w:rsidR="00EB7B4C" w:rsidRPr="00487C38" w:rsidRDefault="0067183D" w:rsidP="00D33A6B">
            <w:pPr>
              <w:jc w:val="both"/>
              <w:rPr>
                <w:rFonts w:eastAsia="Times New Roman" w:cs="Times New Roman"/>
                <w:sz w:val="24"/>
                <w:szCs w:val="24"/>
              </w:rPr>
            </w:pPr>
            <w:r w:rsidRPr="00487C38">
              <w:rPr>
                <w:rFonts w:eastAsia="Times New Roman" w:cs="Times New Roman"/>
                <w:sz w:val="24"/>
                <w:szCs w:val="24"/>
              </w:rPr>
              <w:t xml:space="preserve">ES fondu </w:t>
            </w:r>
            <w:r w:rsidR="00D33A6B">
              <w:rPr>
                <w:rFonts w:eastAsia="Times New Roman" w:cs="Times New Roman"/>
                <w:sz w:val="24"/>
                <w:szCs w:val="24"/>
              </w:rPr>
              <w:t>sistēmas vadības</w:t>
            </w:r>
            <w:r w:rsidRPr="00487C38">
              <w:rPr>
                <w:rFonts w:eastAsia="Times New Roman" w:cs="Times New Roman"/>
                <w:sz w:val="24"/>
                <w:szCs w:val="24"/>
              </w:rPr>
              <w:t xml:space="preserve"> departamenta ES fondu tiesiskā nodrošinājuma nodaļas </w:t>
            </w:r>
            <w:r w:rsidR="006B3350">
              <w:rPr>
                <w:rFonts w:eastAsia="Times New Roman" w:cs="Times New Roman"/>
                <w:sz w:val="24"/>
                <w:szCs w:val="24"/>
              </w:rPr>
              <w:t>vadītājas vietniece</w:t>
            </w:r>
            <w:r w:rsidRPr="00487C38">
              <w:rPr>
                <w:rFonts w:eastAsia="Times New Roman" w:cs="Times New Roman"/>
                <w:sz w:val="24"/>
                <w:szCs w:val="24"/>
              </w:rPr>
              <w:t xml:space="preserve"> Inita Petrova</w:t>
            </w:r>
          </w:p>
        </w:tc>
      </w:tr>
    </w:tbl>
    <w:p w14:paraId="0A15CE32" w14:textId="77777777" w:rsidR="00E45D47" w:rsidRPr="00CF042B" w:rsidRDefault="00E45D47" w:rsidP="00D139C9">
      <w:pPr>
        <w:rPr>
          <w:sz w:val="24"/>
          <w:szCs w:val="24"/>
        </w:rPr>
      </w:pPr>
    </w:p>
    <w:sectPr w:rsidR="00E45D47" w:rsidRPr="00CF042B" w:rsidSect="00F706E7">
      <w:footerReference w:type="default" r:id="rId11"/>
      <w:footerReference w:type="first" r:id="rId12"/>
      <w:pgSz w:w="11906" w:h="16838"/>
      <w:pgMar w:top="567" w:right="851" w:bottom="851"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53ECD2" w14:textId="77777777" w:rsidR="00EC1B49" w:rsidRDefault="00EC1B49" w:rsidP="00D326F8">
      <w:r>
        <w:separator/>
      </w:r>
    </w:p>
  </w:endnote>
  <w:endnote w:type="continuationSeparator" w:id="0">
    <w:p w14:paraId="4FD6E0E7" w14:textId="77777777" w:rsidR="00EC1B49" w:rsidRDefault="00EC1B49" w:rsidP="00D32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kChampa">
    <w:altName w:val="Microsoft Sans Serif"/>
    <w:charset w:val="DE"/>
    <w:family w:val="swiss"/>
    <w:pitch w:val="variable"/>
    <w:sig w:usb0="83000003" w:usb1="00000000" w:usb2="00000000" w:usb3="00000000" w:csb0="00010001"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8983B" w14:textId="6B58BA06" w:rsidR="00D326F8" w:rsidRPr="0067183D" w:rsidRDefault="000213F1" w:rsidP="0067183D">
    <w:pPr>
      <w:spacing w:after="120"/>
      <w:jc w:val="both"/>
      <w:rPr>
        <w:noProof/>
        <w:sz w:val="20"/>
        <w:szCs w:val="20"/>
      </w:rPr>
    </w:pPr>
    <w:r w:rsidRPr="000213F1">
      <w:rPr>
        <w:sz w:val="20"/>
        <w:szCs w:val="20"/>
      </w:rPr>
      <w:t>FMuzzina_</w:t>
    </w:r>
    <w:r w:rsidR="00BF5376">
      <w:rPr>
        <w:sz w:val="20"/>
        <w:szCs w:val="20"/>
      </w:rPr>
      <w:t>190121</w:t>
    </w:r>
    <w:r w:rsidRPr="000213F1">
      <w:rPr>
        <w:sz w:val="20"/>
        <w:szCs w:val="20"/>
      </w:rPr>
      <w:t xml:space="preserve">_MK </w:t>
    </w:r>
    <w:r w:rsidR="00BF5376">
      <w:rPr>
        <w:sz w:val="20"/>
        <w:szCs w:val="20"/>
      </w:rPr>
      <w:t>77</w:t>
    </w:r>
    <w:r w:rsidRPr="000213F1">
      <w:rPr>
        <w:sz w:val="20"/>
        <w:szCs w:val="20"/>
      </w:rPr>
      <w:t xml:space="preserve">; </w:t>
    </w:r>
    <w:r w:rsidR="00BF5376" w:rsidRPr="00BF5376">
      <w:rPr>
        <w:sz w:val="20"/>
        <w:szCs w:val="20"/>
      </w:rPr>
      <w:t>Ministru kabineta noteikumu projekts “Grozījums Ministru kabineta 2015. gada 10. februāra noteikumos Nr. 77 “Eiropas Savienības struktūrfondu un Kohēzijas fonda projektu pārbaužu veikšanas kārtība 2014.–2020. gada plānošanas periodā””</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FB124" w14:textId="1F8E22BA" w:rsidR="00AC49DB" w:rsidRPr="0067183D" w:rsidRDefault="00C22399" w:rsidP="0067183D">
    <w:pPr>
      <w:jc w:val="both"/>
      <w:rPr>
        <w:sz w:val="20"/>
        <w:szCs w:val="20"/>
      </w:rPr>
    </w:pPr>
    <w:r w:rsidRPr="00C22399">
      <w:rPr>
        <w:sz w:val="20"/>
        <w:szCs w:val="20"/>
      </w:rPr>
      <w:t>FMuzzina_</w:t>
    </w:r>
    <w:r w:rsidR="00BF5376">
      <w:rPr>
        <w:sz w:val="20"/>
        <w:szCs w:val="20"/>
      </w:rPr>
      <w:t>190121</w:t>
    </w:r>
    <w:r w:rsidRPr="00C22399">
      <w:rPr>
        <w:sz w:val="20"/>
        <w:szCs w:val="20"/>
      </w:rPr>
      <w:t xml:space="preserve">_MK </w:t>
    </w:r>
    <w:r w:rsidR="00BF5376">
      <w:rPr>
        <w:sz w:val="20"/>
        <w:szCs w:val="20"/>
      </w:rPr>
      <w:t>77</w:t>
    </w:r>
    <w:r w:rsidRPr="00C22399">
      <w:rPr>
        <w:sz w:val="20"/>
        <w:szCs w:val="20"/>
      </w:rPr>
      <w:t xml:space="preserve">; </w:t>
    </w:r>
    <w:r w:rsidR="00BF5376" w:rsidRPr="00BF5376">
      <w:rPr>
        <w:sz w:val="20"/>
        <w:szCs w:val="20"/>
      </w:rPr>
      <w:t>Ministru kabineta noteikumu projekts “Grozījums Ministru kabineta 2015. gada 10. februāra noteikumos Nr. 77 “Eiropas Savienības struktūrfondu un Kohēzijas fonda projektu pārbaužu veikšanas kārtība 2014.–2020. gada plānošanas periodā””</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1BFA31" w14:textId="77777777" w:rsidR="00EC1B49" w:rsidRDefault="00EC1B49" w:rsidP="00D326F8">
      <w:r>
        <w:separator/>
      </w:r>
    </w:p>
  </w:footnote>
  <w:footnote w:type="continuationSeparator" w:id="0">
    <w:p w14:paraId="013B9A72" w14:textId="77777777" w:rsidR="00EC1B49" w:rsidRDefault="00EC1B49" w:rsidP="00D326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CD00C9"/>
    <w:multiLevelType w:val="hybridMultilevel"/>
    <w:tmpl w:val="1EA04DEA"/>
    <w:lvl w:ilvl="0" w:tplc="7E0634C8">
      <w:start w:val="1"/>
      <w:numFmt w:val="decimal"/>
      <w:lvlText w:val="%1."/>
      <w:lvlJc w:val="center"/>
      <w:pPr>
        <w:ind w:left="644" w:hanging="360"/>
      </w:pPr>
      <w:rPr>
        <w:rFonts w:ascii="Times New Roman" w:hAnsi="Times New Roman"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A486600"/>
    <w:multiLevelType w:val="hybridMultilevel"/>
    <w:tmpl w:val="149604DC"/>
    <w:lvl w:ilvl="0" w:tplc="BB4E5632">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4D3C49E3"/>
    <w:multiLevelType w:val="hybridMultilevel"/>
    <w:tmpl w:val="2140EC76"/>
    <w:lvl w:ilvl="0" w:tplc="BA7A54B6">
      <w:start w:val="1426"/>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4E974840"/>
    <w:multiLevelType w:val="hybridMultilevel"/>
    <w:tmpl w:val="0262AE6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5BC96A6B"/>
    <w:multiLevelType w:val="hybridMultilevel"/>
    <w:tmpl w:val="D882A90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0"/>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B4C"/>
    <w:rsid w:val="000016ED"/>
    <w:rsid w:val="000213F1"/>
    <w:rsid w:val="000422DF"/>
    <w:rsid w:val="00046575"/>
    <w:rsid w:val="000528D5"/>
    <w:rsid w:val="00063E42"/>
    <w:rsid w:val="000819AE"/>
    <w:rsid w:val="0008722C"/>
    <w:rsid w:val="000A0085"/>
    <w:rsid w:val="000A68EA"/>
    <w:rsid w:val="000C4746"/>
    <w:rsid w:val="000E1909"/>
    <w:rsid w:val="000F4390"/>
    <w:rsid w:val="00106411"/>
    <w:rsid w:val="00127352"/>
    <w:rsid w:val="00132438"/>
    <w:rsid w:val="00136216"/>
    <w:rsid w:val="00140F32"/>
    <w:rsid w:val="00147400"/>
    <w:rsid w:val="001578E2"/>
    <w:rsid w:val="001633D6"/>
    <w:rsid w:val="00175E09"/>
    <w:rsid w:val="00191976"/>
    <w:rsid w:val="001922F6"/>
    <w:rsid w:val="001A331B"/>
    <w:rsid w:val="001B192E"/>
    <w:rsid w:val="001B2C39"/>
    <w:rsid w:val="001B2E64"/>
    <w:rsid w:val="001B6DAB"/>
    <w:rsid w:val="001C1083"/>
    <w:rsid w:val="001C7B02"/>
    <w:rsid w:val="001D186B"/>
    <w:rsid w:val="001D2ADB"/>
    <w:rsid w:val="001D33E2"/>
    <w:rsid w:val="001E02A2"/>
    <w:rsid w:val="001E1924"/>
    <w:rsid w:val="001E195A"/>
    <w:rsid w:val="001E55D5"/>
    <w:rsid w:val="001F283E"/>
    <w:rsid w:val="00210518"/>
    <w:rsid w:val="002671FC"/>
    <w:rsid w:val="0027007B"/>
    <w:rsid w:val="00281461"/>
    <w:rsid w:val="002A26B6"/>
    <w:rsid w:val="002A7F12"/>
    <w:rsid w:val="002B20FC"/>
    <w:rsid w:val="002B4DDE"/>
    <w:rsid w:val="002B743E"/>
    <w:rsid w:val="002C6448"/>
    <w:rsid w:val="002E4E68"/>
    <w:rsid w:val="002F1D12"/>
    <w:rsid w:val="003023C5"/>
    <w:rsid w:val="003038A6"/>
    <w:rsid w:val="00306C99"/>
    <w:rsid w:val="00315E1C"/>
    <w:rsid w:val="00317297"/>
    <w:rsid w:val="00374AEC"/>
    <w:rsid w:val="003775E6"/>
    <w:rsid w:val="00382479"/>
    <w:rsid w:val="00383258"/>
    <w:rsid w:val="00386110"/>
    <w:rsid w:val="003903BD"/>
    <w:rsid w:val="00391919"/>
    <w:rsid w:val="003B0532"/>
    <w:rsid w:val="003B1A2F"/>
    <w:rsid w:val="003C0817"/>
    <w:rsid w:val="003C4EF2"/>
    <w:rsid w:val="003D703D"/>
    <w:rsid w:val="003F577E"/>
    <w:rsid w:val="0042225C"/>
    <w:rsid w:val="004457B4"/>
    <w:rsid w:val="00451DA9"/>
    <w:rsid w:val="00452AB5"/>
    <w:rsid w:val="00460333"/>
    <w:rsid w:val="00467EE4"/>
    <w:rsid w:val="00470F5E"/>
    <w:rsid w:val="00472AE4"/>
    <w:rsid w:val="00477203"/>
    <w:rsid w:val="00485316"/>
    <w:rsid w:val="00487C38"/>
    <w:rsid w:val="004A42DE"/>
    <w:rsid w:val="004C6ED8"/>
    <w:rsid w:val="004E0537"/>
    <w:rsid w:val="004E3147"/>
    <w:rsid w:val="004F7797"/>
    <w:rsid w:val="00501C46"/>
    <w:rsid w:val="00516346"/>
    <w:rsid w:val="005171D8"/>
    <w:rsid w:val="00546D4C"/>
    <w:rsid w:val="00574668"/>
    <w:rsid w:val="00580102"/>
    <w:rsid w:val="005911AF"/>
    <w:rsid w:val="00591DDB"/>
    <w:rsid w:val="00593723"/>
    <w:rsid w:val="005B70A8"/>
    <w:rsid w:val="005C20A1"/>
    <w:rsid w:val="005D142D"/>
    <w:rsid w:val="005E0FE8"/>
    <w:rsid w:val="005F25F6"/>
    <w:rsid w:val="006067E9"/>
    <w:rsid w:val="00624971"/>
    <w:rsid w:val="00645D7C"/>
    <w:rsid w:val="00646829"/>
    <w:rsid w:val="0067183D"/>
    <w:rsid w:val="00677246"/>
    <w:rsid w:val="00683CC7"/>
    <w:rsid w:val="006A3C12"/>
    <w:rsid w:val="006B3350"/>
    <w:rsid w:val="006B6612"/>
    <w:rsid w:val="006E4E4C"/>
    <w:rsid w:val="006E776B"/>
    <w:rsid w:val="006F5EFB"/>
    <w:rsid w:val="00700059"/>
    <w:rsid w:val="0071329E"/>
    <w:rsid w:val="00714E95"/>
    <w:rsid w:val="007173EC"/>
    <w:rsid w:val="0075029E"/>
    <w:rsid w:val="007775C0"/>
    <w:rsid w:val="00794FE8"/>
    <w:rsid w:val="007C31C0"/>
    <w:rsid w:val="007C5B28"/>
    <w:rsid w:val="007F60CC"/>
    <w:rsid w:val="00821947"/>
    <w:rsid w:val="00824ADF"/>
    <w:rsid w:val="00835B7D"/>
    <w:rsid w:val="00837FB9"/>
    <w:rsid w:val="008420B6"/>
    <w:rsid w:val="00861578"/>
    <w:rsid w:val="008712E1"/>
    <w:rsid w:val="00871715"/>
    <w:rsid w:val="00886125"/>
    <w:rsid w:val="008879F5"/>
    <w:rsid w:val="00894741"/>
    <w:rsid w:val="008A21E8"/>
    <w:rsid w:val="008A75E2"/>
    <w:rsid w:val="008B6666"/>
    <w:rsid w:val="008E42E1"/>
    <w:rsid w:val="009138FC"/>
    <w:rsid w:val="009174C8"/>
    <w:rsid w:val="00925D7B"/>
    <w:rsid w:val="00926EE8"/>
    <w:rsid w:val="009319A9"/>
    <w:rsid w:val="009750AB"/>
    <w:rsid w:val="00984A26"/>
    <w:rsid w:val="00987241"/>
    <w:rsid w:val="009A412B"/>
    <w:rsid w:val="009F0303"/>
    <w:rsid w:val="009F33E0"/>
    <w:rsid w:val="00A30343"/>
    <w:rsid w:val="00A30F22"/>
    <w:rsid w:val="00A44C88"/>
    <w:rsid w:val="00A72441"/>
    <w:rsid w:val="00AA4E07"/>
    <w:rsid w:val="00AA5406"/>
    <w:rsid w:val="00AB0DF0"/>
    <w:rsid w:val="00AC49DB"/>
    <w:rsid w:val="00AC55D2"/>
    <w:rsid w:val="00AD1977"/>
    <w:rsid w:val="00AD6E7F"/>
    <w:rsid w:val="00B517DE"/>
    <w:rsid w:val="00B51E1D"/>
    <w:rsid w:val="00B624B7"/>
    <w:rsid w:val="00B64033"/>
    <w:rsid w:val="00B659FF"/>
    <w:rsid w:val="00B66018"/>
    <w:rsid w:val="00B762C1"/>
    <w:rsid w:val="00B82031"/>
    <w:rsid w:val="00BA50B6"/>
    <w:rsid w:val="00BA683C"/>
    <w:rsid w:val="00BC348B"/>
    <w:rsid w:val="00BC45AF"/>
    <w:rsid w:val="00BE7D9C"/>
    <w:rsid w:val="00BF0534"/>
    <w:rsid w:val="00BF1DC4"/>
    <w:rsid w:val="00BF2FC7"/>
    <w:rsid w:val="00BF5376"/>
    <w:rsid w:val="00C11190"/>
    <w:rsid w:val="00C22399"/>
    <w:rsid w:val="00C22CB4"/>
    <w:rsid w:val="00C371BB"/>
    <w:rsid w:val="00C46DBF"/>
    <w:rsid w:val="00C51453"/>
    <w:rsid w:val="00C52646"/>
    <w:rsid w:val="00C6330D"/>
    <w:rsid w:val="00C67E33"/>
    <w:rsid w:val="00C772D7"/>
    <w:rsid w:val="00C85008"/>
    <w:rsid w:val="00CA6D21"/>
    <w:rsid w:val="00CB22E4"/>
    <w:rsid w:val="00CC0CE3"/>
    <w:rsid w:val="00CC11DA"/>
    <w:rsid w:val="00CD1F1E"/>
    <w:rsid w:val="00CF042B"/>
    <w:rsid w:val="00CF04E9"/>
    <w:rsid w:val="00CF1972"/>
    <w:rsid w:val="00CF47B2"/>
    <w:rsid w:val="00D0556B"/>
    <w:rsid w:val="00D139C9"/>
    <w:rsid w:val="00D1772B"/>
    <w:rsid w:val="00D22A6E"/>
    <w:rsid w:val="00D26C37"/>
    <w:rsid w:val="00D32155"/>
    <w:rsid w:val="00D326F8"/>
    <w:rsid w:val="00D33A6B"/>
    <w:rsid w:val="00D3576C"/>
    <w:rsid w:val="00D50324"/>
    <w:rsid w:val="00D509E5"/>
    <w:rsid w:val="00D52FCF"/>
    <w:rsid w:val="00D567CC"/>
    <w:rsid w:val="00D75208"/>
    <w:rsid w:val="00D8619B"/>
    <w:rsid w:val="00D929C3"/>
    <w:rsid w:val="00DA03D2"/>
    <w:rsid w:val="00DA3886"/>
    <w:rsid w:val="00DB14C2"/>
    <w:rsid w:val="00DB1D14"/>
    <w:rsid w:val="00DB2CDA"/>
    <w:rsid w:val="00DB7980"/>
    <w:rsid w:val="00DD0414"/>
    <w:rsid w:val="00DD39E7"/>
    <w:rsid w:val="00DF039B"/>
    <w:rsid w:val="00DF6920"/>
    <w:rsid w:val="00E02A0C"/>
    <w:rsid w:val="00E0314F"/>
    <w:rsid w:val="00E13C76"/>
    <w:rsid w:val="00E14795"/>
    <w:rsid w:val="00E20856"/>
    <w:rsid w:val="00E2151E"/>
    <w:rsid w:val="00E2287A"/>
    <w:rsid w:val="00E3195D"/>
    <w:rsid w:val="00E365D3"/>
    <w:rsid w:val="00E45D47"/>
    <w:rsid w:val="00E52045"/>
    <w:rsid w:val="00E60AEA"/>
    <w:rsid w:val="00E6195F"/>
    <w:rsid w:val="00E76478"/>
    <w:rsid w:val="00E87D86"/>
    <w:rsid w:val="00E90733"/>
    <w:rsid w:val="00E93659"/>
    <w:rsid w:val="00EB2948"/>
    <w:rsid w:val="00EB4744"/>
    <w:rsid w:val="00EB4A52"/>
    <w:rsid w:val="00EB761E"/>
    <w:rsid w:val="00EB7B4C"/>
    <w:rsid w:val="00EC1B49"/>
    <w:rsid w:val="00EC6357"/>
    <w:rsid w:val="00F0361C"/>
    <w:rsid w:val="00F22EB2"/>
    <w:rsid w:val="00F3424D"/>
    <w:rsid w:val="00F4665B"/>
    <w:rsid w:val="00F56D6C"/>
    <w:rsid w:val="00F706E7"/>
    <w:rsid w:val="00F70CF7"/>
    <w:rsid w:val="00F839E2"/>
    <w:rsid w:val="00FC6266"/>
    <w:rsid w:val="00FD5303"/>
    <w:rsid w:val="00FE3B5D"/>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F7C1DB"/>
  <w15:chartTrackingRefBased/>
  <w15:docId w15:val="{CBB09B17-668E-4CA7-B4CB-2797D99D6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7B4C"/>
    <w:pPr>
      <w:spacing w:after="0" w:line="240" w:lineRule="auto"/>
    </w:pPr>
    <w:rPr>
      <w:rFonts w:ascii="Times New Roman" w:hAnsi="Times New Roman"/>
      <w:sz w:val="28"/>
    </w:rPr>
  </w:style>
  <w:style w:type="paragraph" w:styleId="Heading1">
    <w:name w:val="heading 1"/>
    <w:basedOn w:val="Normal"/>
    <w:next w:val="Normal"/>
    <w:link w:val="Heading1Char"/>
    <w:uiPriority w:val="9"/>
    <w:qFormat/>
    <w:rsid w:val="00987241"/>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B7B4C"/>
    <w:rPr>
      <w:color w:val="0000FF"/>
      <w:u w:val="single"/>
    </w:rPr>
  </w:style>
  <w:style w:type="paragraph" w:styleId="NormalWeb">
    <w:name w:val="Normal (Web)"/>
    <w:basedOn w:val="Normal"/>
    <w:uiPriority w:val="99"/>
    <w:unhideWhenUsed/>
    <w:rsid w:val="00EB7B4C"/>
    <w:pPr>
      <w:spacing w:before="75" w:after="75"/>
    </w:pPr>
    <w:rPr>
      <w:rFonts w:eastAsia="Times New Roman" w:cs="Times New Roman"/>
      <w:sz w:val="24"/>
      <w:szCs w:val="24"/>
      <w:lang w:eastAsia="lv-LV"/>
    </w:rPr>
  </w:style>
  <w:style w:type="character" w:styleId="CommentReference">
    <w:name w:val="annotation reference"/>
    <w:basedOn w:val="DefaultParagraphFont"/>
    <w:uiPriority w:val="99"/>
    <w:semiHidden/>
    <w:unhideWhenUsed/>
    <w:rsid w:val="00EB7B4C"/>
    <w:rPr>
      <w:sz w:val="16"/>
      <w:szCs w:val="16"/>
    </w:rPr>
  </w:style>
  <w:style w:type="paragraph" w:styleId="CommentText">
    <w:name w:val="annotation text"/>
    <w:basedOn w:val="Normal"/>
    <w:link w:val="CommentTextChar"/>
    <w:uiPriority w:val="99"/>
    <w:semiHidden/>
    <w:unhideWhenUsed/>
    <w:rsid w:val="00EB7B4C"/>
    <w:rPr>
      <w:sz w:val="20"/>
      <w:szCs w:val="20"/>
    </w:rPr>
  </w:style>
  <w:style w:type="character" w:customStyle="1" w:styleId="CommentTextChar">
    <w:name w:val="Comment Text Char"/>
    <w:basedOn w:val="DefaultParagraphFont"/>
    <w:link w:val="CommentText"/>
    <w:uiPriority w:val="99"/>
    <w:semiHidden/>
    <w:rsid w:val="00EB7B4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B7B4C"/>
    <w:rPr>
      <w:b/>
      <w:bCs/>
    </w:rPr>
  </w:style>
  <w:style w:type="character" w:customStyle="1" w:styleId="CommentSubjectChar">
    <w:name w:val="Comment Subject Char"/>
    <w:basedOn w:val="CommentTextChar"/>
    <w:link w:val="CommentSubject"/>
    <w:uiPriority w:val="99"/>
    <w:semiHidden/>
    <w:rsid w:val="00EB7B4C"/>
    <w:rPr>
      <w:rFonts w:ascii="Times New Roman" w:hAnsi="Times New Roman"/>
      <w:b/>
      <w:bCs/>
      <w:sz w:val="20"/>
      <w:szCs w:val="20"/>
    </w:rPr>
  </w:style>
  <w:style w:type="paragraph" w:styleId="BalloonText">
    <w:name w:val="Balloon Text"/>
    <w:basedOn w:val="Normal"/>
    <w:link w:val="BalloonTextChar"/>
    <w:uiPriority w:val="99"/>
    <w:semiHidden/>
    <w:unhideWhenUsed/>
    <w:rsid w:val="00EB7B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7B4C"/>
    <w:rPr>
      <w:rFonts w:ascii="Segoe UI" w:hAnsi="Segoe UI" w:cs="Segoe UI"/>
      <w:sz w:val="18"/>
      <w:szCs w:val="18"/>
    </w:rPr>
  </w:style>
  <w:style w:type="paragraph" w:styleId="ListParagraph">
    <w:name w:val="List Paragraph"/>
    <w:basedOn w:val="Normal"/>
    <w:uiPriority w:val="34"/>
    <w:qFormat/>
    <w:rsid w:val="00D326F8"/>
    <w:pPr>
      <w:ind w:left="720"/>
      <w:contextualSpacing/>
    </w:pPr>
  </w:style>
  <w:style w:type="paragraph" w:styleId="Header">
    <w:name w:val="header"/>
    <w:basedOn w:val="Normal"/>
    <w:link w:val="HeaderChar"/>
    <w:uiPriority w:val="99"/>
    <w:unhideWhenUsed/>
    <w:rsid w:val="00D326F8"/>
    <w:pPr>
      <w:tabs>
        <w:tab w:val="center" w:pos="4153"/>
        <w:tab w:val="right" w:pos="8306"/>
      </w:tabs>
    </w:pPr>
  </w:style>
  <w:style w:type="character" w:customStyle="1" w:styleId="HeaderChar">
    <w:name w:val="Header Char"/>
    <w:basedOn w:val="DefaultParagraphFont"/>
    <w:link w:val="Header"/>
    <w:uiPriority w:val="99"/>
    <w:rsid w:val="00D326F8"/>
    <w:rPr>
      <w:rFonts w:ascii="Times New Roman" w:hAnsi="Times New Roman"/>
      <w:sz w:val="28"/>
    </w:rPr>
  </w:style>
  <w:style w:type="paragraph" w:styleId="Footer">
    <w:name w:val="footer"/>
    <w:basedOn w:val="Normal"/>
    <w:link w:val="FooterChar"/>
    <w:uiPriority w:val="99"/>
    <w:unhideWhenUsed/>
    <w:rsid w:val="00D326F8"/>
    <w:pPr>
      <w:tabs>
        <w:tab w:val="center" w:pos="4153"/>
        <w:tab w:val="right" w:pos="8306"/>
      </w:tabs>
    </w:pPr>
  </w:style>
  <w:style w:type="character" w:customStyle="1" w:styleId="FooterChar">
    <w:name w:val="Footer Char"/>
    <w:basedOn w:val="DefaultParagraphFont"/>
    <w:link w:val="Footer"/>
    <w:uiPriority w:val="99"/>
    <w:rsid w:val="00D326F8"/>
    <w:rPr>
      <w:rFonts w:ascii="Times New Roman" w:hAnsi="Times New Roman"/>
      <w:sz w:val="28"/>
    </w:rPr>
  </w:style>
  <w:style w:type="character" w:customStyle="1" w:styleId="Heading1Char">
    <w:name w:val="Heading 1 Char"/>
    <w:basedOn w:val="DefaultParagraphFont"/>
    <w:link w:val="Heading1"/>
    <w:uiPriority w:val="9"/>
    <w:rsid w:val="0098724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30064">
      <w:bodyDiv w:val="1"/>
      <w:marLeft w:val="0"/>
      <w:marRight w:val="0"/>
      <w:marTop w:val="0"/>
      <w:marBottom w:val="0"/>
      <w:divBdr>
        <w:top w:val="none" w:sz="0" w:space="0" w:color="auto"/>
        <w:left w:val="none" w:sz="0" w:space="0" w:color="auto"/>
        <w:bottom w:val="none" w:sz="0" w:space="0" w:color="auto"/>
        <w:right w:val="none" w:sz="0" w:space="0" w:color="auto"/>
      </w:divBdr>
    </w:div>
    <w:div w:id="689650545">
      <w:bodyDiv w:val="1"/>
      <w:marLeft w:val="0"/>
      <w:marRight w:val="0"/>
      <w:marTop w:val="0"/>
      <w:marBottom w:val="0"/>
      <w:divBdr>
        <w:top w:val="none" w:sz="0" w:space="0" w:color="auto"/>
        <w:left w:val="none" w:sz="0" w:space="0" w:color="auto"/>
        <w:bottom w:val="none" w:sz="0" w:space="0" w:color="auto"/>
        <w:right w:val="none" w:sz="0" w:space="0" w:color="auto"/>
      </w:divBdr>
    </w:div>
    <w:div w:id="700129617">
      <w:bodyDiv w:val="1"/>
      <w:marLeft w:val="0"/>
      <w:marRight w:val="0"/>
      <w:marTop w:val="0"/>
      <w:marBottom w:val="0"/>
      <w:divBdr>
        <w:top w:val="none" w:sz="0" w:space="0" w:color="auto"/>
        <w:left w:val="none" w:sz="0" w:space="0" w:color="auto"/>
        <w:bottom w:val="none" w:sz="0" w:space="0" w:color="auto"/>
        <w:right w:val="none" w:sz="0" w:space="0" w:color="auto"/>
      </w:divBdr>
    </w:div>
    <w:div w:id="760299787">
      <w:bodyDiv w:val="1"/>
      <w:marLeft w:val="0"/>
      <w:marRight w:val="0"/>
      <w:marTop w:val="0"/>
      <w:marBottom w:val="0"/>
      <w:divBdr>
        <w:top w:val="none" w:sz="0" w:space="0" w:color="auto"/>
        <w:left w:val="none" w:sz="0" w:space="0" w:color="auto"/>
        <w:bottom w:val="none" w:sz="0" w:space="0" w:color="auto"/>
        <w:right w:val="none" w:sz="0" w:space="0" w:color="auto"/>
      </w:divBdr>
    </w:div>
    <w:div w:id="794494149">
      <w:bodyDiv w:val="1"/>
      <w:marLeft w:val="0"/>
      <w:marRight w:val="0"/>
      <w:marTop w:val="0"/>
      <w:marBottom w:val="0"/>
      <w:divBdr>
        <w:top w:val="none" w:sz="0" w:space="0" w:color="auto"/>
        <w:left w:val="none" w:sz="0" w:space="0" w:color="auto"/>
        <w:bottom w:val="none" w:sz="0" w:space="0" w:color="auto"/>
        <w:right w:val="none" w:sz="0" w:space="0" w:color="auto"/>
      </w:divBdr>
    </w:div>
    <w:div w:id="814030130">
      <w:bodyDiv w:val="1"/>
      <w:marLeft w:val="0"/>
      <w:marRight w:val="0"/>
      <w:marTop w:val="0"/>
      <w:marBottom w:val="0"/>
      <w:divBdr>
        <w:top w:val="none" w:sz="0" w:space="0" w:color="auto"/>
        <w:left w:val="none" w:sz="0" w:space="0" w:color="auto"/>
        <w:bottom w:val="none" w:sz="0" w:space="0" w:color="auto"/>
        <w:right w:val="none" w:sz="0" w:space="0" w:color="auto"/>
      </w:divBdr>
    </w:div>
    <w:div w:id="831528289">
      <w:bodyDiv w:val="1"/>
      <w:marLeft w:val="0"/>
      <w:marRight w:val="0"/>
      <w:marTop w:val="0"/>
      <w:marBottom w:val="0"/>
      <w:divBdr>
        <w:top w:val="none" w:sz="0" w:space="0" w:color="auto"/>
        <w:left w:val="none" w:sz="0" w:space="0" w:color="auto"/>
        <w:bottom w:val="none" w:sz="0" w:space="0" w:color="auto"/>
        <w:right w:val="none" w:sz="0" w:space="0" w:color="auto"/>
      </w:divBdr>
    </w:div>
    <w:div w:id="1381443605">
      <w:bodyDiv w:val="1"/>
      <w:marLeft w:val="0"/>
      <w:marRight w:val="0"/>
      <w:marTop w:val="0"/>
      <w:marBottom w:val="0"/>
      <w:divBdr>
        <w:top w:val="none" w:sz="0" w:space="0" w:color="auto"/>
        <w:left w:val="none" w:sz="0" w:space="0" w:color="auto"/>
        <w:bottom w:val="none" w:sz="0" w:space="0" w:color="auto"/>
        <w:right w:val="none" w:sz="0" w:space="0" w:color="auto"/>
      </w:divBdr>
    </w:div>
    <w:div w:id="1400202579">
      <w:bodyDiv w:val="1"/>
      <w:marLeft w:val="0"/>
      <w:marRight w:val="0"/>
      <w:marTop w:val="0"/>
      <w:marBottom w:val="0"/>
      <w:divBdr>
        <w:top w:val="none" w:sz="0" w:space="0" w:color="auto"/>
        <w:left w:val="none" w:sz="0" w:space="0" w:color="auto"/>
        <w:bottom w:val="none" w:sz="0" w:space="0" w:color="auto"/>
        <w:right w:val="none" w:sz="0" w:space="0" w:color="auto"/>
      </w:divBdr>
    </w:div>
    <w:div w:id="1687291650">
      <w:bodyDiv w:val="1"/>
      <w:marLeft w:val="0"/>
      <w:marRight w:val="0"/>
      <w:marTop w:val="0"/>
      <w:marBottom w:val="0"/>
      <w:divBdr>
        <w:top w:val="none" w:sz="0" w:space="0" w:color="auto"/>
        <w:left w:val="none" w:sz="0" w:space="0" w:color="auto"/>
        <w:bottom w:val="none" w:sz="0" w:space="0" w:color="auto"/>
        <w:right w:val="none" w:sz="0" w:space="0" w:color="auto"/>
      </w:divBdr>
    </w:div>
    <w:div w:id="2045010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Zinotajs xmlns="076bee50-7a25-411a-a5a6-8097026bde27">Zane Logina</Zinotajs>
    <NPK xmlns="bf0a44d4-cc3b-414c-aa68-884178465e3a" xsi:nil="true"/>
    <VK_x0020_l_x0113_mums xmlns="bf0a44d4-cc3b-414c-aa68-884178465e3a">Nav</VK_x0020_l_x0113_mum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55094651C21ECB47AF858F84B8524E0A" ma:contentTypeVersion="" ma:contentTypeDescription="Izveidot jaunu dokumentu." ma:contentTypeScope="" ma:versionID="e66924773bf5417afe0da09c9e5718a6">
  <xsd:schema xmlns:xsd="http://www.w3.org/2001/XMLSchema" xmlns:xs="http://www.w3.org/2001/XMLSchema" xmlns:p="http://schemas.microsoft.com/office/2006/metadata/properties" xmlns:ns1="bf0a44d4-cc3b-414c-aa68-884178465e3a" xmlns:ns4="076bee50-7a25-411a-a5a6-8097026bde27" targetNamespace="http://schemas.microsoft.com/office/2006/metadata/properties" ma:root="true" ma:fieldsID="d94b061617d9d14d139934c3fbee537f" ns1:_="" ns4:_="">
    <xsd:import namespace="bf0a44d4-cc3b-414c-aa68-884178465e3a"/>
    <xsd:import namespace="076bee50-7a25-411a-a5a6-8097026bde27"/>
    <xsd:element name="properties">
      <xsd:complexType>
        <xsd:sequence>
          <xsd:element name="documentManagement">
            <xsd:complexType>
              <xsd:all>
                <xsd:element ref="ns1:NPK" minOccurs="0"/>
                <xsd:element ref="ns4:Zinotajs" minOccurs="0"/>
                <xsd:element ref="ns1:VK_x0020_l_x0113_mum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0a44d4-cc3b-414c-aa68-884178465e3a" elementFormDefault="qualified">
    <xsd:import namespace="http://schemas.microsoft.com/office/2006/documentManagement/types"/>
    <xsd:import namespace="http://schemas.microsoft.com/office/infopath/2007/PartnerControls"/>
    <xsd:element name="NPK" ma:index="0" nillable="true" ma:displayName="NPK" ma:internalName="NPK">
      <xsd:simpleType>
        <xsd:restriction base="dms:Text">
          <xsd:maxLength value="5"/>
        </xsd:restriction>
      </xsd:simpleType>
    </xsd:element>
    <xsd:element name="VK_x0020_l_x0113_mums" ma:index="5" nillable="true" ma:displayName="VK lēmums" ma:default="Nav" ma:format="Dropdown" ma:internalName="VK_x0020_l_x0113_mums">
      <xsd:simpleType>
        <xsd:restriction base="dms:Choice">
          <xsd:enumeration value="Apstiprināt"/>
          <xsd:enumeration value="Noraidīt"/>
          <xsd:enumeration value="Nav"/>
        </xsd:restriction>
      </xsd:simpleType>
    </xsd:element>
  </xsd:schema>
  <xsd:schema xmlns:xsd="http://www.w3.org/2001/XMLSchema" xmlns:xs="http://www.w3.org/2001/XMLSchema" xmlns:dms="http://schemas.microsoft.com/office/2006/documentManagement/types" xmlns:pc="http://schemas.microsoft.com/office/infopath/2007/PartnerControls" targetNamespace="076bee50-7a25-411a-a5a6-8097026bde27" elementFormDefault="qualified">
    <xsd:import namespace="http://schemas.microsoft.com/office/2006/documentManagement/types"/>
    <xsd:import namespace="http://schemas.microsoft.com/office/infopath/2007/PartnerControls"/>
    <xsd:element name="Zinotajs" ma:index="4" nillable="true" ma:displayName="Ziņotājs" ma:internalName="Zinotaj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ors"/>
        <xsd:element ref="dcterms:created" minOccurs="0" maxOccurs="1"/>
        <xsd:element ref="dc:identifier" minOccurs="0" maxOccurs="1"/>
        <xsd:element name="contentType" minOccurs="0" maxOccurs="1" type="xsd:string" ma:index="8" ma:displayName="Satura tips"/>
        <xsd:element ref="dc:title" minOccurs="0" maxOccurs="1" ma:index="2"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12542-5278-44DA-A228-A604BECD5F2A}">
  <ds:schemaRefs>
    <ds:schemaRef ds:uri="http://schemas.microsoft.com/sharepoint/v3/contenttype/forms"/>
  </ds:schemaRefs>
</ds:datastoreItem>
</file>

<file path=customXml/itemProps2.xml><?xml version="1.0" encoding="utf-8"?>
<ds:datastoreItem xmlns:ds="http://schemas.openxmlformats.org/officeDocument/2006/customXml" ds:itemID="{B705AE24-C759-4189-B73C-0F25179EE587}">
  <ds:schemaRefs>
    <ds:schemaRef ds:uri="http://schemas.microsoft.com/office/2006/metadata/properties"/>
    <ds:schemaRef ds:uri="076bee50-7a25-411a-a5a6-8097026bde27"/>
    <ds:schemaRef ds:uri="bf0a44d4-cc3b-414c-aa68-884178465e3a"/>
  </ds:schemaRefs>
</ds:datastoreItem>
</file>

<file path=customXml/itemProps3.xml><?xml version="1.0" encoding="utf-8"?>
<ds:datastoreItem xmlns:ds="http://schemas.openxmlformats.org/officeDocument/2006/customXml" ds:itemID="{F437A6F2-CA41-4D47-A16F-9388E0A11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0a44d4-cc3b-414c-aa68-884178465e3a"/>
    <ds:schemaRef ds:uri="076bee50-7a25-411a-a5a6-8097026bde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A42C81-B4B5-4BC5-B8F2-CE7A4A3B2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2085</Words>
  <Characters>1189</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Ministru kabineta noteikumu projekts "Grozījumi Ministru kabineta 2015. gada 24. februāra noteikumos Nr. 108 "Kārtība, kādā uzrauga un izvērtē Eiropas Savienības struktūrfondu un Kohēzijas fonda ieviešanu, kā arī izveido un izmanto Kohēzijas politikas fon</vt:lpstr>
    </vt:vector>
  </TitlesOfParts>
  <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 noteikumu projekts "Grozījums Ministru kabineta 2015. gada 10. februāra noteikumos Nr. 77 “Eiropas Savienības struktūrfondu un Kohēzijas fonda projektu pārbaužu veikšanas kārtība 2014.–2020. gada plānošanas periodā””</dc:title>
  <dc:subject/>
  <dc:creator>Inita Petrova</dc:creator>
  <cp:keywords/>
  <dc:description/>
  <cp:lastModifiedBy>Inguna Dancīte</cp:lastModifiedBy>
  <cp:revision>4</cp:revision>
  <cp:lastPrinted>2015-01-19T09:50:00Z</cp:lastPrinted>
  <dcterms:created xsi:type="dcterms:W3CDTF">2021-01-19T14:42:00Z</dcterms:created>
  <dcterms:modified xsi:type="dcterms:W3CDTF">2021-01-26T09:53:00Z</dcterms:modified>
  <cp:category>Uzziņa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0x01010055094651C21ECB47AF858F84B8524E0A</vt:lpwstr>
  </property>
</Properties>
</file>