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C782F" w14:textId="77777777" w:rsidR="004B2C7D" w:rsidRPr="008A6141" w:rsidRDefault="002E6246" w:rsidP="004B2C7D">
      <w:pPr>
        <w:tabs>
          <w:tab w:val="left" w:pos="810"/>
        </w:tabs>
        <w:jc w:val="center"/>
        <w:rPr>
          <w:rFonts w:eastAsia="Times New Roman" w:cs="Times New Roman"/>
          <w:b/>
          <w:iCs/>
          <w:szCs w:val="24"/>
        </w:rPr>
      </w:pPr>
      <w:r w:rsidRPr="008A6141">
        <w:rPr>
          <w:rFonts w:eastAsia="Times New Roman" w:cs="Times New Roman"/>
          <w:b/>
          <w:iCs/>
          <w:szCs w:val="24"/>
        </w:rPr>
        <w:t>Uzziņa par tiesību</w:t>
      </w:r>
      <w:r w:rsidR="004B2C7D" w:rsidRPr="008A6141">
        <w:rPr>
          <w:rFonts w:eastAsia="Times New Roman" w:cs="Times New Roman"/>
          <w:b/>
          <w:iCs/>
          <w:szCs w:val="24"/>
        </w:rPr>
        <w:t xml:space="preserve"> akta projektu Vadības komitejas sēdei</w:t>
      </w:r>
    </w:p>
    <w:p w14:paraId="6477A76B" w14:textId="20ABEA9C" w:rsidR="002E6246" w:rsidRPr="008A6141" w:rsidRDefault="006B113C" w:rsidP="004B2C7D">
      <w:pPr>
        <w:tabs>
          <w:tab w:val="left" w:pos="810"/>
        </w:tabs>
        <w:jc w:val="center"/>
        <w:rPr>
          <w:rFonts w:eastAsia="Times New Roman" w:cs="Times New Roman"/>
          <w:b/>
          <w:iCs/>
          <w:szCs w:val="24"/>
        </w:rPr>
      </w:pPr>
      <w:r w:rsidRPr="008A6141">
        <w:rPr>
          <w:rFonts w:eastAsia="Times New Roman" w:cs="Times New Roman"/>
          <w:i/>
          <w:iCs/>
          <w:szCs w:val="24"/>
        </w:rPr>
        <w:t>08</w:t>
      </w:r>
      <w:r w:rsidR="00B444B2" w:rsidRPr="008A6141">
        <w:rPr>
          <w:rFonts w:eastAsia="Times New Roman" w:cs="Times New Roman"/>
          <w:i/>
          <w:iCs/>
          <w:szCs w:val="24"/>
        </w:rPr>
        <w:t>.0</w:t>
      </w:r>
      <w:r w:rsidRPr="008A6141">
        <w:rPr>
          <w:rFonts w:eastAsia="Times New Roman" w:cs="Times New Roman"/>
          <w:i/>
          <w:iCs/>
          <w:szCs w:val="24"/>
        </w:rPr>
        <w:t>2</w:t>
      </w:r>
      <w:r w:rsidR="00226CF4" w:rsidRPr="008A6141">
        <w:rPr>
          <w:rFonts w:eastAsia="Times New Roman" w:cs="Times New Roman"/>
          <w:i/>
          <w:iCs/>
          <w:szCs w:val="24"/>
        </w:rPr>
        <w:t>.20</w:t>
      </w:r>
      <w:r w:rsidRPr="008A6141">
        <w:rPr>
          <w:rFonts w:eastAsia="Times New Roman" w:cs="Times New Roman"/>
          <w:i/>
          <w:iCs/>
          <w:szCs w:val="24"/>
        </w:rPr>
        <w:t>21</w:t>
      </w:r>
      <w:r w:rsidR="00BB618A" w:rsidRPr="008A6141">
        <w:rPr>
          <w:rFonts w:eastAsia="Times New Roman" w:cs="Times New Roman"/>
          <w:i/>
          <w:iCs/>
          <w:szCs w:val="24"/>
        </w:rPr>
        <w:t>.</w:t>
      </w:r>
    </w:p>
    <w:p w14:paraId="14D01441" w14:textId="77777777" w:rsidR="002E6246" w:rsidRPr="008A6141" w:rsidRDefault="002E6246" w:rsidP="002E6246">
      <w:pPr>
        <w:rPr>
          <w:rFonts w:eastAsia="Times New Roman" w:cs="Times New Roman"/>
          <w:szCs w:val="24"/>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3005"/>
        <w:gridCol w:w="6350"/>
      </w:tblGrid>
      <w:tr w:rsidR="002E6246" w:rsidRPr="008A6141" w14:paraId="0A680686" w14:textId="77777777" w:rsidTr="2A45E688">
        <w:tc>
          <w:tcPr>
            <w:tcW w:w="710" w:type="dxa"/>
          </w:tcPr>
          <w:p w14:paraId="11A88137" w14:textId="77777777" w:rsidR="002E6246" w:rsidRPr="008A6141" w:rsidRDefault="002E6246" w:rsidP="002E6246">
            <w:pPr>
              <w:spacing w:before="60" w:after="60"/>
              <w:jc w:val="center"/>
              <w:rPr>
                <w:rFonts w:eastAsia="Times New Roman" w:cs="Times New Roman"/>
                <w:szCs w:val="24"/>
              </w:rPr>
            </w:pPr>
            <w:r w:rsidRPr="008A6141">
              <w:rPr>
                <w:rFonts w:eastAsia="Times New Roman" w:cs="Times New Roman"/>
                <w:szCs w:val="24"/>
              </w:rPr>
              <w:t>№</w:t>
            </w:r>
          </w:p>
        </w:tc>
        <w:tc>
          <w:tcPr>
            <w:tcW w:w="3005" w:type="dxa"/>
            <w:vAlign w:val="center"/>
          </w:tcPr>
          <w:p w14:paraId="1456EB21" w14:textId="77777777" w:rsidR="002E6246" w:rsidRPr="008A6141" w:rsidRDefault="002E6246" w:rsidP="002E6246">
            <w:pPr>
              <w:spacing w:before="60" w:after="60"/>
              <w:jc w:val="center"/>
              <w:rPr>
                <w:rFonts w:eastAsia="Times New Roman" w:cs="Times New Roman"/>
                <w:szCs w:val="24"/>
              </w:rPr>
            </w:pPr>
            <w:r w:rsidRPr="008A6141">
              <w:rPr>
                <w:rFonts w:eastAsia="Times New Roman" w:cs="Times New Roman"/>
                <w:szCs w:val="24"/>
              </w:rPr>
              <w:t>Sniedzamā informācija</w:t>
            </w:r>
          </w:p>
        </w:tc>
        <w:tc>
          <w:tcPr>
            <w:tcW w:w="6350" w:type="dxa"/>
            <w:vAlign w:val="center"/>
          </w:tcPr>
          <w:p w14:paraId="4EA2AF69" w14:textId="77777777" w:rsidR="002E6246" w:rsidRPr="008A6141" w:rsidRDefault="00791E04" w:rsidP="00AA3403">
            <w:pPr>
              <w:spacing w:before="60" w:after="60"/>
              <w:jc w:val="center"/>
              <w:rPr>
                <w:rFonts w:eastAsia="Times New Roman" w:cs="Times New Roman"/>
                <w:szCs w:val="24"/>
              </w:rPr>
            </w:pPr>
            <w:r w:rsidRPr="008A6141">
              <w:rPr>
                <w:rFonts w:eastAsia="Times New Roman" w:cs="Times New Roman"/>
                <w:szCs w:val="24"/>
              </w:rPr>
              <w:t>Informācija par projektu</w:t>
            </w:r>
          </w:p>
        </w:tc>
      </w:tr>
      <w:tr w:rsidR="002E6246" w:rsidRPr="008A6141" w14:paraId="038F4CF4" w14:textId="77777777" w:rsidTr="2A45E688">
        <w:tc>
          <w:tcPr>
            <w:tcW w:w="710" w:type="dxa"/>
          </w:tcPr>
          <w:p w14:paraId="649C7D6B" w14:textId="77777777" w:rsidR="002E6246" w:rsidRPr="008A6141" w:rsidRDefault="002E6246" w:rsidP="002E6246">
            <w:pPr>
              <w:spacing w:before="60" w:after="60"/>
              <w:rPr>
                <w:rFonts w:eastAsia="Times New Roman" w:cs="Times New Roman"/>
                <w:szCs w:val="24"/>
              </w:rPr>
            </w:pPr>
          </w:p>
        </w:tc>
        <w:tc>
          <w:tcPr>
            <w:tcW w:w="9355" w:type="dxa"/>
            <w:gridSpan w:val="2"/>
          </w:tcPr>
          <w:p w14:paraId="5FD324EE" w14:textId="7D4D8952" w:rsidR="006B113C" w:rsidRPr="008A6141" w:rsidRDefault="006B113C" w:rsidP="00226CF4">
            <w:pPr>
              <w:shd w:val="clear" w:color="auto" w:fill="FFFFFF"/>
              <w:jc w:val="center"/>
              <w:rPr>
                <w:rFonts w:ascii="Times New Roman Bold" w:eastAsia="Calibri" w:hAnsi="Times New Roman Bold" w:cs="Times New Roman"/>
                <w:b/>
                <w:bCs/>
                <w:szCs w:val="24"/>
              </w:rPr>
            </w:pPr>
            <w:r w:rsidRPr="008A6141">
              <w:rPr>
                <w:rFonts w:ascii="Times New Roman Bold" w:eastAsia="Calibri" w:hAnsi="Times New Roman Bold" w:cs="Times New Roman"/>
                <w:b/>
                <w:bCs/>
                <w:szCs w:val="24"/>
              </w:rPr>
              <w:t>Ministru kabineta noteikumu projekts „Grozījumi Ministru kabineta 2005.gada 22.marta noteikumos Nr.195 “Sauszemes transportlīdzekļu īpašnieku civiltiesiskās atbildības obligātās apdrošināšanas garantijas fonda izveidošanas, uzkrāšanas un administrēšanas kārtība””</w:t>
            </w:r>
          </w:p>
        </w:tc>
      </w:tr>
      <w:tr w:rsidR="002E6246" w:rsidRPr="0096043C" w14:paraId="1B6154FB" w14:textId="77777777" w:rsidTr="2A45E688">
        <w:trPr>
          <w:trHeight w:val="725"/>
        </w:trPr>
        <w:tc>
          <w:tcPr>
            <w:tcW w:w="710" w:type="dxa"/>
          </w:tcPr>
          <w:p w14:paraId="03AF8BF1" w14:textId="77777777" w:rsidR="002E6246" w:rsidRPr="008A6141" w:rsidRDefault="002E6246" w:rsidP="002E6246">
            <w:pPr>
              <w:numPr>
                <w:ilvl w:val="0"/>
                <w:numId w:val="1"/>
              </w:numPr>
              <w:spacing w:after="160" w:line="259" w:lineRule="auto"/>
              <w:jc w:val="center"/>
              <w:rPr>
                <w:rFonts w:eastAsia="Calibri" w:cs="Times New Roman"/>
                <w:szCs w:val="24"/>
              </w:rPr>
            </w:pPr>
          </w:p>
        </w:tc>
        <w:tc>
          <w:tcPr>
            <w:tcW w:w="3005" w:type="dxa"/>
          </w:tcPr>
          <w:p w14:paraId="1649A217" w14:textId="77777777" w:rsidR="002E6246" w:rsidRPr="008A6141" w:rsidRDefault="002E6246" w:rsidP="002E6246">
            <w:pPr>
              <w:rPr>
                <w:rFonts w:eastAsia="Times New Roman" w:cs="Times New Roman"/>
                <w:szCs w:val="24"/>
              </w:rPr>
            </w:pPr>
            <w:r w:rsidRPr="008A6141">
              <w:rPr>
                <w:rFonts w:eastAsia="Times New Roman" w:cs="Times New Roman"/>
                <w:szCs w:val="24"/>
              </w:rPr>
              <w:t>Projekta izstrādes nepieciešamības pamatojums</w:t>
            </w:r>
          </w:p>
        </w:tc>
        <w:tc>
          <w:tcPr>
            <w:tcW w:w="6350" w:type="dxa"/>
          </w:tcPr>
          <w:p w14:paraId="5DE649F8" w14:textId="11863949" w:rsidR="0015415F" w:rsidRPr="0096043C" w:rsidRDefault="00AA4A12" w:rsidP="0015415F">
            <w:pPr>
              <w:autoSpaceDE w:val="0"/>
              <w:autoSpaceDN w:val="0"/>
              <w:adjustRightInd w:val="0"/>
              <w:jc w:val="both"/>
              <w:rPr>
                <w:szCs w:val="24"/>
              </w:rPr>
            </w:pPr>
            <w:r w:rsidRPr="0096043C">
              <w:rPr>
                <w:szCs w:val="24"/>
              </w:rPr>
              <w:t>Pašlaik s</w:t>
            </w:r>
            <w:r w:rsidR="00462B39" w:rsidRPr="0096043C">
              <w:rPr>
                <w:szCs w:val="24"/>
              </w:rPr>
              <w:t>askaņā ar Sauszemes transportlīdzekļu īpašnieku civiltiesiskās atbildības obligātās apdrošināšanas likuma (turpmāk – OCTA likums) 9.panta pirm</w:t>
            </w:r>
            <w:r w:rsidR="0015415F" w:rsidRPr="0096043C">
              <w:rPr>
                <w:szCs w:val="24"/>
              </w:rPr>
              <w:t>o</w:t>
            </w:r>
            <w:r w:rsidR="00462B39" w:rsidRPr="0096043C">
              <w:rPr>
                <w:szCs w:val="24"/>
              </w:rPr>
              <w:t xml:space="preserve"> daļ</w:t>
            </w:r>
            <w:r w:rsidR="0015415F" w:rsidRPr="0096043C">
              <w:rPr>
                <w:szCs w:val="24"/>
              </w:rPr>
              <w:t>u</w:t>
            </w:r>
            <w:r w:rsidR="00462B39" w:rsidRPr="0096043C">
              <w:rPr>
                <w:szCs w:val="24"/>
              </w:rPr>
              <w:t xml:space="preserve"> transportlīdzekļa tiesīgajam lietotājam ir iespēja noslēgt </w:t>
            </w:r>
            <w:r w:rsidRPr="0096043C">
              <w:rPr>
                <w:szCs w:val="24"/>
              </w:rPr>
              <w:t xml:space="preserve">sauszemes transportlīdzekļu īpašnieku civiltiesiskās atbildības obligātās apdrošināšanas līgumu (turpmāk -  OCTA līgumu) </w:t>
            </w:r>
            <w:r w:rsidR="00462B39" w:rsidRPr="0096043C">
              <w:rPr>
                <w:szCs w:val="24"/>
              </w:rPr>
              <w:t>uz trim, sešiem, deviņiem vai 12 mēnešiem</w:t>
            </w:r>
            <w:r w:rsidRPr="0096043C">
              <w:rPr>
                <w:szCs w:val="24"/>
              </w:rPr>
              <w:t>,</w:t>
            </w:r>
            <w:r w:rsidR="0015415F" w:rsidRPr="0096043C">
              <w:rPr>
                <w:szCs w:val="24"/>
              </w:rPr>
              <w:t xml:space="preserve"> izņemot gadījumu, kad:</w:t>
            </w:r>
          </w:p>
          <w:p w14:paraId="66B08542" w14:textId="254AA152" w:rsidR="0015415F" w:rsidRPr="0096043C" w:rsidRDefault="0015415F" w:rsidP="0015415F">
            <w:pPr>
              <w:autoSpaceDE w:val="0"/>
              <w:autoSpaceDN w:val="0"/>
              <w:adjustRightInd w:val="0"/>
              <w:jc w:val="both"/>
              <w:rPr>
                <w:szCs w:val="24"/>
              </w:rPr>
            </w:pPr>
            <w:r w:rsidRPr="0096043C">
              <w:rPr>
                <w:szCs w:val="24"/>
              </w:rPr>
              <w:t>1) transportlīdzeklis reģistrēts uz laiku. Šādā gadījumā OCTA līgumu var slēgt arī līdz transportlīdzekļa reģistrācijas apliecībā norādītā derīguma termiņa beigām, nepārsniedzot 12 mēnešus;</w:t>
            </w:r>
          </w:p>
          <w:p w14:paraId="1CF530D6" w14:textId="65B8783C" w:rsidR="0015415F" w:rsidRPr="0096043C" w:rsidRDefault="0015415F" w:rsidP="0015415F">
            <w:pPr>
              <w:autoSpaceDE w:val="0"/>
              <w:autoSpaceDN w:val="0"/>
              <w:adjustRightInd w:val="0"/>
              <w:jc w:val="both"/>
              <w:rPr>
                <w:szCs w:val="24"/>
              </w:rPr>
            </w:pPr>
            <w:r w:rsidRPr="0096043C">
              <w:rPr>
                <w:szCs w:val="24"/>
              </w:rPr>
              <w:t>2) transportlīdzeklis noņemts no uzskaites Latvijas Republikā un tam dota atļauja piedalīties ceļu satiksmē. Šādā gadījumā OCTA līgumu var slēgt arī uz transportlīdzekļa reģistrācijas apliecībā norādīto termiņu;</w:t>
            </w:r>
          </w:p>
          <w:p w14:paraId="055F3EE3" w14:textId="194F2337" w:rsidR="0015415F" w:rsidRPr="0096043C" w:rsidRDefault="0015415F" w:rsidP="0015415F">
            <w:pPr>
              <w:autoSpaceDE w:val="0"/>
              <w:autoSpaceDN w:val="0"/>
              <w:adjustRightInd w:val="0"/>
              <w:jc w:val="both"/>
              <w:rPr>
                <w:szCs w:val="24"/>
              </w:rPr>
            </w:pPr>
            <w:r w:rsidRPr="0096043C">
              <w:rPr>
                <w:szCs w:val="24"/>
              </w:rPr>
              <w:t>3) transportlīdzeklis Eiropas Ekonomikas zonas valstī vai Šveices Konfederācijā atsavināts vai noņemts no uzskaites, lai to izvestu no attiecīgās valsts un reģistrētu Latvijas Republikā. Šādā gadījumā OCTA līgumu slēdz uz 30 dienām;</w:t>
            </w:r>
          </w:p>
          <w:p w14:paraId="31FC4655" w14:textId="6FBCAEFC" w:rsidR="0015415F" w:rsidRPr="0096043C" w:rsidRDefault="0015415F" w:rsidP="0015415F">
            <w:pPr>
              <w:autoSpaceDE w:val="0"/>
              <w:autoSpaceDN w:val="0"/>
              <w:adjustRightInd w:val="0"/>
              <w:jc w:val="both"/>
              <w:rPr>
                <w:szCs w:val="24"/>
              </w:rPr>
            </w:pPr>
            <w:r w:rsidRPr="0096043C">
              <w:rPr>
                <w:szCs w:val="24"/>
              </w:rPr>
              <w:t>4) transportlīdzeklim izsniegta tranzīta numura karte. Šādā gadījumā OCTA līgumu slēdz uz tranzīta numura kartē norādīto derīguma termiņu;</w:t>
            </w:r>
          </w:p>
          <w:p w14:paraId="362309BD" w14:textId="50FD1998" w:rsidR="0015415F" w:rsidRPr="0096043C" w:rsidRDefault="0015415F" w:rsidP="0015415F">
            <w:pPr>
              <w:autoSpaceDE w:val="0"/>
              <w:autoSpaceDN w:val="0"/>
              <w:adjustRightInd w:val="0"/>
              <w:jc w:val="both"/>
              <w:rPr>
                <w:szCs w:val="24"/>
              </w:rPr>
            </w:pPr>
            <w:r w:rsidRPr="0096043C">
              <w:rPr>
                <w:szCs w:val="24"/>
              </w:rPr>
              <w:t>5) transportlīdzeklim izsniegta izmēģinājuma numura karte. Šādā gadījumā OCTA līgumu slēdz uz izmēģinājuma numura kartē norādīto derīguma termiņu, nepārsniedzot 12 mēnešus;</w:t>
            </w:r>
          </w:p>
          <w:p w14:paraId="07DF9BB2" w14:textId="656AAAC2" w:rsidR="00462B39" w:rsidRPr="0096043C" w:rsidRDefault="0015415F" w:rsidP="0015415F">
            <w:pPr>
              <w:autoSpaceDE w:val="0"/>
              <w:autoSpaceDN w:val="0"/>
              <w:adjustRightInd w:val="0"/>
              <w:jc w:val="both"/>
              <w:rPr>
                <w:szCs w:val="24"/>
              </w:rPr>
            </w:pPr>
            <w:r w:rsidRPr="0096043C">
              <w:rPr>
                <w:szCs w:val="24"/>
              </w:rPr>
              <w:t>6) tirdzniecības uzņēmumam (komersantam) izsniegtas tirdzniecības numura zīmes. Šādā gadījumā OCTA līgumu slēdz uz tirdzniecības numura zīmes derīguma termiņu, nepārsniedzot 12 mēnešus.</w:t>
            </w:r>
          </w:p>
          <w:p w14:paraId="4825B01D" w14:textId="276EF0B1" w:rsidR="007F1FA7" w:rsidRPr="0096043C" w:rsidRDefault="007F1FA7" w:rsidP="0015415F">
            <w:pPr>
              <w:autoSpaceDE w:val="0"/>
              <w:autoSpaceDN w:val="0"/>
              <w:adjustRightInd w:val="0"/>
              <w:jc w:val="both"/>
              <w:rPr>
                <w:szCs w:val="24"/>
              </w:rPr>
            </w:pPr>
            <w:r w:rsidRPr="0096043C">
              <w:rPr>
                <w:szCs w:val="24"/>
              </w:rPr>
              <w:t xml:space="preserve">OCTA likuma 9.panta otrā un trešā daļa nosaka, ka </w:t>
            </w:r>
            <w:proofErr w:type="spellStart"/>
            <w:r w:rsidRPr="0096043C">
              <w:rPr>
                <w:szCs w:val="24"/>
              </w:rPr>
              <w:t>robežapdrošināšanas</w:t>
            </w:r>
            <w:proofErr w:type="spellEnd"/>
            <w:r w:rsidRPr="0096043C">
              <w:rPr>
                <w:szCs w:val="24"/>
              </w:rPr>
              <w:t xml:space="preserve"> līgumu slēdz uz laiku no viena mēneša līdz 12 mēnešiem, savukārt starptautisko apdrošināšanas līgumu (Zaļo karti) slēdz uz laiku no 15 dienām līdz 12 mēnešiem.</w:t>
            </w:r>
            <w:r w:rsidRPr="0096043C">
              <w:t xml:space="preserve"> </w:t>
            </w:r>
            <w:r w:rsidRPr="0096043C">
              <w:rPr>
                <w:szCs w:val="24"/>
              </w:rPr>
              <w:t xml:space="preserve">Informējam, ka </w:t>
            </w:r>
            <w:proofErr w:type="spellStart"/>
            <w:r w:rsidRPr="0096043C">
              <w:rPr>
                <w:szCs w:val="24"/>
              </w:rPr>
              <w:t>robežapdrošināšanas</w:t>
            </w:r>
            <w:proofErr w:type="spellEnd"/>
            <w:r w:rsidRPr="0096043C">
              <w:rPr>
                <w:szCs w:val="24"/>
              </w:rPr>
              <w:t xml:space="preserve"> līgums ir OCTA līgums, kas tiek noslēgts attiecībā uz transportlīdzekli, kurš reģistrēts valstī, kas nav Eiropas Ekonomikas zonas valsts vai Šveices Konfederācija, ja tā vadītājs nevar uzrādīt Latvijas Republikas teritorijā spēkā esošu OCTA līgumu. Savukārt starptautiskais apdrošināšanas līgums (Zaļā karte) ir OCTA līgums, kas tiek noslēgts attiecībā uz transportlīdzekli, kurš reģistrēts Latvijas </w:t>
            </w:r>
            <w:r w:rsidRPr="0096043C">
              <w:rPr>
                <w:szCs w:val="24"/>
              </w:rPr>
              <w:lastRenderedPageBreak/>
              <w:t>Republikā un piedalās ceļu satiksmē valstī, kas ir Zaļās kartes sistēmas dalībvalsts.</w:t>
            </w:r>
          </w:p>
          <w:p w14:paraId="3971CBD2" w14:textId="77777777" w:rsidR="00462B39" w:rsidRPr="0096043C" w:rsidRDefault="00462B39" w:rsidP="008A6141">
            <w:pPr>
              <w:autoSpaceDE w:val="0"/>
              <w:autoSpaceDN w:val="0"/>
              <w:adjustRightInd w:val="0"/>
              <w:jc w:val="both"/>
              <w:rPr>
                <w:szCs w:val="24"/>
              </w:rPr>
            </w:pPr>
          </w:p>
          <w:p w14:paraId="08176C10" w14:textId="4F21E85F" w:rsidR="008A6141" w:rsidRPr="0096043C" w:rsidRDefault="008A6141" w:rsidP="008A6141">
            <w:pPr>
              <w:autoSpaceDE w:val="0"/>
              <w:autoSpaceDN w:val="0"/>
              <w:adjustRightInd w:val="0"/>
              <w:jc w:val="both"/>
              <w:rPr>
                <w:szCs w:val="24"/>
              </w:rPr>
            </w:pPr>
            <w:r w:rsidRPr="0096043C">
              <w:rPr>
                <w:szCs w:val="24"/>
              </w:rPr>
              <w:t>2021.gada 1.jūlijā stā</w:t>
            </w:r>
            <w:r w:rsidR="00AA4A12" w:rsidRPr="0096043C">
              <w:rPr>
                <w:szCs w:val="24"/>
              </w:rPr>
              <w:t>sies</w:t>
            </w:r>
            <w:r w:rsidRPr="0096043C">
              <w:rPr>
                <w:szCs w:val="24"/>
              </w:rPr>
              <w:t xml:space="preserve"> spēkā </w:t>
            </w:r>
            <w:r w:rsidR="00DC7D28" w:rsidRPr="0096043C">
              <w:rPr>
                <w:szCs w:val="24"/>
              </w:rPr>
              <w:t>OCTA likum</w:t>
            </w:r>
            <w:r w:rsidR="0015415F" w:rsidRPr="0096043C">
              <w:rPr>
                <w:szCs w:val="24"/>
              </w:rPr>
              <w:t>a</w:t>
            </w:r>
            <w:r w:rsidRPr="0096043C">
              <w:rPr>
                <w:szCs w:val="24"/>
              </w:rPr>
              <w:t xml:space="preserve"> 9.panta pirmās daļas ievaddaļas jaunā redakcija, kas paredz, ka </w:t>
            </w:r>
            <w:r w:rsidR="00E86CE8" w:rsidRPr="0096043C">
              <w:rPr>
                <w:szCs w:val="24"/>
              </w:rPr>
              <w:t xml:space="preserve">OCTA līgumu </w:t>
            </w:r>
            <w:r w:rsidRPr="0096043C">
              <w:rPr>
                <w:szCs w:val="24"/>
              </w:rPr>
              <w:t xml:space="preserve">var noslēgt arī uz vienu mēnesi. Tādējādi, sākot ar 2021.gada 1.jūliju transportlīdzekļa tiesīgajam lietotājam būs iespēja </w:t>
            </w:r>
            <w:r w:rsidR="00E86CE8" w:rsidRPr="0096043C">
              <w:rPr>
                <w:szCs w:val="24"/>
              </w:rPr>
              <w:t>noslēgt</w:t>
            </w:r>
            <w:r w:rsidRPr="0096043C">
              <w:rPr>
                <w:szCs w:val="24"/>
              </w:rPr>
              <w:t xml:space="preserve"> </w:t>
            </w:r>
            <w:r w:rsidR="00E86CE8" w:rsidRPr="0096043C">
              <w:rPr>
                <w:szCs w:val="24"/>
              </w:rPr>
              <w:t>OCTA līgumu uz vienu, trim, sešiem, deviņiem vai 12 mēnešiem</w:t>
            </w:r>
            <w:r w:rsidR="00AA4A12" w:rsidRPr="0096043C">
              <w:rPr>
                <w:szCs w:val="24"/>
              </w:rPr>
              <w:t xml:space="preserve">, </w:t>
            </w:r>
            <w:r w:rsidR="0015415F" w:rsidRPr="0096043C">
              <w:rPr>
                <w:szCs w:val="24"/>
              </w:rPr>
              <w:t>ņemot vērā attiecīgos izņēmuma</w:t>
            </w:r>
            <w:r w:rsidR="00AA4A12" w:rsidRPr="0096043C">
              <w:rPr>
                <w:szCs w:val="24"/>
              </w:rPr>
              <w:t xml:space="preserve"> </w:t>
            </w:r>
            <w:r w:rsidR="0015415F" w:rsidRPr="0096043C">
              <w:rPr>
                <w:szCs w:val="24"/>
              </w:rPr>
              <w:t xml:space="preserve">gadījumus. </w:t>
            </w:r>
          </w:p>
          <w:p w14:paraId="54418991" w14:textId="7147583D" w:rsidR="00DC7D28" w:rsidRPr="0096043C" w:rsidRDefault="00DC7D28" w:rsidP="008A6141">
            <w:pPr>
              <w:autoSpaceDE w:val="0"/>
              <w:autoSpaceDN w:val="0"/>
              <w:adjustRightInd w:val="0"/>
              <w:jc w:val="both"/>
              <w:rPr>
                <w:szCs w:val="24"/>
              </w:rPr>
            </w:pPr>
          </w:p>
          <w:p w14:paraId="501E8BE5" w14:textId="5E3D5A24" w:rsidR="00047DD9" w:rsidRPr="0096043C" w:rsidRDefault="00DC7D28" w:rsidP="00047DD9">
            <w:pPr>
              <w:autoSpaceDE w:val="0"/>
              <w:autoSpaceDN w:val="0"/>
              <w:adjustRightInd w:val="0"/>
              <w:jc w:val="both"/>
              <w:rPr>
                <w:szCs w:val="24"/>
              </w:rPr>
            </w:pPr>
            <w:r w:rsidRPr="0096043C">
              <w:rPr>
                <w:szCs w:val="24"/>
              </w:rPr>
              <w:t xml:space="preserve">Saskaņā ar </w:t>
            </w:r>
            <w:r w:rsidR="00120349" w:rsidRPr="0096043C">
              <w:rPr>
                <w:szCs w:val="24"/>
              </w:rPr>
              <w:t xml:space="preserve">OCTA likuma </w:t>
            </w:r>
            <w:r w:rsidRPr="0096043C">
              <w:rPr>
                <w:szCs w:val="24"/>
              </w:rPr>
              <w:t xml:space="preserve">51.panta pirmo </w:t>
            </w:r>
            <w:r w:rsidR="00120349" w:rsidRPr="0096043C">
              <w:rPr>
                <w:szCs w:val="24"/>
              </w:rPr>
              <w:t>daļu</w:t>
            </w:r>
            <w:r w:rsidRPr="0096043C">
              <w:rPr>
                <w:szCs w:val="24"/>
              </w:rPr>
              <w:t xml:space="preserve"> </w:t>
            </w:r>
            <w:r w:rsidR="00120349" w:rsidRPr="0096043C">
              <w:rPr>
                <w:szCs w:val="24"/>
              </w:rPr>
              <w:t>a</w:t>
            </w:r>
            <w:r w:rsidRPr="0096043C">
              <w:rPr>
                <w:szCs w:val="24"/>
              </w:rPr>
              <w:t xml:space="preserve">pdrošinātājiem ir pienākums izveidot un Latvijas Transportlīdzekļu apdrošinātāju birojam ir pienākums administrēt sauszemes transportlīdzekļu īpašnieku civiltiesiskās atbildības obligātās apdrošināšanas garantijas fondu (turpmāk – Garantijas fonds), </w:t>
            </w:r>
            <w:r w:rsidR="00120349" w:rsidRPr="0096043C">
              <w:rPr>
                <w:szCs w:val="24"/>
              </w:rPr>
              <w:t xml:space="preserve">kura </w:t>
            </w:r>
            <w:r w:rsidRPr="0096043C">
              <w:rPr>
                <w:szCs w:val="24"/>
              </w:rPr>
              <w:t xml:space="preserve">mērķis ir nodrošināt apdrošināšanas atlīdzības izmaksu </w:t>
            </w:r>
            <w:r w:rsidR="00120349" w:rsidRPr="0096043C">
              <w:rPr>
                <w:szCs w:val="24"/>
              </w:rPr>
              <w:t xml:space="preserve">OCTA likuma </w:t>
            </w:r>
            <w:r w:rsidRPr="0096043C">
              <w:rPr>
                <w:szCs w:val="24"/>
              </w:rPr>
              <w:t xml:space="preserve">51.pantā minēto zaudējumu </w:t>
            </w:r>
            <w:r w:rsidR="00120349" w:rsidRPr="0096043C">
              <w:rPr>
                <w:szCs w:val="24"/>
              </w:rPr>
              <w:t xml:space="preserve">un izdevumu </w:t>
            </w:r>
            <w:r w:rsidRPr="0096043C">
              <w:rPr>
                <w:szCs w:val="24"/>
              </w:rPr>
              <w:t>segšanai.</w:t>
            </w:r>
            <w:r w:rsidR="00120349" w:rsidRPr="0096043C">
              <w:rPr>
                <w:szCs w:val="24"/>
              </w:rPr>
              <w:t xml:space="preserve"> </w:t>
            </w:r>
            <w:r w:rsidR="00047DD9" w:rsidRPr="0096043C">
              <w:rPr>
                <w:szCs w:val="24"/>
              </w:rPr>
              <w:t>Garantijas fonda izveidošanas, uzkrāšanas un administrēšanas kārtību nosaka</w:t>
            </w:r>
            <w:r w:rsidRPr="0096043C">
              <w:rPr>
                <w:szCs w:val="24"/>
              </w:rPr>
              <w:t xml:space="preserve"> </w:t>
            </w:r>
            <w:r w:rsidR="00047DD9" w:rsidRPr="0096043C">
              <w:rPr>
                <w:rFonts w:eastAsia="Times New Roman" w:cs="Times New Roman"/>
                <w:iCs/>
                <w:color w:val="000000" w:themeColor="text1"/>
                <w:szCs w:val="24"/>
                <w:lang w:eastAsia="lv-LV"/>
              </w:rPr>
              <w:t>Ministru kabineta 2005.gada 22.marta noteikumiem Nr.195 “Sauszemes transportlīdzekļu īpašnieku civiltiesiskās atbildības obligātās apdrošināšanas garantijas fonda izveidošanas, uzkrāšanas un administrēšanas kārtība”</w:t>
            </w:r>
            <w:r w:rsidR="0015415F" w:rsidRPr="0096043C">
              <w:rPr>
                <w:rFonts w:eastAsia="Times New Roman" w:cs="Times New Roman"/>
                <w:iCs/>
                <w:color w:val="000000" w:themeColor="text1"/>
                <w:szCs w:val="24"/>
                <w:lang w:eastAsia="lv-LV"/>
              </w:rPr>
              <w:t xml:space="preserve">. Minētie Ministru kabineta noteikumi </w:t>
            </w:r>
            <w:r w:rsidRPr="0096043C">
              <w:rPr>
                <w:rFonts w:eastAsia="Times New Roman" w:cs="Times New Roman"/>
                <w:iCs/>
                <w:color w:val="000000" w:themeColor="text1"/>
                <w:szCs w:val="24"/>
                <w:lang w:eastAsia="lv-LV"/>
              </w:rPr>
              <w:t>nosaka apdrošinātāja pienākumu no katra OCTA līguma prēmijas aprēķināt un iemaksāt OCTA garantijas fondā daļu no saņemtās apdrošināšanas prēmijas, t.i., ikmēneša atskaitījumu. I</w:t>
            </w:r>
            <w:r w:rsidR="00047DD9" w:rsidRPr="0096043C">
              <w:rPr>
                <w:rFonts w:eastAsia="Times New Roman" w:cs="Times New Roman"/>
                <w:iCs/>
                <w:color w:val="000000" w:themeColor="text1"/>
                <w:szCs w:val="24"/>
                <w:lang w:eastAsia="lv-LV"/>
              </w:rPr>
              <w:t>kmēneša atskaitījuma apmērs ir noteikts kā nemainīga summa, ievērojot transportlīdzekļa veidu un</w:t>
            </w:r>
            <w:r w:rsidR="00120349" w:rsidRPr="0096043C">
              <w:rPr>
                <w:rFonts w:eastAsia="Times New Roman" w:cs="Times New Roman"/>
                <w:iCs/>
                <w:color w:val="000000" w:themeColor="text1"/>
                <w:szCs w:val="24"/>
                <w:lang w:eastAsia="lv-LV"/>
              </w:rPr>
              <w:t xml:space="preserve"> OCTA</w:t>
            </w:r>
            <w:r w:rsidR="00047DD9" w:rsidRPr="0096043C">
              <w:rPr>
                <w:rFonts w:eastAsia="Times New Roman" w:cs="Times New Roman"/>
                <w:iCs/>
                <w:color w:val="000000" w:themeColor="text1"/>
                <w:szCs w:val="24"/>
                <w:lang w:eastAsia="lv-LV"/>
              </w:rPr>
              <w:t xml:space="preserve"> līguma </w:t>
            </w:r>
            <w:r w:rsidR="00120349" w:rsidRPr="0096043C">
              <w:rPr>
                <w:rFonts w:eastAsia="Times New Roman" w:cs="Times New Roman"/>
                <w:iCs/>
                <w:color w:val="000000" w:themeColor="text1"/>
                <w:szCs w:val="24"/>
                <w:lang w:eastAsia="lv-LV"/>
              </w:rPr>
              <w:t xml:space="preserve">darbības </w:t>
            </w:r>
            <w:r w:rsidR="00047DD9" w:rsidRPr="0096043C">
              <w:rPr>
                <w:rFonts w:eastAsia="Times New Roman" w:cs="Times New Roman"/>
                <w:iCs/>
                <w:color w:val="000000" w:themeColor="text1"/>
                <w:szCs w:val="24"/>
                <w:lang w:eastAsia="lv-LV"/>
              </w:rPr>
              <w:t xml:space="preserve">termiņu.  </w:t>
            </w:r>
          </w:p>
          <w:p w14:paraId="05CB647F" w14:textId="77777777" w:rsidR="00047DD9" w:rsidRPr="0096043C" w:rsidRDefault="00047DD9" w:rsidP="008A6141">
            <w:pPr>
              <w:autoSpaceDE w:val="0"/>
              <w:autoSpaceDN w:val="0"/>
              <w:adjustRightInd w:val="0"/>
              <w:jc w:val="both"/>
              <w:rPr>
                <w:szCs w:val="24"/>
              </w:rPr>
            </w:pPr>
          </w:p>
          <w:p w14:paraId="249A7BA6" w14:textId="0AFC37E8" w:rsidR="00B444B2" w:rsidRPr="0096043C" w:rsidRDefault="008A6141" w:rsidP="00AA4A12">
            <w:pPr>
              <w:jc w:val="both"/>
              <w:rPr>
                <w:rFonts w:eastAsia="Calibri" w:cs="Times New Roman"/>
                <w:szCs w:val="24"/>
              </w:rPr>
            </w:pPr>
            <w:r w:rsidRPr="0096043C">
              <w:rPr>
                <w:szCs w:val="24"/>
              </w:rPr>
              <w:t xml:space="preserve">Līdz ar to ir </w:t>
            </w:r>
            <w:r w:rsidR="00DC7D28" w:rsidRPr="0096043C">
              <w:rPr>
                <w:szCs w:val="24"/>
              </w:rPr>
              <w:t xml:space="preserve">nepieciešams </w:t>
            </w:r>
            <w:r w:rsidRPr="0096043C">
              <w:rPr>
                <w:szCs w:val="24"/>
              </w:rPr>
              <w:t xml:space="preserve">izstrādāt </w:t>
            </w:r>
            <w:r w:rsidR="00B444B2" w:rsidRPr="0096043C">
              <w:rPr>
                <w:szCs w:val="24"/>
              </w:rPr>
              <w:t>Ministru kabineta noteikumu projekt</w:t>
            </w:r>
            <w:r w:rsidR="00DC7D28" w:rsidRPr="0096043C">
              <w:rPr>
                <w:szCs w:val="24"/>
              </w:rPr>
              <w:t>u</w:t>
            </w:r>
            <w:r w:rsidR="00B444B2" w:rsidRPr="0096043C">
              <w:rPr>
                <w:szCs w:val="24"/>
              </w:rPr>
              <w:t xml:space="preserve"> „Grozījumi Ministru kabineta 2005.gada 22.marta noteikumos Nr.195 “Sauszemes transportlīdzekļu īpašnieku civiltiesiskās atbildības obligātās apdrošināšanas garantijas fonda izveidošanas, uzkrāšanas un administrēšanas kārtība”” </w:t>
            </w:r>
            <w:r w:rsidR="00B444B2" w:rsidRPr="0096043C">
              <w:rPr>
                <w:rFonts w:eastAsia="Times New Roman"/>
                <w:bCs/>
                <w:iCs/>
                <w:szCs w:val="24"/>
                <w:lang w:eastAsia="lv-LV"/>
              </w:rPr>
              <w:t>(turpmāk – noteikumu projekts)</w:t>
            </w:r>
            <w:r w:rsidR="00530C70" w:rsidRPr="0096043C">
              <w:rPr>
                <w:rFonts w:eastAsia="Times New Roman"/>
                <w:bCs/>
                <w:iCs/>
                <w:szCs w:val="24"/>
                <w:lang w:eastAsia="lv-LV"/>
              </w:rPr>
              <w:t>,</w:t>
            </w:r>
            <w:r w:rsidR="00D93B44" w:rsidRPr="0096043C">
              <w:rPr>
                <w:rFonts w:eastAsia="Times New Roman"/>
                <w:bCs/>
                <w:iCs/>
                <w:szCs w:val="24"/>
                <w:lang w:eastAsia="lv-LV"/>
              </w:rPr>
              <w:t xml:space="preserve"> </w:t>
            </w:r>
            <w:r w:rsidR="00530C70" w:rsidRPr="0096043C">
              <w:rPr>
                <w:szCs w:val="24"/>
              </w:rPr>
              <w:t>lai noteiktu ikmēneša atskaitījum</w:t>
            </w:r>
            <w:r w:rsidR="003B30BD" w:rsidRPr="0096043C">
              <w:rPr>
                <w:szCs w:val="24"/>
              </w:rPr>
              <w:t>a</w:t>
            </w:r>
            <w:r w:rsidR="00530C70" w:rsidRPr="0096043C">
              <w:rPr>
                <w:szCs w:val="24"/>
              </w:rPr>
              <w:t xml:space="preserve"> apmēru par OCTA līgumu, </w:t>
            </w:r>
            <w:r w:rsidR="00AA4A12" w:rsidRPr="0096043C">
              <w:rPr>
                <w:szCs w:val="24"/>
              </w:rPr>
              <w:t>ņemot vērā OCTA likuma 9.pantā noteiktos</w:t>
            </w:r>
            <w:r w:rsidR="0015415F" w:rsidRPr="0096043C">
              <w:rPr>
                <w:szCs w:val="24"/>
              </w:rPr>
              <w:t xml:space="preserve"> </w:t>
            </w:r>
            <w:r w:rsidR="00AA4A12" w:rsidRPr="0096043C">
              <w:rPr>
                <w:szCs w:val="24"/>
              </w:rPr>
              <w:t>OCTA l</w:t>
            </w:r>
            <w:r w:rsidR="0015415F" w:rsidRPr="0096043C">
              <w:rPr>
                <w:szCs w:val="24"/>
              </w:rPr>
              <w:t xml:space="preserve">īguma </w:t>
            </w:r>
            <w:r w:rsidR="00AA4A12" w:rsidRPr="0096043C">
              <w:rPr>
                <w:szCs w:val="24"/>
              </w:rPr>
              <w:t xml:space="preserve">darbības </w:t>
            </w:r>
            <w:r w:rsidR="0015415F" w:rsidRPr="0096043C">
              <w:rPr>
                <w:szCs w:val="24"/>
              </w:rPr>
              <w:t>termiņus</w:t>
            </w:r>
            <w:r w:rsidR="00AA4A12" w:rsidRPr="0096043C">
              <w:rPr>
                <w:szCs w:val="24"/>
              </w:rPr>
              <w:t xml:space="preserve"> un attiecīgos izņēmuma gadījumus. </w:t>
            </w:r>
          </w:p>
        </w:tc>
      </w:tr>
      <w:tr w:rsidR="002E6246" w:rsidRPr="00047DD9" w14:paraId="3D8E39E8" w14:textId="77777777" w:rsidTr="2A45E688">
        <w:tc>
          <w:tcPr>
            <w:tcW w:w="710" w:type="dxa"/>
          </w:tcPr>
          <w:p w14:paraId="45A28F15" w14:textId="77777777" w:rsidR="002E6246" w:rsidRPr="00047DD9" w:rsidRDefault="002E6246" w:rsidP="002E6246">
            <w:pPr>
              <w:numPr>
                <w:ilvl w:val="0"/>
                <w:numId w:val="1"/>
              </w:numPr>
              <w:spacing w:after="160" w:line="259" w:lineRule="auto"/>
              <w:jc w:val="center"/>
              <w:rPr>
                <w:rFonts w:eastAsia="Calibri" w:cs="Times New Roman"/>
                <w:szCs w:val="24"/>
              </w:rPr>
            </w:pPr>
          </w:p>
        </w:tc>
        <w:tc>
          <w:tcPr>
            <w:tcW w:w="3005" w:type="dxa"/>
          </w:tcPr>
          <w:p w14:paraId="4495A350" w14:textId="77777777" w:rsidR="002E6246" w:rsidRPr="00047DD9" w:rsidRDefault="002E6246" w:rsidP="002E6246">
            <w:pPr>
              <w:rPr>
                <w:rFonts w:eastAsia="Times New Roman" w:cs="Times New Roman"/>
                <w:szCs w:val="24"/>
              </w:rPr>
            </w:pPr>
            <w:r w:rsidRPr="00047DD9">
              <w:rPr>
                <w:rFonts w:eastAsia="Times New Roman" w:cs="Times New Roman"/>
                <w:szCs w:val="24"/>
              </w:rPr>
              <w:t>Vadības darba plāna uzdevuma numurs un tā izpildes termiņš (ja nepieciešams)</w:t>
            </w:r>
          </w:p>
        </w:tc>
        <w:tc>
          <w:tcPr>
            <w:tcW w:w="6350" w:type="dxa"/>
          </w:tcPr>
          <w:p w14:paraId="75FFFEEF" w14:textId="77777777" w:rsidR="005D4BBE" w:rsidRPr="00047DD9" w:rsidRDefault="00076811" w:rsidP="00972F61">
            <w:pPr>
              <w:pStyle w:val="doc-ti"/>
              <w:spacing w:before="0" w:after="0"/>
              <w:jc w:val="left"/>
              <w:rPr>
                <w:b w:val="0"/>
                <w:iCs/>
              </w:rPr>
            </w:pPr>
            <w:r w:rsidRPr="00047DD9">
              <w:rPr>
                <w:b w:val="0"/>
                <w:iCs/>
              </w:rPr>
              <w:t>Nav attiecināms.</w:t>
            </w:r>
          </w:p>
        </w:tc>
      </w:tr>
      <w:tr w:rsidR="002E6246" w:rsidRPr="00047DD9" w14:paraId="18ADF702" w14:textId="77777777" w:rsidTr="2A45E688">
        <w:tc>
          <w:tcPr>
            <w:tcW w:w="710" w:type="dxa"/>
          </w:tcPr>
          <w:p w14:paraId="166D11E8" w14:textId="77777777" w:rsidR="002E6246" w:rsidRPr="00047DD9" w:rsidRDefault="002E6246" w:rsidP="002E6246">
            <w:pPr>
              <w:numPr>
                <w:ilvl w:val="0"/>
                <w:numId w:val="1"/>
              </w:numPr>
              <w:spacing w:after="160" w:line="259" w:lineRule="auto"/>
              <w:jc w:val="center"/>
              <w:rPr>
                <w:rFonts w:eastAsia="Calibri" w:cs="Times New Roman"/>
                <w:szCs w:val="24"/>
              </w:rPr>
            </w:pPr>
          </w:p>
        </w:tc>
        <w:tc>
          <w:tcPr>
            <w:tcW w:w="3005" w:type="dxa"/>
          </w:tcPr>
          <w:p w14:paraId="1E4E51FE" w14:textId="77777777" w:rsidR="002E6246" w:rsidRPr="00047DD9" w:rsidRDefault="002E6246" w:rsidP="002E6246">
            <w:pPr>
              <w:rPr>
                <w:rFonts w:eastAsia="Times New Roman" w:cs="Times New Roman"/>
                <w:szCs w:val="24"/>
                <w:highlight w:val="yellow"/>
              </w:rPr>
            </w:pPr>
            <w:r w:rsidRPr="00047DD9">
              <w:rPr>
                <w:rFonts w:eastAsia="Times New Roman" w:cs="Times New Roman"/>
                <w:szCs w:val="24"/>
              </w:rPr>
              <w:t>Projekta īss saturs</w:t>
            </w:r>
          </w:p>
        </w:tc>
        <w:tc>
          <w:tcPr>
            <w:tcW w:w="6350" w:type="dxa"/>
          </w:tcPr>
          <w:p w14:paraId="4E8E727B" w14:textId="779FF98E" w:rsidR="00462B39" w:rsidRDefault="00120349" w:rsidP="00462B39">
            <w:pPr>
              <w:autoSpaceDE w:val="0"/>
              <w:autoSpaceDN w:val="0"/>
              <w:adjustRightInd w:val="0"/>
              <w:jc w:val="both"/>
              <w:rPr>
                <w:szCs w:val="24"/>
              </w:rPr>
            </w:pPr>
            <w:r>
              <w:rPr>
                <w:szCs w:val="24"/>
              </w:rPr>
              <w:t>Noteikumu projekts paredz</w:t>
            </w:r>
            <w:r w:rsidR="00530C70" w:rsidRPr="00047DD9">
              <w:rPr>
                <w:szCs w:val="24"/>
              </w:rPr>
              <w:t xml:space="preserve"> grozījum</w:t>
            </w:r>
            <w:r>
              <w:rPr>
                <w:szCs w:val="24"/>
              </w:rPr>
              <w:t>us</w:t>
            </w:r>
            <w:r w:rsidR="00530C70" w:rsidRPr="00047DD9">
              <w:rPr>
                <w:szCs w:val="24"/>
              </w:rPr>
              <w:t xml:space="preserve"> Ministru kabineta 2005.gada 22.marta noteikumu Nr.195 “Sauszemes transportlīdzekļu īpašnieku civiltiesiskās atbildības obligātās apdrošināšanas garantijas fonda izveidošanas, uzkrāšanas un administrēšanas kārtība” pielikuma tabulā, </w:t>
            </w:r>
            <w:r>
              <w:rPr>
                <w:szCs w:val="24"/>
              </w:rPr>
              <w:t xml:space="preserve">nosakot </w:t>
            </w:r>
            <w:r w:rsidR="00530C70" w:rsidRPr="00047DD9">
              <w:rPr>
                <w:szCs w:val="24"/>
              </w:rPr>
              <w:t>ikmēneša atskaitījumu apmēru</w:t>
            </w:r>
            <w:r>
              <w:rPr>
                <w:szCs w:val="24"/>
              </w:rPr>
              <w:t xml:space="preserve"> </w:t>
            </w:r>
            <w:r w:rsidR="00530C70" w:rsidRPr="00047DD9">
              <w:rPr>
                <w:szCs w:val="24"/>
              </w:rPr>
              <w:t>par OCTA līgumu, kur</w:t>
            </w:r>
            <w:r w:rsidR="00462B39">
              <w:rPr>
                <w:szCs w:val="24"/>
              </w:rPr>
              <w:t>š ir noslēgts ar</w:t>
            </w:r>
            <w:r w:rsidR="00530C70" w:rsidRPr="00047DD9">
              <w:rPr>
                <w:szCs w:val="24"/>
              </w:rPr>
              <w:t xml:space="preserve"> darbības </w:t>
            </w:r>
            <w:r w:rsidR="00195ECB" w:rsidRPr="00047DD9">
              <w:rPr>
                <w:szCs w:val="24"/>
              </w:rPr>
              <w:t>termiņ</w:t>
            </w:r>
            <w:r w:rsidR="00462B39">
              <w:rPr>
                <w:szCs w:val="24"/>
              </w:rPr>
              <w:t>u:</w:t>
            </w:r>
          </w:p>
          <w:p w14:paraId="4FB1AAA6" w14:textId="4420F8F8" w:rsidR="00462B39" w:rsidRDefault="00462B39" w:rsidP="00462B39">
            <w:pPr>
              <w:autoSpaceDE w:val="0"/>
              <w:autoSpaceDN w:val="0"/>
              <w:adjustRightInd w:val="0"/>
              <w:jc w:val="both"/>
              <w:rPr>
                <w:szCs w:val="24"/>
              </w:rPr>
            </w:pPr>
            <w:r>
              <w:rPr>
                <w:szCs w:val="24"/>
              </w:rPr>
              <w:t>1) l</w:t>
            </w:r>
            <w:r w:rsidRPr="00462B39">
              <w:rPr>
                <w:szCs w:val="24"/>
              </w:rPr>
              <w:t>īdz 3 mēneš</w:t>
            </w:r>
            <w:r>
              <w:rPr>
                <w:szCs w:val="24"/>
              </w:rPr>
              <w:t>iem;</w:t>
            </w:r>
          </w:p>
          <w:p w14:paraId="4CC02BFE" w14:textId="2D2B2D37" w:rsidR="00462B39" w:rsidRDefault="00462B39" w:rsidP="00462B39">
            <w:pPr>
              <w:autoSpaceDE w:val="0"/>
              <w:autoSpaceDN w:val="0"/>
              <w:adjustRightInd w:val="0"/>
              <w:jc w:val="both"/>
              <w:rPr>
                <w:szCs w:val="24"/>
              </w:rPr>
            </w:pPr>
            <w:r>
              <w:rPr>
                <w:szCs w:val="24"/>
              </w:rPr>
              <w:t>2) n</w:t>
            </w:r>
            <w:r w:rsidRPr="00462B39">
              <w:rPr>
                <w:szCs w:val="24"/>
              </w:rPr>
              <w:t>o 3 mēneši</w:t>
            </w:r>
            <w:r>
              <w:rPr>
                <w:szCs w:val="24"/>
              </w:rPr>
              <w:t>em</w:t>
            </w:r>
            <w:r w:rsidRPr="00462B39">
              <w:rPr>
                <w:szCs w:val="24"/>
              </w:rPr>
              <w:t xml:space="preserve"> </w:t>
            </w:r>
            <w:r>
              <w:rPr>
                <w:szCs w:val="24"/>
              </w:rPr>
              <w:t xml:space="preserve">un </w:t>
            </w:r>
            <w:r w:rsidRPr="00462B39">
              <w:rPr>
                <w:szCs w:val="24"/>
              </w:rPr>
              <w:t>1 diena</w:t>
            </w:r>
            <w:r>
              <w:rPr>
                <w:szCs w:val="24"/>
              </w:rPr>
              <w:t>s</w:t>
            </w:r>
            <w:r w:rsidRPr="00462B39">
              <w:rPr>
                <w:szCs w:val="24"/>
              </w:rPr>
              <w:t xml:space="preserve"> līdz 6 mēneši</w:t>
            </w:r>
            <w:r>
              <w:rPr>
                <w:szCs w:val="24"/>
              </w:rPr>
              <w:t>em;</w:t>
            </w:r>
          </w:p>
          <w:p w14:paraId="44EA7D98" w14:textId="01564C95" w:rsidR="00462B39" w:rsidRDefault="00462B39" w:rsidP="00462B39">
            <w:pPr>
              <w:autoSpaceDE w:val="0"/>
              <w:autoSpaceDN w:val="0"/>
              <w:adjustRightInd w:val="0"/>
              <w:jc w:val="both"/>
              <w:rPr>
                <w:szCs w:val="24"/>
              </w:rPr>
            </w:pPr>
            <w:r>
              <w:rPr>
                <w:szCs w:val="24"/>
              </w:rPr>
              <w:lastRenderedPageBreak/>
              <w:t>3) n</w:t>
            </w:r>
            <w:r w:rsidRPr="00462B39">
              <w:rPr>
                <w:szCs w:val="24"/>
              </w:rPr>
              <w:t>o 6 mēneši</w:t>
            </w:r>
            <w:r>
              <w:rPr>
                <w:szCs w:val="24"/>
              </w:rPr>
              <w:t xml:space="preserve">em un </w:t>
            </w:r>
            <w:r w:rsidRPr="00462B39">
              <w:rPr>
                <w:szCs w:val="24"/>
              </w:rPr>
              <w:t>1 diena</w:t>
            </w:r>
            <w:r>
              <w:rPr>
                <w:szCs w:val="24"/>
              </w:rPr>
              <w:t xml:space="preserve">s </w:t>
            </w:r>
            <w:r w:rsidRPr="00462B39">
              <w:rPr>
                <w:szCs w:val="24"/>
              </w:rPr>
              <w:t>līdz 9 mēneši</w:t>
            </w:r>
            <w:r>
              <w:rPr>
                <w:szCs w:val="24"/>
              </w:rPr>
              <w:t>em;</w:t>
            </w:r>
          </w:p>
          <w:p w14:paraId="454E91E0" w14:textId="0F2A7BFC" w:rsidR="00462B39" w:rsidRDefault="00462B39" w:rsidP="00462B39">
            <w:pPr>
              <w:autoSpaceDE w:val="0"/>
              <w:autoSpaceDN w:val="0"/>
              <w:adjustRightInd w:val="0"/>
              <w:jc w:val="both"/>
              <w:rPr>
                <w:szCs w:val="24"/>
              </w:rPr>
            </w:pPr>
            <w:r>
              <w:rPr>
                <w:szCs w:val="24"/>
              </w:rPr>
              <w:t>4) n</w:t>
            </w:r>
            <w:r w:rsidRPr="00462B39">
              <w:rPr>
                <w:szCs w:val="24"/>
              </w:rPr>
              <w:t>o 9 mēneši</w:t>
            </w:r>
            <w:r>
              <w:rPr>
                <w:szCs w:val="24"/>
              </w:rPr>
              <w:t>em</w:t>
            </w:r>
            <w:r w:rsidRPr="00462B39">
              <w:rPr>
                <w:szCs w:val="24"/>
              </w:rPr>
              <w:t xml:space="preserve"> </w:t>
            </w:r>
            <w:r>
              <w:rPr>
                <w:szCs w:val="24"/>
              </w:rPr>
              <w:t xml:space="preserve">un </w:t>
            </w:r>
            <w:r w:rsidRPr="00462B39">
              <w:rPr>
                <w:szCs w:val="24"/>
              </w:rPr>
              <w:t>1 diena</w:t>
            </w:r>
            <w:r>
              <w:rPr>
                <w:szCs w:val="24"/>
              </w:rPr>
              <w:t>s</w:t>
            </w:r>
            <w:r w:rsidRPr="00462B39">
              <w:rPr>
                <w:szCs w:val="24"/>
              </w:rPr>
              <w:t xml:space="preserve"> līdz 12 mēneši</w:t>
            </w:r>
            <w:r>
              <w:rPr>
                <w:szCs w:val="24"/>
              </w:rPr>
              <w:t>em.</w:t>
            </w:r>
          </w:p>
          <w:p w14:paraId="16751375" w14:textId="69A803DA" w:rsidR="00530C70" w:rsidRPr="00047DD9" w:rsidRDefault="00530C70" w:rsidP="00462B39">
            <w:pPr>
              <w:autoSpaceDE w:val="0"/>
              <w:autoSpaceDN w:val="0"/>
              <w:adjustRightInd w:val="0"/>
              <w:jc w:val="both"/>
              <w:rPr>
                <w:szCs w:val="24"/>
              </w:rPr>
            </w:pPr>
          </w:p>
        </w:tc>
      </w:tr>
      <w:tr w:rsidR="002E6246" w:rsidRPr="00047DD9" w14:paraId="12E3A7C9" w14:textId="77777777" w:rsidTr="2A45E688">
        <w:tc>
          <w:tcPr>
            <w:tcW w:w="710" w:type="dxa"/>
          </w:tcPr>
          <w:p w14:paraId="6524DD2E" w14:textId="77777777" w:rsidR="002E6246" w:rsidRPr="00047DD9" w:rsidRDefault="002E6246" w:rsidP="002E6246">
            <w:pPr>
              <w:numPr>
                <w:ilvl w:val="0"/>
                <w:numId w:val="1"/>
              </w:numPr>
              <w:spacing w:after="160" w:line="259" w:lineRule="auto"/>
              <w:jc w:val="center"/>
              <w:rPr>
                <w:rFonts w:eastAsia="Calibri" w:cs="Times New Roman"/>
                <w:szCs w:val="24"/>
              </w:rPr>
            </w:pPr>
          </w:p>
        </w:tc>
        <w:tc>
          <w:tcPr>
            <w:tcW w:w="3005" w:type="dxa"/>
          </w:tcPr>
          <w:p w14:paraId="71B625FF" w14:textId="77777777" w:rsidR="002E6246" w:rsidRPr="00047DD9" w:rsidRDefault="002E6246" w:rsidP="002E6246">
            <w:pPr>
              <w:rPr>
                <w:rFonts w:eastAsia="Times New Roman" w:cs="Times New Roman"/>
                <w:szCs w:val="24"/>
              </w:rPr>
            </w:pPr>
            <w:r w:rsidRPr="00047DD9">
              <w:rPr>
                <w:rFonts w:eastAsia="Times New Roman" w:cs="Times New Roman"/>
                <w:szCs w:val="24"/>
              </w:rPr>
              <w:t>Iespējamie risinājuma varianti (ja nepieciešams)</w:t>
            </w:r>
          </w:p>
        </w:tc>
        <w:tc>
          <w:tcPr>
            <w:tcW w:w="6350" w:type="dxa"/>
          </w:tcPr>
          <w:p w14:paraId="6E2820A1" w14:textId="77777777" w:rsidR="002E6246" w:rsidRPr="00047DD9" w:rsidRDefault="002E6246" w:rsidP="002E6246">
            <w:pPr>
              <w:spacing w:after="60"/>
              <w:jc w:val="both"/>
              <w:rPr>
                <w:rFonts w:eastAsia="Times New Roman" w:cs="Times New Roman"/>
                <w:szCs w:val="24"/>
              </w:rPr>
            </w:pPr>
            <w:r w:rsidRPr="00047DD9">
              <w:rPr>
                <w:rFonts w:eastAsia="Times New Roman" w:cs="Times New Roman"/>
                <w:szCs w:val="24"/>
              </w:rPr>
              <w:t>Nav</w:t>
            </w:r>
            <w:r w:rsidR="00C72F1A" w:rsidRPr="00047DD9">
              <w:rPr>
                <w:rFonts w:eastAsia="Times New Roman" w:cs="Times New Roman"/>
                <w:szCs w:val="24"/>
              </w:rPr>
              <w:t xml:space="preserve"> citi risinājumi.</w:t>
            </w:r>
          </w:p>
        </w:tc>
      </w:tr>
      <w:tr w:rsidR="002E6246" w:rsidRPr="00047DD9" w14:paraId="12BB06A4" w14:textId="77777777" w:rsidTr="2A45E688">
        <w:tc>
          <w:tcPr>
            <w:tcW w:w="710" w:type="dxa"/>
          </w:tcPr>
          <w:p w14:paraId="4810C09E" w14:textId="77777777" w:rsidR="002E6246" w:rsidRPr="00047DD9" w:rsidRDefault="002E6246" w:rsidP="002E6246">
            <w:pPr>
              <w:numPr>
                <w:ilvl w:val="0"/>
                <w:numId w:val="1"/>
              </w:numPr>
              <w:spacing w:after="160" w:line="259" w:lineRule="auto"/>
              <w:jc w:val="center"/>
              <w:rPr>
                <w:rFonts w:eastAsia="Calibri" w:cs="Times New Roman"/>
                <w:szCs w:val="24"/>
              </w:rPr>
            </w:pPr>
          </w:p>
        </w:tc>
        <w:tc>
          <w:tcPr>
            <w:tcW w:w="3005" w:type="dxa"/>
          </w:tcPr>
          <w:p w14:paraId="23E8DF96" w14:textId="77777777" w:rsidR="002E6246" w:rsidRPr="00047DD9" w:rsidRDefault="002E6246" w:rsidP="002E6246">
            <w:pPr>
              <w:rPr>
                <w:rFonts w:eastAsia="Times New Roman" w:cs="Times New Roman"/>
                <w:szCs w:val="24"/>
              </w:rPr>
            </w:pPr>
            <w:r w:rsidRPr="00047DD9">
              <w:rPr>
                <w:rFonts w:eastAsia="Times New Roman" w:cs="Times New Roman"/>
                <w:szCs w:val="24"/>
              </w:rPr>
              <w:t>Par projektu nosakāmā atbildīgā amatpersona</w:t>
            </w:r>
          </w:p>
        </w:tc>
        <w:tc>
          <w:tcPr>
            <w:tcW w:w="6350" w:type="dxa"/>
          </w:tcPr>
          <w:p w14:paraId="36224F76" w14:textId="77777777" w:rsidR="002E6246" w:rsidRPr="00047DD9" w:rsidRDefault="002E6246" w:rsidP="00C72F1A">
            <w:pPr>
              <w:spacing w:after="60"/>
              <w:jc w:val="both"/>
              <w:rPr>
                <w:rFonts w:eastAsia="Times New Roman" w:cs="Times New Roman"/>
                <w:szCs w:val="24"/>
              </w:rPr>
            </w:pPr>
            <w:r w:rsidRPr="00047DD9">
              <w:rPr>
                <w:rFonts w:eastAsia="Times New Roman" w:cs="Times New Roman"/>
                <w:szCs w:val="24"/>
              </w:rPr>
              <w:t xml:space="preserve">Finanšu ministrijas Finanšu tirgus politikas departamenta direktore </w:t>
            </w:r>
            <w:r w:rsidR="00C72F1A" w:rsidRPr="00047DD9">
              <w:rPr>
                <w:rFonts w:eastAsia="Times New Roman" w:cs="Times New Roman"/>
                <w:szCs w:val="24"/>
              </w:rPr>
              <w:t>Aija Zitcere</w:t>
            </w:r>
          </w:p>
        </w:tc>
      </w:tr>
      <w:tr w:rsidR="002E6246" w:rsidRPr="00047DD9" w14:paraId="461FE1A3" w14:textId="77777777" w:rsidTr="2A45E688">
        <w:tc>
          <w:tcPr>
            <w:tcW w:w="710" w:type="dxa"/>
          </w:tcPr>
          <w:p w14:paraId="479A9CF7" w14:textId="77777777" w:rsidR="002E6246" w:rsidRPr="00047DD9" w:rsidRDefault="002E6246" w:rsidP="002E6246">
            <w:pPr>
              <w:numPr>
                <w:ilvl w:val="0"/>
                <w:numId w:val="1"/>
              </w:numPr>
              <w:spacing w:after="160" w:line="259" w:lineRule="auto"/>
              <w:jc w:val="center"/>
              <w:rPr>
                <w:rFonts w:eastAsia="Calibri" w:cs="Times New Roman"/>
                <w:szCs w:val="24"/>
              </w:rPr>
            </w:pPr>
          </w:p>
        </w:tc>
        <w:tc>
          <w:tcPr>
            <w:tcW w:w="3005" w:type="dxa"/>
          </w:tcPr>
          <w:p w14:paraId="543BA5B4" w14:textId="77777777" w:rsidR="002E6246" w:rsidRPr="00047DD9" w:rsidRDefault="002E6246" w:rsidP="002E6246">
            <w:pPr>
              <w:rPr>
                <w:rFonts w:eastAsia="Times New Roman" w:cs="Times New Roman"/>
                <w:szCs w:val="24"/>
              </w:rPr>
            </w:pPr>
            <w:r w:rsidRPr="00047DD9">
              <w:rPr>
                <w:rFonts w:eastAsia="Times New Roman" w:cs="Times New Roman"/>
                <w:szCs w:val="24"/>
              </w:rPr>
              <w:t>Nosakāmais projekta sagatavotājs (ja nepieciešams)</w:t>
            </w:r>
          </w:p>
        </w:tc>
        <w:tc>
          <w:tcPr>
            <w:tcW w:w="6350" w:type="dxa"/>
          </w:tcPr>
          <w:p w14:paraId="20D17DDF" w14:textId="7ECA4B2C" w:rsidR="002E6246" w:rsidRPr="00047DD9" w:rsidRDefault="002E6246" w:rsidP="00E91330">
            <w:pPr>
              <w:spacing w:after="60"/>
              <w:jc w:val="both"/>
              <w:rPr>
                <w:rFonts w:eastAsia="Calibri" w:cs="Times New Roman"/>
                <w:szCs w:val="24"/>
              </w:rPr>
            </w:pPr>
            <w:r w:rsidRPr="00047DD9">
              <w:rPr>
                <w:rFonts w:eastAsia="Times New Roman" w:cs="Times New Roman"/>
                <w:szCs w:val="24"/>
              </w:rPr>
              <w:t>Finanšu ministrijas Finanšu tirgus politikas departamenta</w:t>
            </w:r>
            <w:r w:rsidR="00E91330" w:rsidRPr="00047DD9">
              <w:rPr>
                <w:rFonts w:eastAsia="Times New Roman" w:cs="Times New Roman"/>
                <w:szCs w:val="24"/>
              </w:rPr>
              <w:t xml:space="preserve"> </w:t>
            </w:r>
            <w:r w:rsidR="00226CF4" w:rsidRPr="00047DD9">
              <w:rPr>
                <w:rFonts w:eastAsia="Times New Roman" w:cs="Times New Roman"/>
                <w:szCs w:val="24"/>
              </w:rPr>
              <w:t>Kapitāla tirgus un apdrošināšanas politikas nodaļas juriskonsulte Inese Albova</w:t>
            </w:r>
          </w:p>
        </w:tc>
      </w:tr>
      <w:tr w:rsidR="002E6246" w:rsidRPr="00047DD9" w14:paraId="787539A1" w14:textId="77777777" w:rsidTr="2A45E688">
        <w:tc>
          <w:tcPr>
            <w:tcW w:w="710" w:type="dxa"/>
          </w:tcPr>
          <w:p w14:paraId="7FC6FE2B" w14:textId="77777777" w:rsidR="002E6246" w:rsidRPr="00047DD9" w:rsidRDefault="002E6246" w:rsidP="002E6246">
            <w:pPr>
              <w:numPr>
                <w:ilvl w:val="0"/>
                <w:numId w:val="1"/>
              </w:numPr>
              <w:spacing w:after="160" w:line="259" w:lineRule="auto"/>
              <w:jc w:val="center"/>
              <w:rPr>
                <w:rFonts w:eastAsia="Calibri" w:cs="Times New Roman"/>
                <w:szCs w:val="24"/>
              </w:rPr>
            </w:pPr>
          </w:p>
        </w:tc>
        <w:tc>
          <w:tcPr>
            <w:tcW w:w="3005" w:type="dxa"/>
          </w:tcPr>
          <w:p w14:paraId="51C7635C" w14:textId="77777777" w:rsidR="002E6246" w:rsidRPr="00047DD9" w:rsidRDefault="002E6246" w:rsidP="002E6246">
            <w:pPr>
              <w:rPr>
                <w:rFonts w:eastAsia="Times New Roman" w:cs="Times New Roman"/>
                <w:szCs w:val="24"/>
              </w:rPr>
            </w:pPr>
            <w:r w:rsidRPr="00047DD9">
              <w:rPr>
                <w:rFonts w:eastAsia="Times New Roman" w:cs="Times New Roman"/>
                <w:szCs w:val="24"/>
              </w:rPr>
              <w:t>Darba grupas vadītājs un iespējamais sastāvs (ja nepieciešams)</w:t>
            </w:r>
          </w:p>
        </w:tc>
        <w:tc>
          <w:tcPr>
            <w:tcW w:w="6350" w:type="dxa"/>
          </w:tcPr>
          <w:p w14:paraId="7741757F" w14:textId="77777777" w:rsidR="002E6246" w:rsidRPr="00047DD9" w:rsidRDefault="002E6246" w:rsidP="002E6246">
            <w:pPr>
              <w:spacing w:after="60"/>
              <w:jc w:val="both"/>
              <w:rPr>
                <w:rFonts w:eastAsia="Calibri" w:cs="Times New Roman"/>
                <w:szCs w:val="24"/>
                <w:lang w:eastAsia="lv-LV"/>
              </w:rPr>
            </w:pPr>
            <w:r w:rsidRPr="00047DD9">
              <w:rPr>
                <w:rFonts w:eastAsia="Calibri" w:cs="Times New Roman"/>
                <w:szCs w:val="24"/>
              </w:rPr>
              <w:t>Darba grupa nav nepieciešama</w:t>
            </w:r>
            <w:r w:rsidR="00C72F1A" w:rsidRPr="00047DD9">
              <w:rPr>
                <w:rFonts w:eastAsia="Calibri" w:cs="Times New Roman"/>
                <w:szCs w:val="24"/>
              </w:rPr>
              <w:t>.</w:t>
            </w:r>
          </w:p>
        </w:tc>
      </w:tr>
      <w:tr w:rsidR="002E6246" w:rsidRPr="00047DD9" w14:paraId="1863AA7C" w14:textId="77777777" w:rsidTr="2A45E688">
        <w:tc>
          <w:tcPr>
            <w:tcW w:w="710" w:type="dxa"/>
          </w:tcPr>
          <w:p w14:paraId="67CDCA75" w14:textId="77777777" w:rsidR="002E6246" w:rsidRPr="00047DD9" w:rsidRDefault="002E6246" w:rsidP="002E6246">
            <w:pPr>
              <w:numPr>
                <w:ilvl w:val="0"/>
                <w:numId w:val="1"/>
              </w:numPr>
              <w:spacing w:after="160" w:line="259" w:lineRule="auto"/>
              <w:jc w:val="center"/>
              <w:rPr>
                <w:rFonts w:eastAsia="Calibri" w:cs="Times New Roman"/>
                <w:szCs w:val="24"/>
              </w:rPr>
            </w:pPr>
          </w:p>
        </w:tc>
        <w:tc>
          <w:tcPr>
            <w:tcW w:w="3005" w:type="dxa"/>
          </w:tcPr>
          <w:p w14:paraId="37B619D2" w14:textId="77777777" w:rsidR="002E6246" w:rsidRPr="00047DD9" w:rsidRDefault="002E6246" w:rsidP="002E6246">
            <w:pPr>
              <w:rPr>
                <w:rFonts w:eastAsia="Times New Roman" w:cs="Times New Roman"/>
                <w:szCs w:val="24"/>
              </w:rPr>
            </w:pPr>
            <w:r w:rsidRPr="00047DD9">
              <w:rPr>
                <w:rFonts w:eastAsia="Calibri" w:cs="Times New Roman"/>
                <w:szCs w:val="24"/>
              </w:rPr>
              <w:t>Sabiedrības līdzdalība</w:t>
            </w:r>
          </w:p>
        </w:tc>
        <w:tc>
          <w:tcPr>
            <w:tcW w:w="6350" w:type="dxa"/>
          </w:tcPr>
          <w:p w14:paraId="1601B82D" w14:textId="635F6A10" w:rsidR="00213E86" w:rsidRPr="00047DD9" w:rsidRDefault="2A45E688" w:rsidP="00344601">
            <w:pPr>
              <w:spacing w:after="60"/>
              <w:jc w:val="both"/>
              <w:rPr>
                <w:rFonts w:ascii="Times New Roman,Calibri" w:eastAsia="Times New Roman,Calibri" w:hAnsi="Times New Roman,Calibri" w:cs="Times New Roman,Calibri"/>
                <w:szCs w:val="24"/>
              </w:rPr>
            </w:pPr>
            <w:r w:rsidRPr="00047DD9">
              <w:rPr>
                <w:rFonts w:ascii="Times New Roman,Calibri" w:eastAsia="Times New Roman,Calibri" w:hAnsi="Times New Roman,Calibri" w:cs="Times New Roman,Calibri"/>
                <w:szCs w:val="24"/>
              </w:rPr>
              <w:t xml:space="preserve">Uzziņa </w:t>
            </w:r>
            <w:r w:rsidR="00516CB9" w:rsidRPr="00047DD9">
              <w:rPr>
                <w:rFonts w:ascii="Times New Roman,Calibri" w:eastAsia="Times New Roman,Calibri" w:hAnsi="Times New Roman,Calibri" w:cs="Times New Roman,Calibri"/>
                <w:szCs w:val="24"/>
              </w:rPr>
              <w:t>tiks publicēt</w:t>
            </w:r>
            <w:r w:rsidRPr="00047DD9">
              <w:rPr>
                <w:rFonts w:ascii="Times New Roman,Calibri" w:eastAsia="Times New Roman,Calibri" w:hAnsi="Times New Roman,Calibri" w:cs="Times New Roman,Calibri"/>
                <w:szCs w:val="24"/>
              </w:rPr>
              <w:t>a</w:t>
            </w:r>
            <w:r w:rsidR="00516CB9" w:rsidRPr="00047DD9">
              <w:rPr>
                <w:rFonts w:ascii="Times New Roman,Calibri" w:eastAsia="Times New Roman,Calibri" w:hAnsi="Times New Roman,Calibri" w:cs="Times New Roman,Calibri"/>
                <w:szCs w:val="24"/>
              </w:rPr>
              <w:t xml:space="preserve"> Finanšu ministrijas tīmekļa vietnē </w:t>
            </w:r>
            <w:r w:rsidR="00D815A4" w:rsidRPr="00047DD9">
              <w:rPr>
                <w:rFonts w:eastAsia="Calibri" w:cs="Times New Roman"/>
                <w:szCs w:val="24"/>
              </w:rPr>
              <w:t xml:space="preserve">sadaļā “Sabiedrības līdzdalība”, kurā noteiktais termiņš sabiedrības līdzdalībai ir </w:t>
            </w:r>
            <w:r w:rsidR="003B30BD" w:rsidRPr="00047DD9">
              <w:rPr>
                <w:rFonts w:ascii="Times New Roman,Calibri" w:eastAsia="Times New Roman,Calibri" w:hAnsi="Times New Roman,Calibri" w:cs="Times New Roman,Calibri"/>
                <w:szCs w:val="24"/>
              </w:rPr>
              <w:t>22</w:t>
            </w:r>
            <w:r w:rsidR="007813AA" w:rsidRPr="00047DD9">
              <w:rPr>
                <w:rFonts w:ascii="Times New Roman,Calibri" w:eastAsia="Times New Roman,Calibri" w:hAnsi="Times New Roman,Calibri" w:cs="Times New Roman,Calibri"/>
                <w:szCs w:val="24"/>
              </w:rPr>
              <w:t>.</w:t>
            </w:r>
            <w:r w:rsidR="007813AA" w:rsidRPr="00047DD9">
              <w:rPr>
                <w:rFonts w:ascii="Times New Roman,Calibri" w:eastAsia="Times New Roman,Calibri" w:hAnsi="Times New Roman,Calibri" w:cs="Times New Roman,Calibri"/>
                <w:szCs w:val="24"/>
              </w:rPr>
              <w:softHyphen/>
            </w:r>
            <w:r w:rsidR="007813AA" w:rsidRPr="00047DD9">
              <w:rPr>
                <w:rFonts w:ascii="Times New Roman,Calibri" w:eastAsia="Times New Roman,Calibri" w:hAnsi="Times New Roman,Calibri" w:cs="Times New Roman,Calibri"/>
                <w:szCs w:val="24"/>
              </w:rPr>
              <w:softHyphen/>
            </w:r>
            <w:r w:rsidR="003B30BD" w:rsidRPr="00047DD9">
              <w:rPr>
                <w:rFonts w:ascii="Times New Roman,Calibri" w:eastAsia="Times New Roman,Calibri" w:hAnsi="Times New Roman,Calibri" w:cs="Times New Roman,Calibri"/>
                <w:szCs w:val="24"/>
              </w:rPr>
              <w:t>02</w:t>
            </w:r>
            <w:r w:rsidR="00BB618A" w:rsidRPr="00047DD9">
              <w:rPr>
                <w:rFonts w:ascii="Times New Roman,Calibri" w:eastAsia="Times New Roman,Calibri" w:hAnsi="Times New Roman,Calibri" w:cs="Times New Roman,Calibri"/>
                <w:szCs w:val="24"/>
              </w:rPr>
              <w:t>.20</w:t>
            </w:r>
            <w:r w:rsidR="003B30BD" w:rsidRPr="00047DD9">
              <w:rPr>
                <w:rFonts w:ascii="Times New Roman,Calibri" w:eastAsia="Times New Roman,Calibri" w:hAnsi="Times New Roman,Calibri" w:cs="Times New Roman,Calibri"/>
                <w:szCs w:val="24"/>
              </w:rPr>
              <w:t>21</w:t>
            </w:r>
            <w:r w:rsidR="00BB618A" w:rsidRPr="00047DD9">
              <w:rPr>
                <w:rFonts w:ascii="Times New Roman,Calibri" w:eastAsia="Times New Roman,Calibri" w:hAnsi="Times New Roman,Calibri" w:cs="Times New Roman,Calibri"/>
                <w:szCs w:val="24"/>
              </w:rPr>
              <w:t>.</w:t>
            </w:r>
            <w:r w:rsidR="00D428D1" w:rsidRPr="00047DD9">
              <w:rPr>
                <w:rFonts w:ascii="Times New Roman,Calibri" w:eastAsia="Times New Roman,Calibri" w:hAnsi="Times New Roman,Calibri" w:cs="Times New Roman,Calibri"/>
                <w:szCs w:val="24"/>
              </w:rPr>
              <w:t xml:space="preserve"> </w:t>
            </w:r>
            <w:r w:rsidR="00213E86" w:rsidRPr="00047DD9">
              <w:rPr>
                <w:szCs w:val="24"/>
              </w:rPr>
              <w:t xml:space="preserve">Līdz ar to sabiedrības pārstāvji un tirgus dalībnieki varēs līdzdarboties noteikumu projekta izstrādē, </w:t>
            </w:r>
            <w:proofErr w:type="spellStart"/>
            <w:r w:rsidR="00213E86" w:rsidRPr="00047DD9">
              <w:rPr>
                <w:szCs w:val="24"/>
              </w:rPr>
              <w:t>rakstveidā</w:t>
            </w:r>
            <w:proofErr w:type="spellEnd"/>
            <w:r w:rsidR="00213E86" w:rsidRPr="00047DD9">
              <w:rPr>
                <w:szCs w:val="24"/>
              </w:rPr>
              <w:t xml:space="preserve"> sniedzot viedokļus. Tāpat sabiedrības pārstāvji varēs sniegt viedokļus par </w:t>
            </w:r>
            <w:r w:rsidR="00D428D1" w:rsidRPr="00047DD9">
              <w:rPr>
                <w:szCs w:val="24"/>
              </w:rPr>
              <w:t xml:space="preserve">noteikumu </w:t>
            </w:r>
            <w:r w:rsidR="00213E86" w:rsidRPr="00047DD9">
              <w:rPr>
                <w:szCs w:val="24"/>
              </w:rPr>
              <w:t>projektu pēc tā izsludināšanas Valsts sekretāru sanāksmē.</w:t>
            </w:r>
          </w:p>
          <w:p w14:paraId="237148F2" w14:textId="6335CC1D" w:rsidR="00213E86" w:rsidRPr="00047DD9" w:rsidRDefault="00213E86" w:rsidP="00344601">
            <w:pPr>
              <w:spacing w:after="60"/>
              <w:jc w:val="both"/>
              <w:rPr>
                <w:rFonts w:eastAsia="Calibri" w:cs="Times New Roman"/>
                <w:szCs w:val="24"/>
              </w:rPr>
            </w:pPr>
          </w:p>
        </w:tc>
      </w:tr>
      <w:tr w:rsidR="002E6246" w:rsidRPr="00047DD9" w14:paraId="6CF3A075" w14:textId="77777777" w:rsidTr="009D471B">
        <w:trPr>
          <w:trHeight w:val="907"/>
        </w:trPr>
        <w:tc>
          <w:tcPr>
            <w:tcW w:w="710" w:type="dxa"/>
          </w:tcPr>
          <w:p w14:paraId="5FCE7A86" w14:textId="77777777" w:rsidR="002E6246" w:rsidRPr="00047DD9" w:rsidRDefault="002E6246" w:rsidP="002E6246">
            <w:pPr>
              <w:numPr>
                <w:ilvl w:val="0"/>
                <w:numId w:val="1"/>
              </w:numPr>
              <w:spacing w:after="160" w:line="259" w:lineRule="auto"/>
              <w:jc w:val="center"/>
              <w:rPr>
                <w:rFonts w:eastAsia="Calibri" w:cs="Times New Roman"/>
                <w:szCs w:val="24"/>
              </w:rPr>
            </w:pPr>
          </w:p>
        </w:tc>
        <w:tc>
          <w:tcPr>
            <w:tcW w:w="3005" w:type="dxa"/>
          </w:tcPr>
          <w:p w14:paraId="72A154C6" w14:textId="77777777" w:rsidR="002E6246" w:rsidRPr="00047DD9" w:rsidRDefault="002E6246" w:rsidP="002E6246">
            <w:pPr>
              <w:rPr>
                <w:rFonts w:eastAsia="Times New Roman" w:cs="Times New Roman"/>
                <w:szCs w:val="24"/>
              </w:rPr>
            </w:pPr>
            <w:r w:rsidRPr="00047DD9">
              <w:rPr>
                <w:rFonts w:eastAsia="Times New Roman" w:cs="Times New Roman"/>
                <w:szCs w:val="24"/>
              </w:rPr>
              <w:t>Ministrijas struktūrvienības un padotības iestādēm ar kurām projekts jāsaskaņo</w:t>
            </w:r>
          </w:p>
        </w:tc>
        <w:tc>
          <w:tcPr>
            <w:tcW w:w="6350" w:type="dxa"/>
          </w:tcPr>
          <w:p w14:paraId="0C9A81D3" w14:textId="1ADB18F0" w:rsidR="002E6246" w:rsidRPr="00047DD9" w:rsidRDefault="004712BA" w:rsidP="006C0DC6">
            <w:pPr>
              <w:widowControl w:val="0"/>
              <w:tabs>
                <w:tab w:val="left" w:pos="851"/>
                <w:tab w:val="right" w:pos="9356"/>
              </w:tabs>
              <w:adjustRightInd w:val="0"/>
              <w:spacing w:after="60"/>
              <w:jc w:val="both"/>
              <w:rPr>
                <w:rFonts w:eastAsia="Calibri" w:cs="Times New Roman"/>
                <w:szCs w:val="24"/>
                <w:lang w:eastAsia="en-GB"/>
              </w:rPr>
            </w:pPr>
            <w:r w:rsidRPr="00047DD9">
              <w:rPr>
                <w:rFonts w:eastAsia="Times New Roman" w:cs="Times New Roman"/>
                <w:szCs w:val="24"/>
              </w:rPr>
              <w:t xml:space="preserve">Finanšu ministrijas </w:t>
            </w:r>
            <w:r w:rsidR="00A71199" w:rsidRPr="00047DD9">
              <w:rPr>
                <w:rFonts w:eastAsia="Calibri" w:cs="Times New Roman"/>
                <w:szCs w:val="24"/>
                <w:lang w:eastAsia="en-GB"/>
              </w:rPr>
              <w:t>Juridiskais</w:t>
            </w:r>
            <w:r w:rsidR="000A1913" w:rsidRPr="00047DD9">
              <w:rPr>
                <w:rFonts w:eastAsia="Calibri" w:cs="Times New Roman"/>
                <w:szCs w:val="24"/>
                <w:lang w:eastAsia="en-GB"/>
              </w:rPr>
              <w:t xml:space="preserve"> departaments</w:t>
            </w:r>
            <w:r w:rsidR="006C0DC6" w:rsidRPr="00047DD9">
              <w:rPr>
                <w:rFonts w:eastAsia="Calibri" w:cs="Times New Roman"/>
                <w:szCs w:val="24"/>
                <w:lang w:eastAsia="en-GB"/>
              </w:rPr>
              <w:t xml:space="preserve">, </w:t>
            </w:r>
            <w:r w:rsidR="006C0DC6" w:rsidRPr="00047DD9">
              <w:rPr>
                <w:rFonts w:eastAsia="Calibri" w:cs="Times New Roman"/>
                <w:szCs w:val="24"/>
              </w:rPr>
              <w:t>Finanšu un kapitāla tirgus komisija</w:t>
            </w:r>
            <w:r w:rsidR="002E3996" w:rsidRPr="00047DD9">
              <w:rPr>
                <w:rFonts w:eastAsia="Calibri" w:cs="Times New Roman"/>
                <w:szCs w:val="24"/>
              </w:rPr>
              <w:t>.</w:t>
            </w:r>
          </w:p>
        </w:tc>
      </w:tr>
      <w:tr w:rsidR="002E6246" w:rsidRPr="0015415F" w14:paraId="454CF805" w14:textId="77777777" w:rsidTr="2A45E688">
        <w:tc>
          <w:tcPr>
            <w:tcW w:w="710" w:type="dxa"/>
          </w:tcPr>
          <w:p w14:paraId="72D3DDE7" w14:textId="77777777" w:rsidR="002E6246" w:rsidRPr="00047DD9" w:rsidRDefault="002E6246" w:rsidP="002E6246">
            <w:pPr>
              <w:numPr>
                <w:ilvl w:val="0"/>
                <w:numId w:val="1"/>
              </w:numPr>
              <w:spacing w:after="160" w:line="259" w:lineRule="auto"/>
              <w:jc w:val="center"/>
              <w:rPr>
                <w:rFonts w:eastAsia="Calibri" w:cs="Times New Roman"/>
                <w:szCs w:val="24"/>
              </w:rPr>
            </w:pPr>
          </w:p>
        </w:tc>
        <w:tc>
          <w:tcPr>
            <w:tcW w:w="3005" w:type="dxa"/>
          </w:tcPr>
          <w:p w14:paraId="324AF56B" w14:textId="77777777" w:rsidR="002E6246" w:rsidRPr="00047DD9" w:rsidRDefault="002E6246" w:rsidP="002E6246">
            <w:pPr>
              <w:rPr>
                <w:rFonts w:eastAsia="Times New Roman" w:cs="Times New Roman"/>
                <w:szCs w:val="24"/>
              </w:rPr>
            </w:pPr>
            <w:r w:rsidRPr="00047DD9">
              <w:rPr>
                <w:rFonts w:eastAsia="Times New Roman" w:cs="Times New Roman"/>
                <w:szCs w:val="24"/>
              </w:rPr>
              <w:t>Saskaņošanas termiņš</w:t>
            </w:r>
          </w:p>
        </w:tc>
        <w:tc>
          <w:tcPr>
            <w:tcW w:w="6350" w:type="dxa"/>
          </w:tcPr>
          <w:p w14:paraId="012A856E" w14:textId="57292281" w:rsidR="00A71199" w:rsidRPr="0015415F" w:rsidRDefault="00A71199" w:rsidP="00A71199">
            <w:pPr>
              <w:spacing w:after="60"/>
              <w:jc w:val="both"/>
              <w:rPr>
                <w:rFonts w:eastAsia="Times New Roman" w:cs="Times New Roman"/>
                <w:szCs w:val="24"/>
              </w:rPr>
            </w:pPr>
            <w:r w:rsidRPr="00047DD9">
              <w:rPr>
                <w:rFonts w:eastAsia="Times New Roman" w:cs="Times New Roman"/>
                <w:szCs w:val="24"/>
              </w:rPr>
              <w:t>Nosūtīt iekšējai saskaņošanai</w:t>
            </w:r>
            <w:r w:rsidRPr="008A6141">
              <w:rPr>
                <w:rFonts w:eastAsia="Times New Roman" w:cs="Times New Roman"/>
                <w:szCs w:val="24"/>
              </w:rPr>
              <w:t xml:space="preserve">: </w:t>
            </w:r>
            <w:r w:rsidR="003B30BD" w:rsidRPr="00047DD9">
              <w:rPr>
                <w:rFonts w:eastAsia="Times New Roman" w:cs="Times New Roman"/>
                <w:szCs w:val="24"/>
              </w:rPr>
              <w:t>0</w:t>
            </w:r>
            <w:r w:rsidR="009D471B" w:rsidRPr="00047DD9">
              <w:rPr>
                <w:rFonts w:eastAsia="Times New Roman" w:cs="Times New Roman"/>
                <w:szCs w:val="24"/>
              </w:rPr>
              <w:t>8</w:t>
            </w:r>
            <w:r w:rsidR="00B70A96" w:rsidRPr="0015415F">
              <w:rPr>
                <w:rFonts w:eastAsia="Times New Roman" w:cs="Times New Roman"/>
                <w:szCs w:val="24"/>
              </w:rPr>
              <w:t>.</w:t>
            </w:r>
            <w:r w:rsidR="003B30BD" w:rsidRPr="0015415F">
              <w:rPr>
                <w:rFonts w:eastAsia="Times New Roman" w:cs="Times New Roman"/>
                <w:szCs w:val="24"/>
              </w:rPr>
              <w:t>0</w:t>
            </w:r>
            <w:r w:rsidR="009D471B" w:rsidRPr="0015415F">
              <w:rPr>
                <w:rFonts w:eastAsia="Times New Roman" w:cs="Times New Roman"/>
                <w:szCs w:val="24"/>
              </w:rPr>
              <w:t>2</w:t>
            </w:r>
            <w:r w:rsidR="007813AA" w:rsidRPr="0015415F">
              <w:rPr>
                <w:rFonts w:eastAsia="Times New Roman" w:cs="Times New Roman"/>
                <w:szCs w:val="24"/>
              </w:rPr>
              <w:t>.20</w:t>
            </w:r>
            <w:r w:rsidR="003B30BD" w:rsidRPr="0015415F">
              <w:rPr>
                <w:rFonts w:eastAsia="Times New Roman" w:cs="Times New Roman"/>
                <w:szCs w:val="24"/>
              </w:rPr>
              <w:t>21</w:t>
            </w:r>
            <w:r w:rsidR="00B70A96" w:rsidRPr="0015415F">
              <w:rPr>
                <w:rFonts w:eastAsia="Times New Roman" w:cs="Times New Roman"/>
                <w:szCs w:val="24"/>
              </w:rPr>
              <w:t>.</w:t>
            </w:r>
          </w:p>
          <w:p w14:paraId="1CBDB43D" w14:textId="63A7AA36" w:rsidR="006C0DC6" w:rsidRPr="0015415F" w:rsidRDefault="006C0DC6" w:rsidP="00CA7C00">
            <w:pPr>
              <w:spacing w:after="60"/>
              <w:jc w:val="both"/>
              <w:rPr>
                <w:rFonts w:eastAsia="Times New Roman" w:cs="Times New Roman"/>
                <w:szCs w:val="24"/>
              </w:rPr>
            </w:pPr>
            <w:r w:rsidRPr="0015415F">
              <w:rPr>
                <w:rFonts w:eastAsia="Times New Roman" w:cs="Times New Roman"/>
                <w:szCs w:val="24"/>
              </w:rPr>
              <w:t>Saskaņošanas termiņš</w:t>
            </w:r>
            <w:r w:rsidR="00184875" w:rsidRPr="0015415F">
              <w:rPr>
                <w:rFonts w:eastAsia="Times New Roman" w:cs="Times New Roman"/>
                <w:szCs w:val="24"/>
              </w:rPr>
              <w:t>:</w:t>
            </w:r>
            <w:r w:rsidRPr="0015415F">
              <w:rPr>
                <w:rFonts w:eastAsia="Times New Roman" w:cs="Times New Roman"/>
                <w:szCs w:val="24"/>
              </w:rPr>
              <w:t xml:space="preserve"> </w:t>
            </w:r>
            <w:r w:rsidR="009D471B" w:rsidRPr="0015415F">
              <w:rPr>
                <w:rFonts w:eastAsia="Times New Roman" w:cs="Times New Roman"/>
                <w:szCs w:val="24"/>
              </w:rPr>
              <w:t>22.02</w:t>
            </w:r>
            <w:r w:rsidR="007813AA" w:rsidRPr="0015415F">
              <w:rPr>
                <w:rFonts w:eastAsia="Times New Roman" w:cs="Times New Roman"/>
                <w:szCs w:val="24"/>
              </w:rPr>
              <w:t>.202</w:t>
            </w:r>
            <w:r w:rsidR="003B30BD" w:rsidRPr="0015415F">
              <w:rPr>
                <w:rFonts w:eastAsia="Times New Roman" w:cs="Times New Roman"/>
                <w:szCs w:val="24"/>
              </w:rPr>
              <w:t>1</w:t>
            </w:r>
            <w:r w:rsidR="004600A0" w:rsidRPr="0015415F">
              <w:rPr>
                <w:rFonts w:eastAsia="Times New Roman" w:cs="Times New Roman"/>
                <w:szCs w:val="24"/>
              </w:rPr>
              <w:t>.</w:t>
            </w:r>
          </w:p>
          <w:p w14:paraId="1F4C9D4A" w14:textId="77777777" w:rsidR="006C0DC6" w:rsidRPr="0015415F" w:rsidRDefault="006C0DC6" w:rsidP="00CA7C00">
            <w:pPr>
              <w:spacing w:after="60"/>
              <w:jc w:val="both"/>
              <w:rPr>
                <w:rFonts w:eastAsia="Times New Roman" w:cs="Times New Roman"/>
                <w:szCs w:val="24"/>
              </w:rPr>
            </w:pPr>
          </w:p>
        </w:tc>
      </w:tr>
      <w:tr w:rsidR="002E6246" w:rsidRPr="0015415F" w14:paraId="3D048E97" w14:textId="77777777" w:rsidTr="2A45E688">
        <w:tc>
          <w:tcPr>
            <w:tcW w:w="710" w:type="dxa"/>
          </w:tcPr>
          <w:p w14:paraId="4FF9EC8A" w14:textId="77777777" w:rsidR="002E6246" w:rsidRPr="0015415F" w:rsidRDefault="002E6246" w:rsidP="002E6246">
            <w:pPr>
              <w:numPr>
                <w:ilvl w:val="0"/>
                <w:numId w:val="1"/>
              </w:numPr>
              <w:spacing w:after="160" w:line="259" w:lineRule="auto"/>
              <w:jc w:val="center"/>
              <w:rPr>
                <w:rFonts w:eastAsia="Calibri" w:cs="Times New Roman"/>
                <w:szCs w:val="24"/>
              </w:rPr>
            </w:pPr>
          </w:p>
        </w:tc>
        <w:tc>
          <w:tcPr>
            <w:tcW w:w="3005" w:type="dxa"/>
          </w:tcPr>
          <w:p w14:paraId="1A60437E" w14:textId="77777777" w:rsidR="002E6246" w:rsidRPr="0015415F" w:rsidRDefault="002E6246" w:rsidP="002E6246">
            <w:pPr>
              <w:rPr>
                <w:rFonts w:eastAsia="Times New Roman" w:cs="Times New Roman"/>
                <w:szCs w:val="24"/>
              </w:rPr>
            </w:pPr>
            <w:r w:rsidRPr="0015415F">
              <w:rPr>
                <w:rFonts w:eastAsia="Times New Roman" w:cs="Times New Roman"/>
                <w:szCs w:val="24"/>
              </w:rPr>
              <w:t>Prognozējamā projekta finansiālā ietekme uz valsts budžetu</w:t>
            </w:r>
          </w:p>
        </w:tc>
        <w:tc>
          <w:tcPr>
            <w:tcW w:w="6350" w:type="dxa"/>
          </w:tcPr>
          <w:p w14:paraId="7E5B00CB" w14:textId="4F17AAC6" w:rsidR="002E6246" w:rsidRPr="0015415F" w:rsidRDefault="002E6246" w:rsidP="00B22B1D">
            <w:pPr>
              <w:tabs>
                <w:tab w:val="num" w:pos="1440"/>
              </w:tabs>
              <w:spacing w:after="60"/>
              <w:jc w:val="both"/>
              <w:rPr>
                <w:rFonts w:eastAsia="Times New Roman" w:cs="Times New Roman"/>
                <w:szCs w:val="24"/>
              </w:rPr>
            </w:pPr>
            <w:r w:rsidRPr="0015415F">
              <w:rPr>
                <w:rFonts w:eastAsia="Times New Roman" w:cs="Times New Roman"/>
                <w:szCs w:val="24"/>
              </w:rPr>
              <w:t xml:space="preserve">Projektā noteiktais regulējums </w:t>
            </w:r>
            <w:r w:rsidR="00E06AB5" w:rsidRPr="0015415F">
              <w:rPr>
                <w:rFonts w:eastAsia="Times New Roman" w:cs="Times New Roman"/>
                <w:szCs w:val="24"/>
              </w:rPr>
              <w:t>ne</w:t>
            </w:r>
            <w:r w:rsidRPr="0015415F">
              <w:rPr>
                <w:rFonts w:eastAsia="Times New Roman" w:cs="Times New Roman"/>
                <w:szCs w:val="24"/>
              </w:rPr>
              <w:t xml:space="preserve">radīs  ietekmi uz valsts budžetu. </w:t>
            </w:r>
          </w:p>
        </w:tc>
      </w:tr>
      <w:tr w:rsidR="002E6246" w:rsidRPr="0015415F" w14:paraId="77845EBC" w14:textId="77777777" w:rsidTr="2A45E688">
        <w:tc>
          <w:tcPr>
            <w:tcW w:w="710" w:type="dxa"/>
          </w:tcPr>
          <w:p w14:paraId="2C83A408" w14:textId="77777777" w:rsidR="002E6246" w:rsidRPr="0015415F" w:rsidRDefault="002E6246" w:rsidP="002E6246">
            <w:pPr>
              <w:numPr>
                <w:ilvl w:val="0"/>
                <w:numId w:val="1"/>
              </w:numPr>
              <w:spacing w:after="160" w:line="259" w:lineRule="auto"/>
              <w:jc w:val="center"/>
              <w:rPr>
                <w:rFonts w:eastAsia="Calibri" w:cs="Times New Roman"/>
                <w:szCs w:val="24"/>
              </w:rPr>
            </w:pPr>
          </w:p>
        </w:tc>
        <w:tc>
          <w:tcPr>
            <w:tcW w:w="3005" w:type="dxa"/>
          </w:tcPr>
          <w:p w14:paraId="22A0C521" w14:textId="77777777" w:rsidR="002E6246" w:rsidRPr="0015415F" w:rsidRDefault="002E6246" w:rsidP="002E6246">
            <w:pPr>
              <w:rPr>
                <w:rFonts w:eastAsia="Times New Roman" w:cs="Times New Roman"/>
                <w:szCs w:val="24"/>
              </w:rPr>
            </w:pPr>
            <w:r w:rsidRPr="0015415F">
              <w:rPr>
                <w:rFonts w:eastAsia="Times New Roman" w:cs="Times New Roman"/>
                <w:szCs w:val="24"/>
              </w:rPr>
              <w:t>Tiesību akta pieņemšanas kalendārais plāns</w:t>
            </w:r>
          </w:p>
        </w:tc>
        <w:tc>
          <w:tcPr>
            <w:tcW w:w="6350" w:type="dxa"/>
          </w:tcPr>
          <w:p w14:paraId="607A8EC7" w14:textId="56FE1D37" w:rsidR="006C0DC6" w:rsidRPr="0015415F" w:rsidRDefault="00184875" w:rsidP="002E6246">
            <w:pPr>
              <w:spacing w:after="60"/>
              <w:jc w:val="both"/>
              <w:rPr>
                <w:rFonts w:eastAsia="Times New Roman" w:cs="Times New Roman"/>
                <w:szCs w:val="24"/>
              </w:rPr>
            </w:pPr>
            <w:r w:rsidRPr="0015415F">
              <w:rPr>
                <w:rFonts w:eastAsia="Times New Roman" w:cs="Times New Roman"/>
                <w:szCs w:val="24"/>
              </w:rPr>
              <w:t>Izsludināt VSS līdz:</w:t>
            </w:r>
            <w:r w:rsidR="004600A0" w:rsidRPr="0015415F">
              <w:rPr>
                <w:rFonts w:eastAsia="Times New Roman" w:cs="Times New Roman"/>
                <w:szCs w:val="24"/>
              </w:rPr>
              <w:t xml:space="preserve"> </w:t>
            </w:r>
            <w:r w:rsidR="003B30BD" w:rsidRPr="0015415F">
              <w:rPr>
                <w:rFonts w:eastAsia="Times New Roman" w:cs="Times New Roman"/>
                <w:szCs w:val="24"/>
              </w:rPr>
              <w:t>01</w:t>
            </w:r>
            <w:r w:rsidR="00B70A96" w:rsidRPr="0015415F">
              <w:rPr>
                <w:rFonts w:eastAsia="Times New Roman" w:cs="Times New Roman"/>
                <w:szCs w:val="24"/>
              </w:rPr>
              <w:t>.</w:t>
            </w:r>
            <w:r w:rsidR="003B30BD" w:rsidRPr="0015415F">
              <w:rPr>
                <w:rFonts w:eastAsia="Times New Roman" w:cs="Times New Roman"/>
                <w:szCs w:val="24"/>
              </w:rPr>
              <w:t>04</w:t>
            </w:r>
            <w:r w:rsidR="00B70A96" w:rsidRPr="0015415F">
              <w:rPr>
                <w:rFonts w:eastAsia="Times New Roman" w:cs="Times New Roman"/>
                <w:szCs w:val="24"/>
              </w:rPr>
              <w:t>.20</w:t>
            </w:r>
            <w:r w:rsidR="003B30BD" w:rsidRPr="0015415F">
              <w:rPr>
                <w:rFonts w:eastAsia="Times New Roman" w:cs="Times New Roman"/>
                <w:szCs w:val="24"/>
              </w:rPr>
              <w:t>21</w:t>
            </w:r>
            <w:r w:rsidR="003A6626" w:rsidRPr="0015415F">
              <w:rPr>
                <w:rFonts w:eastAsia="Times New Roman" w:cs="Times New Roman"/>
                <w:szCs w:val="24"/>
              </w:rPr>
              <w:t xml:space="preserve">. </w:t>
            </w:r>
          </w:p>
          <w:p w14:paraId="70D4464F" w14:textId="3E2958E9" w:rsidR="002E6246" w:rsidRPr="0015415F" w:rsidRDefault="00E06AB5" w:rsidP="003A6626">
            <w:pPr>
              <w:spacing w:after="60"/>
              <w:jc w:val="both"/>
              <w:rPr>
                <w:rFonts w:eastAsia="Times New Roman" w:cs="Times New Roman"/>
                <w:szCs w:val="24"/>
              </w:rPr>
            </w:pPr>
            <w:r w:rsidRPr="0015415F">
              <w:rPr>
                <w:rFonts w:eastAsia="Times New Roman" w:cs="Times New Roman"/>
                <w:szCs w:val="24"/>
              </w:rPr>
              <w:t>I</w:t>
            </w:r>
            <w:r w:rsidR="00A71199" w:rsidRPr="0015415F">
              <w:rPr>
                <w:rFonts w:eastAsia="Times New Roman" w:cs="Times New Roman"/>
                <w:szCs w:val="24"/>
              </w:rPr>
              <w:t>esniegt</w:t>
            </w:r>
            <w:r w:rsidR="002C2709" w:rsidRPr="0015415F">
              <w:rPr>
                <w:rFonts w:eastAsia="Times New Roman" w:cs="Times New Roman"/>
                <w:szCs w:val="24"/>
              </w:rPr>
              <w:t xml:space="preserve"> MK </w:t>
            </w:r>
            <w:r w:rsidR="003E61C1" w:rsidRPr="0015415F">
              <w:rPr>
                <w:rFonts w:eastAsia="Times New Roman" w:cs="Times New Roman"/>
                <w:szCs w:val="24"/>
              </w:rPr>
              <w:t xml:space="preserve">līdz: </w:t>
            </w:r>
            <w:r w:rsidR="003B30BD" w:rsidRPr="0015415F">
              <w:rPr>
                <w:rFonts w:eastAsia="Times New Roman" w:cs="Times New Roman"/>
                <w:szCs w:val="24"/>
              </w:rPr>
              <w:t>20</w:t>
            </w:r>
            <w:r w:rsidR="003E61C1" w:rsidRPr="0015415F">
              <w:rPr>
                <w:rFonts w:eastAsia="Times New Roman" w:cs="Times New Roman"/>
                <w:szCs w:val="24"/>
              </w:rPr>
              <w:t>.0</w:t>
            </w:r>
            <w:r w:rsidR="003B30BD" w:rsidRPr="0015415F">
              <w:rPr>
                <w:rFonts w:eastAsia="Times New Roman" w:cs="Times New Roman"/>
                <w:szCs w:val="24"/>
              </w:rPr>
              <w:t>5</w:t>
            </w:r>
            <w:r w:rsidR="003E61C1" w:rsidRPr="0015415F">
              <w:rPr>
                <w:rFonts w:eastAsia="Times New Roman" w:cs="Times New Roman"/>
                <w:szCs w:val="24"/>
              </w:rPr>
              <w:t>.202</w:t>
            </w:r>
            <w:r w:rsidR="003B30BD" w:rsidRPr="0015415F">
              <w:rPr>
                <w:rFonts w:eastAsia="Times New Roman" w:cs="Times New Roman"/>
                <w:szCs w:val="24"/>
              </w:rPr>
              <w:t>1</w:t>
            </w:r>
            <w:r w:rsidR="003A6626" w:rsidRPr="0015415F">
              <w:rPr>
                <w:rFonts w:eastAsia="Times New Roman" w:cs="Times New Roman"/>
                <w:szCs w:val="24"/>
              </w:rPr>
              <w:t>.</w:t>
            </w:r>
          </w:p>
        </w:tc>
      </w:tr>
      <w:tr w:rsidR="002E6246" w:rsidRPr="0015415F" w14:paraId="1C8BBCCD" w14:textId="77777777" w:rsidTr="2A45E688">
        <w:tc>
          <w:tcPr>
            <w:tcW w:w="710" w:type="dxa"/>
            <w:tcBorders>
              <w:bottom w:val="single" w:sz="4" w:space="0" w:color="000000"/>
            </w:tcBorders>
          </w:tcPr>
          <w:p w14:paraId="3BEA4558" w14:textId="77777777" w:rsidR="002E6246" w:rsidRPr="0015415F" w:rsidRDefault="002E6246" w:rsidP="002E6246">
            <w:pPr>
              <w:numPr>
                <w:ilvl w:val="0"/>
                <w:numId w:val="1"/>
              </w:numPr>
              <w:spacing w:after="160" w:line="259" w:lineRule="auto"/>
              <w:jc w:val="center"/>
              <w:rPr>
                <w:rFonts w:eastAsia="Calibri" w:cs="Times New Roman"/>
                <w:szCs w:val="24"/>
              </w:rPr>
            </w:pPr>
          </w:p>
        </w:tc>
        <w:tc>
          <w:tcPr>
            <w:tcW w:w="3005" w:type="dxa"/>
            <w:tcBorders>
              <w:bottom w:val="single" w:sz="4" w:space="0" w:color="000000"/>
            </w:tcBorders>
          </w:tcPr>
          <w:p w14:paraId="653F0584" w14:textId="0F225909" w:rsidR="002E6246" w:rsidRPr="0015415F" w:rsidRDefault="003E61C1" w:rsidP="002E6246">
            <w:pPr>
              <w:rPr>
                <w:rFonts w:eastAsia="Times New Roman" w:cs="Times New Roman"/>
                <w:szCs w:val="24"/>
              </w:rPr>
            </w:pPr>
            <w:r w:rsidRPr="0015415F">
              <w:rPr>
                <w:rFonts w:eastAsia="Times New Roman" w:cs="Times New Roman"/>
                <w:szCs w:val="24"/>
              </w:rPr>
              <w:t>Uzziņas sagatavotāja</w:t>
            </w:r>
          </w:p>
        </w:tc>
        <w:tc>
          <w:tcPr>
            <w:tcW w:w="6350" w:type="dxa"/>
            <w:tcBorders>
              <w:bottom w:val="single" w:sz="4" w:space="0" w:color="000000"/>
            </w:tcBorders>
          </w:tcPr>
          <w:p w14:paraId="000E2239" w14:textId="434A4BDF" w:rsidR="00E91330" w:rsidRPr="0015415F" w:rsidRDefault="00E91330" w:rsidP="00DD14DA">
            <w:pPr>
              <w:spacing w:after="160"/>
              <w:jc w:val="both"/>
              <w:rPr>
                <w:rFonts w:eastAsia="Times New Roman" w:cs="Times New Roman"/>
                <w:szCs w:val="24"/>
              </w:rPr>
            </w:pPr>
            <w:r w:rsidRPr="0015415F">
              <w:rPr>
                <w:rFonts w:eastAsia="Times New Roman" w:cs="Times New Roman"/>
                <w:szCs w:val="24"/>
              </w:rPr>
              <w:t>Finanšu ministrijas Finanšu tirgus politikas departamenta Kapitāla tirgus un apdrošināšanas politikas nodaļas juriskonsulte Inese Albova</w:t>
            </w:r>
          </w:p>
          <w:p w14:paraId="505ED5F1" w14:textId="0A658236" w:rsidR="002E6246" w:rsidRPr="0015415F" w:rsidRDefault="002E6246" w:rsidP="00AA1A40">
            <w:pPr>
              <w:spacing w:after="160"/>
              <w:rPr>
                <w:rFonts w:eastAsia="Times New Roman" w:cs="Times New Roman"/>
                <w:szCs w:val="24"/>
              </w:rPr>
            </w:pPr>
            <w:r w:rsidRPr="0015415F">
              <w:rPr>
                <w:rFonts w:eastAsia="Times New Roman" w:cs="Times New Roman"/>
                <w:szCs w:val="24"/>
              </w:rPr>
              <w:t xml:space="preserve">Tālrunis, e-pasts: </w:t>
            </w:r>
            <w:r w:rsidR="00226CF4" w:rsidRPr="0015415F">
              <w:rPr>
                <w:rFonts w:eastAsia="Times New Roman" w:cs="Times New Roman"/>
                <w:szCs w:val="24"/>
              </w:rPr>
              <w:t>67083857, inese.albova@fm.gov.lv</w:t>
            </w:r>
          </w:p>
        </w:tc>
      </w:tr>
      <w:tr w:rsidR="002E6246" w:rsidRPr="0015415F" w14:paraId="1CBCBC09" w14:textId="77777777" w:rsidTr="2A45E688">
        <w:tc>
          <w:tcPr>
            <w:tcW w:w="10065" w:type="dxa"/>
            <w:gridSpan w:val="3"/>
            <w:tcBorders>
              <w:left w:val="nil"/>
              <w:bottom w:val="nil"/>
              <w:right w:val="nil"/>
            </w:tcBorders>
          </w:tcPr>
          <w:p w14:paraId="4D2D5573" w14:textId="77777777" w:rsidR="002E6246" w:rsidRPr="0015415F" w:rsidRDefault="002E6246" w:rsidP="002E6246">
            <w:pPr>
              <w:rPr>
                <w:rFonts w:eastAsia="Times New Roman" w:cs="Times New Roman"/>
                <w:szCs w:val="24"/>
                <w:highlight w:val="yellow"/>
              </w:rPr>
            </w:pPr>
          </w:p>
        </w:tc>
      </w:tr>
    </w:tbl>
    <w:p w14:paraId="55EAE7D2" w14:textId="2FA89E82" w:rsidR="00247FF4" w:rsidRPr="0015415F" w:rsidRDefault="00247FF4" w:rsidP="005C3B11">
      <w:pPr>
        <w:spacing w:after="160"/>
        <w:jc w:val="both"/>
        <w:rPr>
          <w:rFonts w:eastAsia="Times New Roman" w:cs="Times New Roman"/>
          <w:szCs w:val="24"/>
        </w:rPr>
      </w:pPr>
      <w:r w:rsidRPr="0015415F">
        <w:rPr>
          <w:rFonts w:eastAsia="Times New Roman" w:cs="Times New Roman"/>
          <w:szCs w:val="24"/>
        </w:rPr>
        <w:t xml:space="preserve">Uzziņu iesniedza: </w:t>
      </w:r>
      <w:r w:rsidR="00561E8F" w:rsidRPr="0015415F">
        <w:rPr>
          <w:rFonts w:eastAsia="Times New Roman" w:cs="Times New Roman"/>
          <w:szCs w:val="24"/>
        </w:rPr>
        <w:t>Finanšu ministrijas Finanšu tirgus politikas departamenta Kapitāla tirgus un apdrošināšanas politikas nodaļas juriskonsulte Inese Albova</w:t>
      </w:r>
      <w:r w:rsidR="000C4905" w:rsidRPr="0015415F">
        <w:rPr>
          <w:rFonts w:eastAsia="Times New Roman" w:cs="Times New Roman"/>
          <w:szCs w:val="24"/>
        </w:rPr>
        <w:t xml:space="preserve"> (t</w:t>
      </w:r>
      <w:r w:rsidRPr="0015415F">
        <w:rPr>
          <w:rFonts w:eastAsia="Times New Roman" w:cs="Times New Roman"/>
          <w:szCs w:val="24"/>
        </w:rPr>
        <w:t xml:space="preserve">ālrunis, e-pasts: </w:t>
      </w:r>
      <w:r w:rsidR="00561E8F" w:rsidRPr="0015415F">
        <w:rPr>
          <w:rFonts w:eastAsia="Times New Roman" w:cs="Times New Roman"/>
          <w:szCs w:val="24"/>
        </w:rPr>
        <w:t>67083857, inese.albova@fm.gov.lv</w:t>
      </w:r>
      <w:r w:rsidR="005C3B11" w:rsidRPr="0015415F">
        <w:rPr>
          <w:rFonts w:eastAsia="Times New Roman" w:cs="Times New Roman"/>
          <w:szCs w:val="24"/>
        </w:rPr>
        <w:t>)</w:t>
      </w:r>
    </w:p>
    <w:p w14:paraId="44CEA524" w14:textId="3C405EC4" w:rsidR="002E6246" w:rsidRPr="0015415F" w:rsidRDefault="00247FF4" w:rsidP="00247FF4">
      <w:pPr>
        <w:spacing w:after="160" w:line="259" w:lineRule="auto"/>
        <w:rPr>
          <w:rFonts w:eastAsia="Times New Roman" w:cs="Times New Roman"/>
          <w:szCs w:val="24"/>
        </w:rPr>
      </w:pPr>
      <w:r w:rsidRPr="0015415F">
        <w:rPr>
          <w:rFonts w:eastAsia="Times New Roman" w:cs="Times New Roman"/>
          <w:szCs w:val="24"/>
        </w:rPr>
        <w:t>Uzziņa iesniegta</w:t>
      </w:r>
      <w:r w:rsidR="00AC79E3" w:rsidRPr="0015415F">
        <w:rPr>
          <w:rFonts w:eastAsia="Times New Roman" w:cs="Times New Roman"/>
          <w:szCs w:val="24"/>
        </w:rPr>
        <w:t xml:space="preserve">: </w:t>
      </w:r>
      <w:r w:rsidR="006B113C" w:rsidRPr="0015415F">
        <w:rPr>
          <w:rFonts w:eastAsia="Times New Roman" w:cs="Times New Roman"/>
          <w:szCs w:val="24"/>
        </w:rPr>
        <w:t>04</w:t>
      </w:r>
      <w:r w:rsidR="00AC79E3" w:rsidRPr="0015415F">
        <w:rPr>
          <w:rFonts w:eastAsia="Times New Roman" w:cs="Times New Roman"/>
          <w:szCs w:val="24"/>
        </w:rPr>
        <w:t>.0</w:t>
      </w:r>
      <w:r w:rsidR="006B113C" w:rsidRPr="0015415F">
        <w:rPr>
          <w:rFonts w:eastAsia="Times New Roman" w:cs="Times New Roman"/>
          <w:szCs w:val="24"/>
        </w:rPr>
        <w:t>2</w:t>
      </w:r>
      <w:r w:rsidRPr="0015415F">
        <w:rPr>
          <w:rFonts w:eastAsia="Times New Roman" w:cs="Times New Roman"/>
          <w:szCs w:val="24"/>
        </w:rPr>
        <w:t>.20</w:t>
      </w:r>
      <w:r w:rsidR="006B113C" w:rsidRPr="0015415F">
        <w:rPr>
          <w:rFonts w:eastAsia="Times New Roman" w:cs="Times New Roman"/>
          <w:szCs w:val="24"/>
        </w:rPr>
        <w:t>21</w:t>
      </w:r>
      <w:r w:rsidRPr="0015415F">
        <w:rPr>
          <w:rFonts w:eastAsia="Times New Roman" w:cs="Times New Roman"/>
          <w:szCs w:val="24"/>
        </w:rPr>
        <w:t>.</w:t>
      </w:r>
    </w:p>
    <w:sectPr w:rsidR="002E6246" w:rsidRPr="0015415F" w:rsidSect="004444EB">
      <w:headerReference w:type="default" r:id="rId10"/>
      <w:footerReference w:type="default" r:id="rId11"/>
      <w:footerReference w:type="first" r:id="rId12"/>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FB78A" w14:textId="77777777" w:rsidR="008C7F30" w:rsidRDefault="008C7F30">
      <w:r>
        <w:separator/>
      </w:r>
    </w:p>
  </w:endnote>
  <w:endnote w:type="continuationSeparator" w:id="0">
    <w:p w14:paraId="5C6BC753" w14:textId="77777777" w:rsidR="008C7F30" w:rsidRDefault="008C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Times New Roman,Calibri">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8182" w14:textId="77777777" w:rsidR="0088019C" w:rsidRPr="002D1EE0" w:rsidRDefault="0088019C" w:rsidP="0088019C">
    <w:pPr>
      <w:pStyle w:val="Footer"/>
      <w:rPr>
        <w:rFonts w:cs="Times New Roman"/>
        <w:sz w:val="20"/>
        <w:szCs w:val="20"/>
      </w:rPr>
    </w:pPr>
  </w:p>
  <w:p w14:paraId="7E09676B" w14:textId="77777777" w:rsidR="0093064E" w:rsidRDefault="0088019C" w:rsidP="0088019C">
    <w:pPr>
      <w:pStyle w:val="Footer"/>
      <w:rPr>
        <w:rFonts w:cs="Times New Roman"/>
        <w:sz w:val="20"/>
        <w:szCs w:val="20"/>
      </w:rPr>
    </w:pPr>
    <w:r>
      <w:rPr>
        <w:rFonts w:cs="Times New Roman"/>
        <w:sz w:val="20"/>
        <w:szCs w:val="20"/>
      </w:rPr>
      <w:tab/>
    </w:r>
  </w:p>
  <w:p w14:paraId="36808788" w14:textId="77777777" w:rsidR="004444EB" w:rsidRPr="00B7651E" w:rsidRDefault="00450AED" w:rsidP="00B76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0282277"/>
      <w:docPartObj>
        <w:docPartGallery w:val="Page Numbers (Top of Page)"/>
        <w:docPartUnique/>
      </w:docPartObj>
    </w:sdtPr>
    <w:sdtEndPr>
      <w:rPr>
        <w:noProof/>
        <w:szCs w:val="24"/>
      </w:rPr>
    </w:sdtEndPr>
    <w:sdtContent>
      <w:p w14:paraId="651BA42C" w14:textId="60092E89" w:rsidR="00066DE9" w:rsidRPr="004444EB" w:rsidRDefault="00066DE9" w:rsidP="00066DE9">
        <w:pPr>
          <w:pStyle w:val="Header"/>
          <w:jc w:val="center"/>
          <w:rPr>
            <w:szCs w:val="24"/>
          </w:rPr>
        </w:pPr>
        <w:r w:rsidRPr="004444EB">
          <w:rPr>
            <w:szCs w:val="24"/>
          </w:rPr>
          <w:fldChar w:fldCharType="begin"/>
        </w:r>
        <w:r w:rsidRPr="004444EB">
          <w:rPr>
            <w:szCs w:val="24"/>
          </w:rPr>
          <w:instrText xml:space="preserve"> PAGE   \* MERGEFORMAT </w:instrText>
        </w:r>
        <w:r w:rsidRPr="004444EB">
          <w:rPr>
            <w:szCs w:val="24"/>
          </w:rPr>
          <w:fldChar w:fldCharType="separate"/>
        </w:r>
        <w:r w:rsidR="0096043C">
          <w:rPr>
            <w:noProof/>
            <w:szCs w:val="24"/>
          </w:rPr>
          <w:t>1</w:t>
        </w:r>
        <w:r w:rsidRPr="004444EB">
          <w:rPr>
            <w:noProof/>
            <w:szCs w:val="24"/>
          </w:rPr>
          <w:fldChar w:fldCharType="end"/>
        </w:r>
      </w:p>
    </w:sdtContent>
  </w:sdt>
  <w:p w14:paraId="28DB289C" w14:textId="77777777" w:rsidR="00066DE9" w:rsidRDefault="00066DE9" w:rsidP="00066DE9"/>
  <w:p w14:paraId="1FE728BC" w14:textId="77777777" w:rsidR="00066DE9" w:rsidRDefault="00066DE9" w:rsidP="00066DE9">
    <w:pPr>
      <w:pStyle w:val="Footer"/>
    </w:pPr>
  </w:p>
  <w:p w14:paraId="15C5CB33" w14:textId="77777777" w:rsidR="00066DE9" w:rsidRDefault="00066DE9" w:rsidP="00066DE9"/>
  <w:p w14:paraId="19649B39" w14:textId="77777777" w:rsidR="002B3839" w:rsidRPr="00806A94" w:rsidRDefault="00450AED" w:rsidP="00806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4A107" w14:textId="77777777" w:rsidR="008C7F30" w:rsidRDefault="008C7F30">
      <w:r>
        <w:separator/>
      </w:r>
    </w:p>
  </w:footnote>
  <w:footnote w:type="continuationSeparator" w:id="0">
    <w:p w14:paraId="0E43F8AE" w14:textId="77777777" w:rsidR="008C7F30" w:rsidRDefault="008C7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2062592"/>
      <w:docPartObj>
        <w:docPartGallery w:val="Page Numbers (Top of Page)"/>
        <w:docPartUnique/>
      </w:docPartObj>
    </w:sdtPr>
    <w:sdtEndPr>
      <w:rPr>
        <w:noProof/>
        <w:szCs w:val="24"/>
      </w:rPr>
    </w:sdtEndPr>
    <w:sdtContent>
      <w:p w14:paraId="19058AFF" w14:textId="39554918" w:rsidR="004444EB" w:rsidRPr="004444EB" w:rsidRDefault="002E6246" w:rsidP="004444EB">
        <w:pPr>
          <w:pStyle w:val="Header"/>
          <w:jc w:val="center"/>
          <w:rPr>
            <w:szCs w:val="24"/>
          </w:rPr>
        </w:pPr>
        <w:r w:rsidRPr="004444EB">
          <w:rPr>
            <w:szCs w:val="24"/>
          </w:rPr>
          <w:fldChar w:fldCharType="begin"/>
        </w:r>
        <w:r w:rsidRPr="004444EB">
          <w:rPr>
            <w:szCs w:val="24"/>
          </w:rPr>
          <w:instrText xml:space="preserve"> PAGE   \* MERGEFORMAT </w:instrText>
        </w:r>
        <w:r w:rsidRPr="004444EB">
          <w:rPr>
            <w:szCs w:val="24"/>
          </w:rPr>
          <w:fldChar w:fldCharType="separate"/>
        </w:r>
        <w:r w:rsidR="0096043C">
          <w:rPr>
            <w:noProof/>
            <w:szCs w:val="24"/>
          </w:rPr>
          <w:t>2</w:t>
        </w:r>
        <w:r w:rsidRPr="004444EB">
          <w:rPr>
            <w:noProof/>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47B83"/>
    <w:multiLevelType w:val="hybridMultilevel"/>
    <w:tmpl w:val="D0666A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ECD00C9"/>
    <w:multiLevelType w:val="hybridMultilevel"/>
    <w:tmpl w:val="F1945C04"/>
    <w:lvl w:ilvl="0" w:tplc="6E088B48">
      <w:start w:val="1"/>
      <w:numFmt w:val="decimal"/>
      <w:lvlText w:val="%1."/>
      <w:lvlJc w:val="center"/>
      <w:pPr>
        <w:ind w:left="644"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B055C5"/>
    <w:multiLevelType w:val="hybridMultilevel"/>
    <w:tmpl w:val="BFB63A24"/>
    <w:lvl w:ilvl="0" w:tplc="0C36D4F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00F6DA5"/>
    <w:multiLevelType w:val="hybridMultilevel"/>
    <w:tmpl w:val="64466F56"/>
    <w:lvl w:ilvl="0" w:tplc="E6DABDCA">
      <w:start w:val="1"/>
      <w:numFmt w:val="decimal"/>
      <w:lvlText w:val="%1."/>
      <w:lvlJc w:val="left"/>
      <w:pPr>
        <w:ind w:left="720" w:hanging="360"/>
      </w:pPr>
      <w:rPr>
        <w:rFonts w:eastAsia="Times New Roman" w:cs="Times New Roman"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5A1033D"/>
    <w:multiLevelType w:val="hybridMultilevel"/>
    <w:tmpl w:val="1CAEA7B0"/>
    <w:lvl w:ilvl="0" w:tplc="A61AB5F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CE83250"/>
    <w:multiLevelType w:val="hybridMultilevel"/>
    <w:tmpl w:val="ED14C984"/>
    <w:lvl w:ilvl="0" w:tplc="D80A9BD0">
      <w:start w:val="1"/>
      <w:numFmt w:val="decimal"/>
      <w:lvlText w:val="%1)"/>
      <w:lvlJc w:val="left"/>
      <w:pPr>
        <w:ind w:left="872" w:hanging="645"/>
      </w:pPr>
      <w:rPr>
        <w:rFonts w:hint="default"/>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46B"/>
    <w:rsid w:val="000048F9"/>
    <w:rsid w:val="00016046"/>
    <w:rsid w:val="00043853"/>
    <w:rsid w:val="00047DD9"/>
    <w:rsid w:val="00066DE9"/>
    <w:rsid w:val="00076811"/>
    <w:rsid w:val="00077145"/>
    <w:rsid w:val="000879D7"/>
    <w:rsid w:val="0009446B"/>
    <w:rsid w:val="000A1913"/>
    <w:rsid w:val="000B3084"/>
    <w:rsid w:val="000C4905"/>
    <w:rsid w:val="000E0B0D"/>
    <w:rsid w:val="00120349"/>
    <w:rsid w:val="00132A20"/>
    <w:rsid w:val="0015415F"/>
    <w:rsid w:val="00164B07"/>
    <w:rsid w:val="0017144A"/>
    <w:rsid w:val="00184875"/>
    <w:rsid w:val="00195ECB"/>
    <w:rsid w:val="001D373D"/>
    <w:rsid w:val="001D5F0F"/>
    <w:rsid w:val="00200781"/>
    <w:rsid w:val="00213E86"/>
    <w:rsid w:val="00223137"/>
    <w:rsid w:val="00226CF4"/>
    <w:rsid w:val="00247FF4"/>
    <w:rsid w:val="002A34F1"/>
    <w:rsid w:val="002C2709"/>
    <w:rsid w:val="002D1EE0"/>
    <w:rsid w:val="002D7758"/>
    <w:rsid w:val="002E3996"/>
    <w:rsid w:val="002E6246"/>
    <w:rsid w:val="002E6EA6"/>
    <w:rsid w:val="002F5AE0"/>
    <w:rsid w:val="00312282"/>
    <w:rsid w:val="00313E4D"/>
    <w:rsid w:val="003175B5"/>
    <w:rsid w:val="00344601"/>
    <w:rsid w:val="00380E97"/>
    <w:rsid w:val="003A35C5"/>
    <w:rsid w:val="003A6626"/>
    <w:rsid w:val="003B249A"/>
    <w:rsid w:val="003B30BD"/>
    <w:rsid w:val="003C540E"/>
    <w:rsid w:val="003E61C1"/>
    <w:rsid w:val="004120CB"/>
    <w:rsid w:val="004300A9"/>
    <w:rsid w:val="00434C1D"/>
    <w:rsid w:val="00450AED"/>
    <w:rsid w:val="004600A0"/>
    <w:rsid w:val="004600F7"/>
    <w:rsid w:val="00462B39"/>
    <w:rsid w:val="004712BA"/>
    <w:rsid w:val="004B2C7D"/>
    <w:rsid w:val="004B7D21"/>
    <w:rsid w:val="004D750A"/>
    <w:rsid w:val="004E3530"/>
    <w:rsid w:val="005152AB"/>
    <w:rsid w:val="00516CB9"/>
    <w:rsid w:val="00530C70"/>
    <w:rsid w:val="00556033"/>
    <w:rsid w:val="00561E8F"/>
    <w:rsid w:val="005803E4"/>
    <w:rsid w:val="005C3B11"/>
    <w:rsid w:val="005C6304"/>
    <w:rsid w:val="005D4BBE"/>
    <w:rsid w:val="006003C1"/>
    <w:rsid w:val="00650BED"/>
    <w:rsid w:val="00650DEE"/>
    <w:rsid w:val="00655B58"/>
    <w:rsid w:val="006B113C"/>
    <w:rsid w:val="006C0DC6"/>
    <w:rsid w:val="006D0189"/>
    <w:rsid w:val="006D2E84"/>
    <w:rsid w:val="007255BD"/>
    <w:rsid w:val="007259D2"/>
    <w:rsid w:val="0075197E"/>
    <w:rsid w:val="007813AA"/>
    <w:rsid w:val="00784075"/>
    <w:rsid w:val="00787181"/>
    <w:rsid w:val="00791E04"/>
    <w:rsid w:val="00796271"/>
    <w:rsid w:val="007A65DA"/>
    <w:rsid w:val="007C6AE5"/>
    <w:rsid w:val="007F1FA7"/>
    <w:rsid w:val="00801699"/>
    <w:rsid w:val="008106F2"/>
    <w:rsid w:val="00831642"/>
    <w:rsid w:val="00831722"/>
    <w:rsid w:val="00843374"/>
    <w:rsid w:val="00864618"/>
    <w:rsid w:val="0088019C"/>
    <w:rsid w:val="008A6141"/>
    <w:rsid w:val="008B702F"/>
    <w:rsid w:val="008C7F30"/>
    <w:rsid w:val="008E55BA"/>
    <w:rsid w:val="008F7D64"/>
    <w:rsid w:val="00924982"/>
    <w:rsid w:val="00946034"/>
    <w:rsid w:val="009558E5"/>
    <w:rsid w:val="0096043C"/>
    <w:rsid w:val="00972F61"/>
    <w:rsid w:val="009A0A4E"/>
    <w:rsid w:val="009A6D72"/>
    <w:rsid w:val="009D1299"/>
    <w:rsid w:val="009D1FE6"/>
    <w:rsid w:val="009D471B"/>
    <w:rsid w:val="009E42E1"/>
    <w:rsid w:val="009F2637"/>
    <w:rsid w:val="00A12E65"/>
    <w:rsid w:val="00A56385"/>
    <w:rsid w:val="00A64733"/>
    <w:rsid w:val="00A71199"/>
    <w:rsid w:val="00A72E34"/>
    <w:rsid w:val="00A768F2"/>
    <w:rsid w:val="00A8079C"/>
    <w:rsid w:val="00A84242"/>
    <w:rsid w:val="00AA1A40"/>
    <w:rsid w:val="00AA3403"/>
    <w:rsid w:val="00AA4A12"/>
    <w:rsid w:val="00AC79E3"/>
    <w:rsid w:val="00B06E03"/>
    <w:rsid w:val="00B11F6B"/>
    <w:rsid w:val="00B22B1D"/>
    <w:rsid w:val="00B2384F"/>
    <w:rsid w:val="00B444B2"/>
    <w:rsid w:val="00B70A96"/>
    <w:rsid w:val="00B74A30"/>
    <w:rsid w:val="00BA63A4"/>
    <w:rsid w:val="00BB618A"/>
    <w:rsid w:val="00BD0D8B"/>
    <w:rsid w:val="00BD49EE"/>
    <w:rsid w:val="00BE3C8F"/>
    <w:rsid w:val="00BF1C52"/>
    <w:rsid w:val="00C00FD4"/>
    <w:rsid w:val="00C34AA0"/>
    <w:rsid w:val="00C515BE"/>
    <w:rsid w:val="00C5364E"/>
    <w:rsid w:val="00C72F1A"/>
    <w:rsid w:val="00C76390"/>
    <w:rsid w:val="00C8280A"/>
    <w:rsid w:val="00C90AB0"/>
    <w:rsid w:val="00CA15FA"/>
    <w:rsid w:val="00CA7C00"/>
    <w:rsid w:val="00CF46E6"/>
    <w:rsid w:val="00CF5188"/>
    <w:rsid w:val="00D10568"/>
    <w:rsid w:val="00D10731"/>
    <w:rsid w:val="00D13C0D"/>
    <w:rsid w:val="00D271D5"/>
    <w:rsid w:val="00D41FE1"/>
    <w:rsid w:val="00D428D1"/>
    <w:rsid w:val="00D65424"/>
    <w:rsid w:val="00D707A8"/>
    <w:rsid w:val="00D815A4"/>
    <w:rsid w:val="00D93B44"/>
    <w:rsid w:val="00D958B1"/>
    <w:rsid w:val="00DC7D28"/>
    <w:rsid w:val="00DD14DA"/>
    <w:rsid w:val="00DE191D"/>
    <w:rsid w:val="00DF22CE"/>
    <w:rsid w:val="00E06AB5"/>
    <w:rsid w:val="00E101E9"/>
    <w:rsid w:val="00E14E21"/>
    <w:rsid w:val="00E42110"/>
    <w:rsid w:val="00E54503"/>
    <w:rsid w:val="00E643B2"/>
    <w:rsid w:val="00E67EDE"/>
    <w:rsid w:val="00E86CE8"/>
    <w:rsid w:val="00E91330"/>
    <w:rsid w:val="00E96814"/>
    <w:rsid w:val="00EB23E6"/>
    <w:rsid w:val="00EB6878"/>
    <w:rsid w:val="00EB6B15"/>
    <w:rsid w:val="00F05F11"/>
    <w:rsid w:val="00F068E3"/>
    <w:rsid w:val="00F23258"/>
    <w:rsid w:val="00F726F8"/>
    <w:rsid w:val="00FD67EC"/>
    <w:rsid w:val="2A45E6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133E"/>
  <w15:chartTrackingRefBased/>
  <w15:docId w15:val="{7E513FFA-3385-41A2-9949-AF16A05B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246"/>
    <w:pPr>
      <w:tabs>
        <w:tab w:val="center" w:pos="4153"/>
        <w:tab w:val="right" w:pos="8306"/>
      </w:tabs>
    </w:pPr>
  </w:style>
  <w:style w:type="character" w:customStyle="1" w:styleId="HeaderChar">
    <w:name w:val="Header Char"/>
    <w:basedOn w:val="DefaultParagraphFont"/>
    <w:link w:val="Header"/>
    <w:uiPriority w:val="99"/>
    <w:rsid w:val="002E6246"/>
  </w:style>
  <w:style w:type="paragraph" w:styleId="Footer">
    <w:name w:val="footer"/>
    <w:basedOn w:val="Normal"/>
    <w:link w:val="FooterChar"/>
    <w:uiPriority w:val="99"/>
    <w:unhideWhenUsed/>
    <w:rsid w:val="002E6246"/>
    <w:pPr>
      <w:tabs>
        <w:tab w:val="center" w:pos="4153"/>
        <w:tab w:val="right" w:pos="8306"/>
      </w:tabs>
    </w:pPr>
  </w:style>
  <w:style w:type="character" w:customStyle="1" w:styleId="FooterChar">
    <w:name w:val="Footer Char"/>
    <w:basedOn w:val="DefaultParagraphFont"/>
    <w:link w:val="Footer"/>
    <w:uiPriority w:val="99"/>
    <w:rsid w:val="002E6246"/>
  </w:style>
  <w:style w:type="character" w:styleId="Strong">
    <w:name w:val="Strong"/>
    <w:basedOn w:val="DefaultParagraphFont"/>
    <w:uiPriority w:val="22"/>
    <w:qFormat/>
    <w:rsid w:val="00CA7C00"/>
    <w:rPr>
      <w:b/>
      <w:bCs/>
    </w:rPr>
  </w:style>
  <w:style w:type="paragraph" w:styleId="BalloonText">
    <w:name w:val="Balloon Text"/>
    <w:basedOn w:val="Normal"/>
    <w:link w:val="BalloonTextChar"/>
    <w:uiPriority w:val="99"/>
    <w:semiHidden/>
    <w:unhideWhenUsed/>
    <w:rsid w:val="006C0D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DC6"/>
    <w:rPr>
      <w:rFonts w:ascii="Segoe UI" w:hAnsi="Segoe UI" w:cs="Segoe UI"/>
      <w:sz w:val="18"/>
      <w:szCs w:val="18"/>
    </w:rPr>
  </w:style>
  <w:style w:type="paragraph" w:customStyle="1" w:styleId="doc-ti">
    <w:name w:val="doc-ti"/>
    <w:basedOn w:val="Normal"/>
    <w:rsid w:val="005D4BBE"/>
    <w:pPr>
      <w:spacing w:before="240" w:after="120"/>
      <w:jc w:val="center"/>
    </w:pPr>
    <w:rPr>
      <w:rFonts w:eastAsia="Times New Roman" w:cs="Times New Roman"/>
      <w:b/>
      <w:bCs/>
      <w:szCs w:val="24"/>
      <w:lang w:eastAsia="lv-LV"/>
    </w:rPr>
  </w:style>
  <w:style w:type="paragraph" w:customStyle="1" w:styleId="naiskr">
    <w:name w:val="naiskr"/>
    <w:basedOn w:val="Normal"/>
    <w:rsid w:val="00E54503"/>
    <w:pPr>
      <w:spacing w:before="75" w:after="75"/>
    </w:pPr>
    <w:rPr>
      <w:rFonts w:eastAsia="Times New Roman" w:cs="Times New Roman"/>
      <w:szCs w:val="24"/>
      <w:lang w:eastAsia="lv-LV"/>
    </w:rPr>
  </w:style>
  <w:style w:type="paragraph" w:customStyle="1" w:styleId="Default">
    <w:name w:val="Default"/>
    <w:rsid w:val="00E54503"/>
    <w:pPr>
      <w:autoSpaceDE w:val="0"/>
      <w:autoSpaceDN w:val="0"/>
      <w:adjustRightInd w:val="0"/>
    </w:pPr>
    <w:rPr>
      <w:rFonts w:ascii="EUAlbertina" w:eastAsia="Times New Roman" w:hAnsi="EUAlbertina" w:cs="EUAlbertina"/>
      <w:color w:val="000000"/>
      <w:szCs w:val="24"/>
      <w:lang w:eastAsia="lv-LV"/>
    </w:rPr>
  </w:style>
  <w:style w:type="paragraph" w:styleId="ListParagraph">
    <w:name w:val="List Paragraph"/>
    <w:basedOn w:val="Normal"/>
    <w:uiPriority w:val="34"/>
    <w:qFormat/>
    <w:rsid w:val="00BB618A"/>
    <w:pPr>
      <w:ind w:left="720"/>
      <w:contextualSpacing/>
    </w:pPr>
  </w:style>
  <w:style w:type="character" w:styleId="Hyperlink">
    <w:name w:val="Hyperlink"/>
    <w:basedOn w:val="DefaultParagraphFont"/>
    <w:uiPriority w:val="99"/>
    <w:unhideWhenUsed/>
    <w:rsid w:val="00226CF4"/>
    <w:rPr>
      <w:color w:val="0563C1" w:themeColor="hyperlink"/>
      <w:u w:val="single"/>
    </w:rPr>
  </w:style>
  <w:style w:type="character" w:styleId="FootnoteReference">
    <w:name w:val="footnote reference"/>
    <w:aliases w:val="Footnote Reference Number,Footnote symbol,SUPERS"/>
    <w:uiPriority w:val="99"/>
    <w:unhideWhenUsed/>
    <w:rsid w:val="00312282"/>
    <w:rPr>
      <w:vertAlign w:val="superscript"/>
    </w:rPr>
  </w:style>
  <w:style w:type="character" w:styleId="CommentReference">
    <w:name w:val="annotation reference"/>
    <w:basedOn w:val="DefaultParagraphFont"/>
    <w:uiPriority w:val="99"/>
    <w:semiHidden/>
    <w:unhideWhenUsed/>
    <w:rsid w:val="009D471B"/>
    <w:rPr>
      <w:sz w:val="16"/>
      <w:szCs w:val="16"/>
    </w:rPr>
  </w:style>
  <w:style w:type="paragraph" w:styleId="CommentText">
    <w:name w:val="annotation text"/>
    <w:basedOn w:val="Normal"/>
    <w:link w:val="CommentTextChar"/>
    <w:uiPriority w:val="99"/>
    <w:semiHidden/>
    <w:unhideWhenUsed/>
    <w:rsid w:val="009D471B"/>
    <w:rPr>
      <w:sz w:val="20"/>
      <w:szCs w:val="20"/>
    </w:rPr>
  </w:style>
  <w:style w:type="character" w:customStyle="1" w:styleId="CommentTextChar">
    <w:name w:val="Comment Text Char"/>
    <w:basedOn w:val="DefaultParagraphFont"/>
    <w:link w:val="CommentText"/>
    <w:uiPriority w:val="99"/>
    <w:semiHidden/>
    <w:rsid w:val="009D471B"/>
    <w:rPr>
      <w:sz w:val="20"/>
      <w:szCs w:val="20"/>
    </w:rPr>
  </w:style>
  <w:style w:type="paragraph" w:styleId="CommentSubject">
    <w:name w:val="annotation subject"/>
    <w:basedOn w:val="CommentText"/>
    <w:next w:val="CommentText"/>
    <w:link w:val="CommentSubjectChar"/>
    <w:uiPriority w:val="99"/>
    <w:semiHidden/>
    <w:unhideWhenUsed/>
    <w:rsid w:val="009D471B"/>
    <w:rPr>
      <w:b/>
      <w:bCs/>
    </w:rPr>
  </w:style>
  <w:style w:type="character" w:customStyle="1" w:styleId="CommentSubjectChar">
    <w:name w:val="Comment Subject Char"/>
    <w:basedOn w:val="CommentTextChar"/>
    <w:link w:val="CommentSubject"/>
    <w:uiPriority w:val="99"/>
    <w:semiHidden/>
    <w:rsid w:val="009D471B"/>
    <w:rPr>
      <w:b/>
      <w:bCs/>
      <w:sz w:val="20"/>
      <w:szCs w:val="20"/>
    </w:rPr>
  </w:style>
  <w:style w:type="paragraph" w:styleId="Revision">
    <w:name w:val="Revision"/>
    <w:hidden/>
    <w:uiPriority w:val="99"/>
    <w:semiHidden/>
    <w:rsid w:val="00F05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986415">
      <w:bodyDiv w:val="1"/>
      <w:marLeft w:val="390"/>
      <w:marRight w:val="390"/>
      <w:marTop w:val="0"/>
      <w:marBottom w:val="0"/>
      <w:divBdr>
        <w:top w:val="none" w:sz="0" w:space="0" w:color="auto"/>
        <w:left w:val="none" w:sz="0" w:space="0" w:color="auto"/>
        <w:bottom w:val="none" w:sz="0" w:space="0" w:color="auto"/>
        <w:right w:val="none" w:sz="0" w:space="0" w:color="auto"/>
      </w:divBdr>
    </w:div>
    <w:div w:id="548418145">
      <w:bodyDiv w:val="1"/>
      <w:marLeft w:val="0"/>
      <w:marRight w:val="0"/>
      <w:marTop w:val="0"/>
      <w:marBottom w:val="0"/>
      <w:divBdr>
        <w:top w:val="none" w:sz="0" w:space="0" w:color="auto"/>
        <w:left w:val="none" w:sz="0" w:space="0" w:color="auto"/>
        <w:bottom w:val="none" w:sz="0" w:space="0" w:color="auto"/>
        <w:right w:val="none" w:sz="0" w:space="0" w:color="auto"/>
      </w:divBdr>
    </w:div>
    <w:div w:id="609319992">
      <w:bodyDiv w:val="1"/>
      <w:marLeft w:val="390"/>
      <w:marRight w:val="390"/>
      <w:marTop w:val="0"/>
      <w:marBottom w:val="0"/>
      <w:divBdr>
        <w:top w:val="none" w:sz="0" w:space="0" w:color="auto"/>
        <w:left w:val="none" w:sz="0" w:space="0" w:color="auto"/>
        <w:bottom w:val="none" w:sz="0" w:space="0" w:color="auto"/>
        <w:right w:val="none" w:sz="0" w:space="0" w:color="auto"/>
      </w:divBdr>
    </w:div>
    <w:div w:id="113602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Zinotajs xmlns="076bee50-7a25-411a-a5a6-8097026bde27">A. Zitcere (FTPD)</Zinotajs>
    <NPK xmlns="bf0a44d4-cc3b-414c-aa68-884178465e3a">2.</NPK>
    <VK_x0020_l_x0113_mums xmlns="bf0a44d4-cc3b-414c-aa68-884178465e3a">Nav</VK_x0020_l_x0113_mum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99F53-BD9C-4A08-9D65-EB063C557B8E}">
  <ds:schemaRefs>
    <ds:schemaRef ds:uri="076bee50-7a25-411a-a5a6-8097026bde27"/>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bf0a44d4-cc3b-414c-aa68-884178465e3a"/>
    <ds:schemaRef ds:uri="http://www.w3.org/XML/1998/namespace"/>
    <ds:schemaRef ds:uri="http://purl.org/dc/dcmitype/"/>
  </ds:schemaRefs>
</ds:datastoreItem>
</file>

<file path=customXml/itemProps2.xml><?xml version="1.0" encoding="utf-8"?>
<ds:datastoreItem xmlns:ds="http://schemas.openxmlformats.org/officeDocument/2006/customXml" ds:itemID="{3B082BA5-BF2C-4DC2-857F-E2E8AABB657B}">
  <ds:schemaRefs>
    <ds:schemaRef ds:uri="http://schemas.microsoft.com/sharepoint/v3/contenttype/forms"/>
  </ds:schemaRefs>
</ds:datastoreItem>
</file>

<file path=customXml/itemProps3.xml><?xml version="1.0" encoding="utf-8"?>
<ds:datastoreItem xmlns:ds="http://schemas.openxmlformats.org/officeDocument/2006/customXml" ds:itemID="{1A6F3E0E-333D-4882-B431-AD6B13466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4551</Words>
  <Characters>2595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Uzziņa par likumprojektu “Grozījumi Sauszemes transportlīdzekļu īpašnieku civiltiesiskās atbildības obligātās apdrošināšanas likumā”</vt:lpstr>
    </vt:vector>
  </TitlesOfParts>
  <Company>Finanšu ministrija</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Uzziņa par Ministru kabineta noteikumu projektu „Grozījumi Ministru kabineta 2005.gada 22.marta noteikumos Nr.195 “Sauszemes transportlīdzekļu īpašnieku civiltiesiskās atbildības obligātās apdrošināšanas garantijas fonda izveidošanas, uzkrāšanas un admini</dc:title>
  <dc:subject>Uzziņa</dc:subject>
  <dc:creator>I. Albova (FTPD)</dc:creator>
  <cp:keywords/>
  <cp:lastModifiedBy>Inguna Dancīte</cp:lastModifiedBy>
  <cp:revision>2</cp:revision>
  <cp:lastPrinted>2019-09-12T07:12:00Z</cp:lastPrinted>
  <dcterms:created xsi:type="dcterms:W3CDTF">2021-02-04T13:44:00Z</dcterms:created>
  <dcterms:modified xsi:type="dcterms:W3CDTF">2021-02-04T13:44:00Z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0x01010055094651C21ECB47AF858F84B8524E0A</vt:lpwstr>
  </property>
</Properties>
</file>