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2818C" w14:textId="2EC30523" w:rsidR="007656F5" w:rsidRDefault="00F951E7" w:rsidP="00800A5C">
      <w:pPr>
        <w:spacing w:after="0" w:line="240" w:lineRule="auto"/>
        <w:jc w:val="center"/>
        <w:rPr>
          <w:rFonts w:ascii="Times New Roman" w:hAnsi="Times New Roman"/>
          <w:b/>
          <w:bCs/>
          <w:sz w:val="28"/>
          <w:szCs w:val="28"/>
        </w:rPr>
      </w:pPr>
      <w:r w:rsidRPr="00F951E7">
        <w:rPr>
          <w:rFonts w:ascii="Times New Roman" w:hAnsi="Times New Roman"/>
          <w:b/>
          <w:bCs/>
          <w:sz w:val="28"/>
          <w:szCs w:val="28"/>
        </w:rPr>
        <w:t>Minist</w:t>
      </w:r>
      <w:r w:rsidR="00800A5C">
        <w:rPr>
          <w:rFonts w:ascii="Times New Roman" w:hAnsi="Times New Roman"/>
          <w:b/>
          <w:bCs/>
          <w:sz w:val="28"/>
          <w:szCs w:val="28"/>
        </w:rPr>
        <w:t>ru kabineta noteikumu projekta</w:t>
      </w:r>
    </w:p>
    <w:p w14:paraId="43608498" w14:textId="1D2B57C2" w:rsidR="00894C55" w:rsidRPr="00833CEF" w:rsidRDefault="00800A5C" w:rsidP="00800A5C">
      <w:pPr>
        <w:spacing w:after="0" w:line="240" w:lineRule="auto"/>
        <w:jc w:val="center"/>
        <w:rPr>
          <w:rFonts w:ascii="Times New Roman" w:hAnsi="Times New Roman"/>
          <w:b/>
          <w:sz w:val="28"/>
          <w:szCs w:val="28"/>
        </w:rPr>
      </w:pPr>
      <w:r>
        <w:rPr>
          <w:rFonts w:ascii="Times New Roman" w:hAnsi="Times New Roman"/>
          <w:b/>
          <w:bCs/>
          <w:sz w:val="28"/>
          <w:szCs w:val="28"/>
        </w:rPr>
        <w:t>“</w:t>
      </w:r>
      <w:r>
        <w:rPr>
          <w:rFonts w:ascii="Times New Roman" w:eastAsia="Times New Roman" w:hAnsi="Times New Roman"/>
          <w:b/>
          <w:sz w:val="28"/>
          <w:szCs w:val="28"/>
        </w:rPr>
        <w:t>Grozījumi Ministru kabineta 2015.</w:t>
      </w:r>
      <w:r w:rsidR="00110958">
        <w:rPr>
          <w:rFonts w:ascii="Times New Roman" w:eastAsia="Times New Roman" w:hAnsi="Times New Roman"/>
          <w:b/>
          <w:sz w:val="28"/>
          <w:szCs w:val="28"/>
        </w:rPr>
        <w:t> </w:t>
      </w:r>
      <w:r>
        <w:rPr>
          <w:rFonts w:ascii="Times New Roman" w:eastAsia="Times New Roman" w:hAnsi="Times New Roman"/>
          <w:b/>
          <w:sz w:val="28"/>
          <w:szCs w:val="28"/>
        </w:rPr>
        <w:t>gada 22.</w:t>
      </w:r>
      <w:r w:rsidR="00110958">
        <w:rPr>
          <w:rFonts w:ascii="Times New Roman" w:eastAsia="Times New Roman" w:hAnsi="Times New Roman"/>
          <w:b/>
          <w:sz w:val="28"/>
          <w:szCs w:val="28"/>
        </w:rPr>
        <w:t> </w:t>
      </w:r>
      <w:r>
        <w:rPr>
          <w:rFonts w:ascii="Times New Roman" w:eastAsia="Times New Roman" w:hAnsi="Times New Roman"/>
          <w:b/>
          <w:sz w:val="28"/>
          <w:szCs w:val="28"/>
        </w:rPr>
        <w:t>decembra noteikumos Nr.</w:t>
      </w:r>
      <w:r w:rsidR="00110958">
        <w:rPr>
          <w:rFonts w:ascii="Times New Roman" w:eastAsia="Times New Roman" w:hAnsi="Times New Roman"/>
          <w:b/>
          <w:sz w:val="28"/>
          <w:szCs w:val="28"/>
        </w:rPr>
        <w:t> </w:t>
      </w:r>
      <w:r>
        <w:rPr>
          <w:rFonts w:ascii="Times New Roman" w:eastAsia="Times New Roman" w:hAnsi="Times New Roman"/>
          <w:b/>
          <w:sz w:val="28"/>
          <w:szCs w:val="28"/>
        </w:rPr>
        <w:t xml:space="preserve">760 </w:t>
      </w:r>
      <w:r>
        <w:rPr>
          <w:rFonts w:ascii="Times New Roman" w:hAnsi="Times New Roman"/>
          <w:sz w:val="28"/>
          <w:szCs w:val="28"/>
        </w:rPr>
        <w:t>“</w:t>
      </w:r>
      <w:r>
        <w:rPr>
          <w:rFonts w:ascii="Times New Roman" w:hAnsi="Times New Roman"/>
          <w:b/>
          <w:bCs/>
          <w:sz w:val="28"/>
          <w:szCs w:val="28"/>
        </w:rPr>
        <w:t>Kārtība, kādā kredītinformācijas birojs vai fiziskā persona pieprasa un Valsts ieņēmumu dienests sniedz informāciju par fiziskās personas ienākumiem</w:t>
      </w:r>
      <w:r w:rsidR="00F951E7" w:rsidRPr="00F951E7">
        <w:rPr>
          <w:rFonts w:ascii="Times New Roman" w:hAnsi="Times New Roman"/>
          <w:b/>
          <w:bCs/>
          <w:sz w:val="28"/>
          <w:szCs w:val="28"/>
        </w:rPr>
        <w:t xml:space="preserve">”” sākotnējās ietekmes </w:t>
      </w:r>
      <w:r w:rsidR="00F951E7">
        <w:rPr>
          <w:rFonts w:ascii="Times New Roman" w:hAnsi="Times New Roman"/>
          <w:b/>
          <w:bCs/>
          <w:sz w:val="28"/>
          <w:szCs w:val="28"/>
        </w:rPr>
        <w:t xml:space="preserve">novērtējuma ziņojums </w:t>
      </w:r>
      <w:r w:rsidR="00894C55" w:rsidRPr="00833CEF">
        <w:rPr>
          <w:rFonts w:ascii="Times New Roman" w:hAnsi="Times New Roman"/>
          <w:b/>
          <w:sz w:val="28"/>
          <w:szCs w:val="28"/>
        </w:rPr>
        <w:t>(anotācija)</w:t>
      </w:r>
    </w:p>
    <w:p w14:paraId="68CB944E" w14:textId="77777777" w:rsidR="00E5323B" w:rsidRDefault="00E5323B" w:rsidP="00894C55">
      <w:pPr>
        <w:shd w:val="clear" w:color="auto" w:fill="FFFFFF"/>
        <w:spacing w:after="0" w:line="240" w:lineRule="auto"/>
        <w:jc w:val="center"/>
        <w:rPr>
          <w:rFonts w:ascii="Times New Roman" w:eastAsia="Times New Roman" w:hAnsi="Times New Roman" w:cs="Times New Roman"/>
          <w:b/>
          <w:bCs/>
          <w:color w:val="414142"/>
          <w:sz w:val="28"/>
          <w:szCs w:val="24"/>
          <w:lang w:eastAsia="lv-LV"/>
        </w:rPr>
      </w:pPr>
    </w:p>
    <w:p w14:paraId="6505736A" w14:textId="77777777" w:rsidR="00670019" w:rsidRPr="00894C55" w:rsidRDefault="00670019" w:rsidP="00894C55">
      <w:pPr>
        <w:shd w:val="clear" w:color="auto" w:fill="FFFFFF"/>
        <w:spacing w:after="0" w:line="240" w:lineRule="auto"/>
        <w:jc w:val="center"/>
        <w:rPr>
          <w:rFonts w:ascii="Times New Roman" w:eastAsia="Times New Roman" w:hAnsi="Times New Roman" w:cs="Times New Roman"/>
          <w:b/>
          <w:bCs/>
          <w:color w:val="414142"/>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E5323B" w:rsidRPr="00F15EA7" w14:paraId="5CFCBADD"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D2985BF" w14:textId="77777777" w:rsidR="00655F2C" w:rsidRPr="00F15EA7" w:rsidRDefault="00E5323B" w:rsidP="00E661D1">
            <w:pPr>
              <w:spacing w:after="0" w:line="240" w:lineRule="auto"/>
              <w:jc w:val="center"/>
              <w:rPr>
                <w:rFonts w:ascii="Times New Roman" w:eastAsia="Times New Roman" w:hAnsi="Times New Roman" w:cs="Times New Roman"/>
                <w:b/>
                <w:bCs/>
                <w:iCs/>
                <w:color w:val="414142"/>
                <w:sz w:val="26"/>
                <w:szCs w:val="26"/>
                <w:lang w:val="sv-SE" w:eastAsia="lv-LV"/>
              </w:rPr>
            </w:pPr>
            <w:r w:rsidRPr="00F15EA7">
              <w:rPr>
                <w:rFonts w:ascii="Times New Roman" w:eastAsia="Times New Roman" w:hAnsi="Times New Roman" w:cs="Times New Roman"/>
                <w:b/>
                <w:bCs/>
                <w:sz w:val="26"/>
                <w:szCs w:val="26"/>
                <w:lang w:eastAsia="lv-LV"/>
              </w:rPr>
              <w:t>Tiesību akta projekta anotācijas kopsavilkums</w:t>
            </w:r>
          </w:p>
        </w:tc>
      </w:tr>
      <w:tr w:rsidR="00E5323B" w:rsidRPr="00F15EA7" w14:paraId="45864768" w14:textId="77777777" w:rsidTr="00974D6A">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66999F40" w14:textId="77777777" w:rsidR="00E5323B" w:rsidRPr="00F15EA7" w:rsidRDefault="00E5323B" w:rsidP="00257880">
            <w:pPr>
              <w:spacing w:after="0" w:line="240" w:lineRule="auto"/>
              <w:rPr>
                <w:rFonts w:ascii="Times New Roman" w:eastAsia="Times New Roman" w:hAnsi="Times New Roman" w:cs="Times New Roman"/>
                <w:iCs/>
                <w:color w:val="414142"/>
                <w:sz w:val="26"/>
                <w:szCs w:val="26"/>
                <w:lang w:val="sv-SE" w:eastAsia="lv-LV"/>
              </w:rPr>
            </w:pPr>
            <w:r w:rsidRPr="00F15EA7">
              <w:rPr>
                <w:rFonts w:ascii="Times New Roman" w:hAnsi="Times New Roman" w:cs="Times New Roman"/>
                <w:sz w:val="26"/>
                <w:szCs w:val="26"/>
              </w:rPr>
              <w:t xml:space="preserve">Mērķis, risinājums un projekta spēkā stāšanās laiks </w:t>
            </w:r>
            <w:r w:rsidR="00B949D5" w:rsidRPr="00F15EA7">
              <w:rPr>
                <w:rFonts w:ascii="Times New Roman" w:hAnsi="Times New Roman" w:cs="Times New Roman"/>
                <w:sz w:val="26"/>
                <w:szCs w:val="26"/>
              </w:rPr>
              <w:t>(500 zīmes bez atstarpēm)</w:t>
            </w:r>
          </w:p>
        </w:tc>
        <w:tc>
          <w:tcPr>
            <w:tcW w:w="2970" w:type="pct"/>
            <w:tcBorders>
              <w:top w:val="outset" w:sz="6" w:space="0" w:color="auto"/>
              <w:left w:val="outset" w:sz="6" w:space="0" w:color="auto"/>
              <w:bottom w:val="outset" w:sz="6" w:space="0" w:color="auto"/>
              <w:right w:val="outset" w:sz="6" w:space="0" w:color="auto"/>
            </w:tcBorders>
            <w:hideMark/>
          </w:tcPr>
          <w:p w14:paraId="2E7F5AD4" w14:textId="246E3733" w:rsidR="00800A5C" w:rsidRPr="00F15EA7" w:rsidRDefault="00634435" w:rsidP="00B51314">
            <w:pPr>
              <w:spacing w:after="0" w:line="240" w:lineRule="auto"/>
              <w:ind w:hanging="19"/>
              <w:jc w:val="both"/>
              <w:rPr>
                <w:rFonts w:ascii="Times New Roman" w:hAnsi="Times New Roman" w:cs="Times New Roman"/>
                <w:sz w:val="26"/>
                <w:szCs w:val="26"/>
              </w:rPr>
            </w:pPr>
            <w:r w:rsidRPr="00F15EA7">
              <w:rPr>
                <w:rFonts w:ascii="Times New Roman" w:hAnsi="Times New Roman" w:cs="Times New Roman"/>
                <w:sz w:val="26"/>
                <w:szCs w:val="26"/>
              </w:rPr>
              <w:t>Mini</w:t>
            </w:r>
            <w:r w:rsidR="00CA38C5" w:rsidRPr="00F15EA7">
              <w:rPr>
                <w:rFonts w:ascii="Times New Roman" w:hAnsi="Times New Roman" w:cs="Times New Roman"/>
                <w:sz w:val="26"/>
                <w:szCs w:val="26"/>
              </w:rPr>
              <w:t>stru kabineta noteikumu projekta</w:t>
            </w:r>
            <w:r w:rsidR="00800A5C" w:rsidRPr="00F15EA7">
              <w:rPr>
                <w:rFonts w:ascii="Times New Roman" w:hAnsi="Times New Roman" w:cs="Times New Roman"/>
                <w:sz w:val="26"/>
                <w:szCs w:val="26"/>
              </w:rPr>
              <w:t xml:space="preserve"> “</w:t>
            </w:r>
            <w:r w:rsidR="00D17270" w:rsidRPr="00F15EA7">
              <w:rPr>
                <w:rFonts w:ascii="Times New Roman" w:hAnsi="Times New Roman" w:cs="Times New Roman"/>
                <w:bCs/>
                <w:sz w:val="26"/>
                <w:szCs w:val="26"/>
              </w:rPr>
              <w:t xml:space="preserve">Grozījumi Ministru kabineta </w:t>
            </w:r>
            <w:r w:rsidR="00800A5C" w:rsidRPr="00F15EA7">
              <w:rPr>
                <w:rFonts w:ascii="Times New Roman" w:hAnsi="Times New Roman" w:cs="Times New Roman"/>
                <w:sz w:val="26"/>
                <w:szCs w:val="26"/>
              </w:rPr>
              <w:t>2015.</w:t>
            </w:r>
            <w:r w:rsidR="00110958">
              <w:rPr>
                <w:rFonts w:ascii="Times New Roman" w:hAnsi="Times New Roman" w:cs="Times New Roman"/>
                <w:sz w:val="26"/>
                <w:szCs w:val="26"/>
              </w:rPr>
              <w:t> </w:t>
            </w:r>
            <w:r w:rsidR="00800A5C" w:rsidRPr="00F15EA7">
              <w:rPr>
                <w:rFonts w:ascii="Times New Roman" w:hAnsi="Times New Roman" w:cs="Times New Roman"/>
                <w:sz w:val="26"/>
                <w:szCs w:val="26"/>
              </w:rPr>
              <w:t>gada 22.</w:t>
            </w:r>
            <w:r w:rsidR="00110958">
              <w:rPr>
                <w:rFonts w:ascii="Times New Roman" w:hAnsi="Times New Roman" w:cs="Times New Roman"/>
                <w:sz w:val="26"/>
                <w:szCs w:val="26"/>
              </w:rPr>
              <w:t> </w:t>
            </w:r>
            <w:r w:rsidR="00800A5C" w:rsidRPr="00F15EA7">
              <w:rPr>
                <w:rFonts w:ascii="Times New Roman" w:hAnsi="Times New Roman" w:cs="Times New Roman"/>
                <w:sz w:val="26"/>
                <w:szCs w:val="26"/>
              </w:rPr>
              <w:t>decembra noteikumos Nr.</w:t>
            </w:r>
            <w:r w:rsidR="00110958">
              <w:rPr>
                <w:rFonts w:ascii="Times New Roman" w:hAnsi="Times New Roman" w:cs="Times New Roman"/>
                <w:sz w:val="26"/>
                <w:szCs w:val="26"/>
              </w:rPr>
              <w:t> </w:t>
            </w:r>
            <w:r w:rsidR="00800A5C" w:rsidRPr="00F15EA7">
              <w:rPr>
                <w:rFonts w:ascii="Times New Roman" w:hAnsi="Times New Roman" w:cs="Times New Roman"/>
                <w:sz w:val="26"/>
                <w:szCs w:val="26"/>
              </w:rPr>
              <w:t>760 “Kārtība, kādā kredītinformācijas birojs vai fiziskā persona pieprasa un Valsts ieņēmumu dienests sniedz informāciju par fiziskās personas ienākumiem”</w:t>
            </w:r>
            <w:r w:rsidR="00355C41">
              <w:rPr>
                <w:rFonts w:ascii="Times New Roman" w:hAnsi="Times New Roman" w:cs="Times New Roman"/>
                <w:sz w:val="26"/>
                <w:szCs w:val="26"/>
              </w:rPr>
              <w:t>”</w:t>
            </w:r>
            <w:r w:rsidR="00FF5D29" w:rsidRPr="00F15EA7">
              <w:rPr>
                <w:rFonts w:ascii="Times New Roman" w:hAnsi="Times New Roman" w:cs="Times New Roman"/>
                <w:sz w:val="26"/>
                <w:szCs w:val="26"/>
              </w:rPr>
              <w:t xml:space="preserve"> (turpmāk – </w:t>
            </w:r>
            <w:r w:rsidR="003473EC">
              <w:rPr>
                <w:rFonts w:ascii="Times New Roman" w:hAnsi="Times New Roman" w:cs="Times New Roman"/>
                <w:sz w:val="26"/>
                <w:szCs w:val="26"/>
              </w:rPr>
              <w:t>Noteikumu p</w:t>
            </w:r>
            <w:r w:rsidRPr="00F15EA7">
              <w:rPr>
                <w:rFonts w:ascii="Times New Roman" w:hAnsi="Times New Roman" w:cs="Times New Roman"/>
                <w:sz w:val="26"/>
                <w:szCs w:val="26"/>
              </w:rPr>
              <w:t>rojekts) mērķis ir</w:t>
            </w:r>
            <w:r w:rsidR="006A569A" w:rsidRPr="00F15EA7">
              <w:rPr>
                <w:rFonts w:ascii="Times New Roman" w:hAnsi="Times New Roman" w:cs="Times New Roman"/>
                <w:sz w:val="26"/>
                <w:szCs w:val="26"/>
              </w:rPr>
              <w:t xml:space="preserve"> </w:t>
            </w:r>
            <w:r w:rsidR="00800A5C" w:rsidRPr="00F15EA7">
              <w:rPr>
                <w:rFonts w:ascii="Times New Roman" w:hAnsi="Times New Roman" w:cs="Times New Roman"/>
                <w:sz w:val="26"/>
                <w:szCs w:val="26"/>
                <w:lang w:eastAsia="lv-LV"/>
              </w:rPr>
              <w:t>paplašināt kredītinf</w:t>
            </w:r>
            <w:r w:rsidR="001765BF" w:rsidRPr="00F15EA7">
              <w:rPr>
                <w:rFonts w:ascii="Times New Roman" w:hAnsi="Times New Roman" w:cs="Times New Roman"/>
                <w:sz w:val="26"/>
                <w:szCs w:val="26"/>
                <w:lang w:eastAsia="lv-LV"/>
              </w:rPr>
              <w:t>o</w:t>
            </w:r>
            <w:r w:rsidR="00800A5C" w:rsidRPr="00F15EA7">
              <w:rPr>
                <w:rFonts w:ascii="Times New Roman" w:hAnsi="Times New Roman" w:cs="Times New Roman"/>
                <w:sz w:val="26"/>
                <w:szCs w:val="26"/>
                <w:lang w:eastAsia="lv-LV"/>
              </w:rPr>
              <w:t xml:space="preserve">rmācijas birojam </w:t>
            </w:r>
            <w:r w:rsidR="001765BF" w:rsidRPr="00F15EA7">
              <w:rPr>
                <w:rFonts w:ascii="Times New Roman" w:hAnsi="Times New Roman" w:cs="Times New Roman"/>
                <w:sz w:val="26"/>
                <w:szCs w:val="26"/>
                <w:lang w:eastAsia="lv-LV"/>
              </w:rPr>
              <w:t xml:space="preserve">sniegtās informācijas apjomu </w:t>
            </w:r>
            <w:r w:rsidR="00800A5C" w:rsidRPr="00F15EA7">
              <w:rPr>
                <w:rFonts w:ascii="Times New Roman" w:hAnsi="Times New Roman" w:cs="Times New Roman"/>
                <w:sz w:val="26"/>
                <w:szCs w:val="26"/>
                <w:lang w:eastAsia="lv-LV"/>
              </w:rPr>
              <w:t>fiziskās personas kredītriska vērtējum</w:t>
            </w:r>
            <w:r w:rsidR="001765BF" w:rsidRPr="00F15EA7">
              <w:rPr>
                <w:rFonts w:ascii="Times New Roman" w:hAnsi="Times New Roman" w:cs="Times New Roman"/>
                <w:sz w:val="26"/>
                <w:szCs w:val="26"/>
                <w:lang w:eastAsia="lv-LV"/>
              </w:rPr>
              <w:t>am.</w:t>
            </w:r>
            <w:r w:rsidR="00800A5C" w:rsidRPr="00F15EA7">
              <w:rPr>
                <w:rFonts w:ascii="Times New Roman" w:hAnsi="Times New Roman" w:cs="Times New Roman"/>
                <w:sz w:val="26"/>
                <w:szCs w:val="26"/>
                <w:lang w:eastAsia="lv-LV"/>
              </w:rPr>
              <w:t xml:space="preserve"> </w:t>
            </w:r>
          </w:p>
          <w:p w14:paraId="66CC452A" w14:textId="0AA8EA9B" w:rsidR="00E5323B" w:rsidRPr="00F15EA7" w:rsidRDefault="002A6C47" w:rsidP="00281B51">
            <w:pPr>
              <w:spacing w:after="0" w:line="240" w:lineRule="auto"/>
              <w:jc w:val="both"/>
              <w:rPr>
                <w:rFonts w:ascii="Times New Roman" w:eastAsia="Times New Roman" w:hAnsi="Times New Roman" w:cs="Times New Roman"/>
                <w:iCs/>
                <w:color w:val="A6A6A6" w:themeColor="background1" w:themeShade="A6"/>
                <w:sz w:val="26"/>
                <w:szCs w:val="26"/>
                <w:lang w:eastAsia="lv-LV"/>
              </w:rPr>
            </w:pPr>
            <w:r>
              <w:rPr>
                <w:rFonts w:ascii="Times New Roman" w:eastAsia="Times New Roman" w:hAnsi="Times New Roman" w:cs="Times New Roman"/>
                <w:iCs/>
                <w:sz w:val="26"/>
                <w:szCs w:val="26"/>
                <w:lang w:eastAsia="lv-LV"/>
              </w:rPr>
              <w:t xml:space="preserve">Grozījumi Ministru kabineta noteikumos </w:t>
            </w:r>
            <w:r w:rsidR="00012A3F" w:rsidRPr="00F15EA7">
              <w:rPr>
                <w:rFonts w:ascii="Times New Roman" w:eastAsia="Calibri" w:hAnsi="Times New Roman" w:cs="Times New Roman"/>
                <w:sz w:val="26"/>
                <w:szCs w:val="26"/>
              </w:rPr>
              <w:t>stāsies</w:t>
            </w:r>
            <w:r w:rsidR="00D9124A" w:rsidRPr="00F15EA7">
              <w:rPr>
                <w:rFonts w:ascii="Times New Roman" w:eastAsia="Calibri" w:hAnsi="Times New Roman" w:cs="Times New Roman"/>
                <w:sz w:val="26"/>
                <w:szCs w:val="26"/>
              </w:rPr>
              <w:t xml:space="preserve"> spēkā</w:t>
            </w:r>
            <w:r w:rsidR="00012A3F" w:rsidRPr="00F15EA7">
              <w:rPr>
                <w:rFonts w:ascii="Times New Roman" w:eastAsia="Calibri" w:hAnsi="Times New Roman" w:cs="Times New Roman"/>
                <w:sz w:val="26"/>
                <w:szCs w:val="26"/>
              </w:rPr>
              <w:t xml:space="preserve"> </w:t>
            </w:r>
            <w:r w:rsidR="00420508" w:rsidRPr="00420508">
              <w:rPr>
                <w:rFonts w:ascii="Times New Roman" w:hAnsi="Times New Roman" w:cs="Times New Roman"/>
                <w:sz w:val="26"/>
                <w:szCs w:val="26"/>
              </w:rPr>
              <w:t>2021.</w:t>
            </w:r>
            <w:r w:rsidR="00110958">
              <w:rPr>
                <w:rFonts w:ascii="Times New Roman" w:hAnsi="Times New Roman" w:cs="Times New Roman"/>
                <w:sz w:val="26"/>
                <w:szCs w:val="26"/>
              </w:rPr>
              <w:t> </w:t>
            </w:r>
            <w:r w:rsidR="00420508" w:rsidRPr="00420508">
              <w:rPr>
                <w:rFonts w:ascii="Times New Roman" w:hAnsi="Times New Roman" w:cs="Times New Roman"/>
                <w:sz w:val="26"/>
                <w:szCs w:val="26"/>
              </w:rPr>
              <w:t>gada 1.</w:t>
            </w:r>
            <w:r w:rsidR="00110958">
              <w:rPr>
                <w:rFonts w:ascii="Times New Roman" w:hAnsi="Times New Roman" w:cs="Times New Roman"/>
                <w:sz w:val="26"/>
                <w:szCs w:val="26"/>
              </w:rPr>
              <w:t> </w:t>
            </w:r>
            <w:r w:rsidR="0014306F">
              <w:rPr>
                <w:rFonts w:ascii="Times New Roman" w:hAnsi="Times New Roman" w:cs="Times New Roman"/>
                <w:sz w:val="26"/>
                <w:szCs w:val="26"/>
              </w:rPr>
              <w:t>augustā</w:t>
            </w:r>
            <w:r w:rsidR="00420508" w:rsidRPr="00420508">
              <w:rPr>
                <w:rFonts w:ascii="Times New Roman" w:hAnsi="Times New Roman" w:cs="Times New Roman"/>
                <w:sz w:val="26"/>
                <w:szCs w:val="26"/>
              </w:rPr>
              <w:t>.</w:t>
            </w:r>
          </w:p>
        </w:tc>
      </w:tr>
    </w:tbl>
    <w:p w14:paraId="4B6E30E1" w14:textId="77777777" w:rsidR="00E5323B" w:rsidRPr="00F15EA7" w:rsidRDefault="00E5323B" w:rsidP="00E5323B">
      <w:pPr>
        <w:spacing w:after="0" w:line="240" w:lineRule="auto"/>
        <w:rPr>
          <w:rFonts w:ascii="Times New Roman" w:eastAsia="Times New Roman" w:hAnsi="Times New Roman" w:cs="Times New Roman"/>
          <w:iCs/>
          <w:color w:val="414142"/>
          <w:sz w:val="26"/>
          <w:szCs w:val="26"/>
          <w:lang w:val="sv-SE" w:eastAsia="lv-LV"/>
        </w:rPr>
      </w:pPr>
      <w:r w:rsidRPr="00F15EA7">
        <w:rPr>
          <w:rFonts w:ascii="Times New Roman" w:eastAsia="Times New Roman" w:hAnsi="Times New Roman" w:cs="Times New Roman"/>
          <w:iCs/>
          <w:color w:val="414142"/>
          <w:sz w:val="26"/>
          <w:szCs w:val="26"/>
          <w:lang w:val="sv-SE"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F15EA7" w14:paraId="488730ED"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D56083F" w14:textId="0D3CFC73" w:rsidR="00655F2C" w:rsidRPr="00F15EA7" w:rsidRDefault="00E5323B" w:rsidP="00110958">
            <w:pPr>
              <w:spacing w:after="0" w:line="240" w:lineRule="auto"/>
              <w:jc w:val="center"/>
              <w:rPr>
                <w:rFonts w:ascii="Times New Roman" w:eastAsia="Times New Roman" w:hAnsi="Times New Roman" w:cs="Times New Roman"/>
                <w:b/>
                <w:bCs/>
                <w:iCs/>
                <w:color w:val="414142"/>
                <w:sz w:val="26"/>
                <w:szCs w:val="26"/>
                <w:lang w:val="sv-SE" w:eastAsia="lv-LV"/>
              </w:rPr>
            </w:pPr>
            <w:r w:rsidRPr="00F15EA7">
              <w:rPr>
                <w:rFonts w:ascii="Times New Roman" w:eastAsia="Times New Roman" w:hAnsi="Times New Roman" w:cs="Times New Roman"/>
                <w:b/>
                <w:bCs/>
                <w:sz w:val="26"/>
                <w:szCs w:val="26"/>
                <w:lang w:eastAsia="lv-LV"/>
              </w:rPr>
              <w:t>I.</w:t>
            </w:r>
            <w:r w:rsidR="00110958">
              <w:rPr>
                <w:rFonts w:ascii="Times New Roman" w:eastAsia="Times New Roman" w:hAnsi="Times New Roman" w:cs="Times New Roman"/>
                <w:b/>
                <w:bCs/>
                <w:sz w:val="26"/>
                <w:szCs w:val="26"/>
                <w:lang w:eastAsia="lv-LV"/>
              </w:rPr>
              <w:t> </w:t>
            </w:r>
            <w:r w:rsidRPr="00F15EA7">
              <w:rPr>
                <w:rFonts w:ascii="Times New Roman" w:eastAsia="Times New Roman" w:hAnsi="Times New Roman" w:cs="Times New Roman"/>
                <w:b/>
                <w:bCs/>
                <w:sz w:val="26"/>
                <w:szCs w:val="26"/>
                <w:lang w:eastAsia="lv-LV"/>
              </w:rPr>
              <w:t>Tiesību akta projekta izstrādes nepieciešamība</w:t>
            </w:r>
          </w:p>
        </w:tc>
      </w:tr>
      <w:tr w:rsidR="00E5323B" w:rsidRPr="00F15EA7" w14:paraId="41495DB2" w14:textId="77777777" w:rsidTr="00794BE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56CDE5A" w14:textId="77777777" w:rsidR="00655F2C" w:rsidRPr="00F15EA7" w:rsidRDefault="00E5323B" w:rsidP="00E5323B">
            <w:pPr>
              <w:spacing w:after="0" w:line="240" w:lineRule="auto"/>
              <w:rPr>
                <w:rFonts w:ascii="Times New Roman" w:hAnsi="Times New Roman" w:cs="Times New Roman"/>
                <w:sz w:val="26"/>
                <w:szCs w:val="26"/>
              </w:rPr>
            </w:pPr>
            <w:r w:rsidRPr="00F15EA7">
              <w:rPr>
                <w:rFonts w:ascii="Times New Roman" w:hAnsi="Times New Roman" w:cs="Times New Roman"/>
                <w:sz w:val="26"/>
                <w:szCs w:val="26"/>
              </w:rPr>
              <w:t>1.</w:t>
            </w:r>
          </w:p>
        </w:tc>
        <w:tc>
          <w:tcPr>
            <w:tcW w:w="1678" w:type="pct"/>
            <w:tcBorders>
              <w:top w:val="outset" w:sz="6" w:space="0" w:color="auto"/>
              <w:left w:val="outset" w:sz="6" w:space="0" w:color="auto"/>
              <w:bottom w:val="outset" w:sz="6" w:space="0" w:color="auto"/>
              <w:right w:val="outset" w:sz="6" w:space="0" w:color="auto"/>
            </w:tcBorders>
            <w:hideMark/>
          </w:tcPr>
          <w:p w14:paraId="3C9AC58A" w14:textId="77777777" w:rsidR="00E5323B" w:rsidRPr="00F15EA7" w:rsidRDefault="00E5323B" w:rsidP="00E5323B">
            <w:pPr>
              <w:spacing w:after="0" w:line="240" w:lineRule="auto"/>
              <w:rPr>
                <w:rFonts w:ascii="Times New Roman" w:hAnsi="Times New Roman" w:cs="Times New Roman"/>
                <w:sz w:val="26"/>
                <w:szCs w:val="26"/>
              </w:rPr>
            </w:pPr>
            <w:r w:rsidRPr="00F15EA7">
              <w:rPr>
                <w:rFonts w:ascii="Times New Roman" w:hAnsi="Times New Roman" w:cs="Times New Roman"/>
                <w:sz w:val="26"/>
                <w:szCs w:val="26"/>
              </w:rPr>
              <w:t>Pamatojums</w:t>
            </w:r>
          </w:p>
        </w:tc>
        <w:tc>
          <w:tcPr>
            <w:tcW w:w="2961" w:type="pct"/>
            <w:tcBorders>
              <w:top w:val="outset" w:sz="6" w:space="0" w:color="auto"/>
              <w:left w:val="outset" w:sz="6" w:space="0" w:color="auto"/>
              <w:bottom w:val="outset" w:sz="6" w:space="0" w:color="auto"/>
              <w:right w:val="outset" w:sz="6" w:space="0" w:color="auto"/>
            </w:tcBorders>
            <w:hideMark/>
          </w:tcPr>
          <w:p w14:paraId="1899045F" w14:textId="78B121A2" w:rsidR="00E5323B" w:rsidRPr="00F15EA7" w:rsidRDefault="00420508" w:rsidP="006A569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Finanšu ministrijas (</w:t>
            </w:r>
            <w:r w:rsidR="00BE1D88" w:rsidRPr="00F15EA7">
              <w:rPr>
                <w:rFonts w:ascii="Times New Roman" w:hAnsi="Times New Roman" w:cs="Times New Roman"/>
                <w:sz w:val="26"/>
                <w:szCs w:val="26"/>
              </w:rPr>
              <w:t>Valsts ieņēmumu dienesta)</w:t>
            </w:r>
            <w:r w:rsidR="00B522D4" w:rsidRPr="00F15EA7">
              <w:rPr>
                <w:rFonts w:ascii="Times New Roman" w:hAnsi="Times New Roman" w:cs="Times New Roman"/>
                <w:sz w:val="26"/>
                <w:szCs w:val="26"/>
              </w:rPr>
              <w:t xml:space="preserve"> iniciatīva</w:t>
            </w:r>
            <w:r w:rsidR="00594D3D">
              <w:rPr>
                <w:rFonts w:ascii="Times New Roman" w:hAnsi="Times New Roman" w:cs="Times New Roman"/>
                <w:sz w:val="26"/>
                <w:szCs w:val="26"/>
              </w:rPr>
              <w:t xml:space="preserve"> </w:t>
            </w:r>
            <w:r w:rsidR="00857777">
              <w:rPr>
                <w:rFonts w:ascii="Times New Roman" w:hAnsi="Times New Roman" w:cs="Times New Roman"/>
                <w:sz w:val="26"/>
                <w:szCs w:val="26"/>
              </w:rPr>
              <w:t>pēc Finanšu nozares asociācijas ierosinājuma</w:t>
            </w:r>
            <w:r w:rsidR="000B4EF8">
              <w:rPr>
                <w:rFonts w:ascii="Times New Roman" w:hAnsi="Times New Roman" w:cs="Times New Roman"/>
                <w:sz w:val="26"/>
                <w:szCs w:val="26"/>
              </w:rPr>
              <w:t>.</w:t>
            </w:r>
          </w:p>
        </w:tc>
      </w:tr>
      <w:tr w:rsidR="00E5323B" w:rsidRPr="00F15EA7" w14:paraId="7D894218" w14:textId="77777777" w:rsidTr="009554A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69C3D72" w14:textId="77777777" w:rsidR="00655F2C" w:rsidRPr="00F15EA7" w:rsidRDefault="00E5323B" w:rsidP="00E5323B">
            <w:pPr>
              <w:spacing w:after="0" w:line="240" w:lineRule="auto"/>
              <w:rPr>
                <w:rFonts w:ascii="Times New Roman" w:hAnsi="Times New Roman" w:cs="Times New Roman"/>
                <w:sz w:val="26"/>
                <w:szCs w:val="26"/>
              </w:rPr>
            </w:pPr>
            <w:r w:rsidRPr="00F15EA7">
              <w:rPr>
                <w:rFonts w:ascii="Times New Roman" w:hAnsi="Times New Roman" w:cs="Times New Roman"/>
                <w:sz w:val="26"/>
                <w:szCs w:val="26"/>
              </w:rPr>
              <w:t>2.</w:t>
            </w:r>
          </w:p>
        </w:tc>
        <w:tc>
          <w:tcPr>
            <w:tcW w:w="1678" w:type="pct"/>
            <w:tcBorders>
              <w:top w:val="outset" w:sz="6" w:space="0" w:color="auto"/>
              <w:left w:val="outset" w:sz="6" w:space="0" w:color="auto"/>
              <w:bottom w:val="outset" w:sz="6" w:space="0" w:color="auto"/>
              <w:right w:val="outset" w:sz="6" w:space="0" w:color="auto"/>
            </w:tcBorders>
            <w:hideMark/>
          </w:tcPr>
          <w:p w14:paraId="22EE18B4" w14:textId="77777777" w:rsidR="006A569A" w:rsidRPr="00F15EA7" w:rsidRDefault="00E5323B" w:rsidP="00E5323B">
            <w:pPr>
              <w:spacing w:after="0" w:line="240" w:lineRule="auto"/>
              <w:rPr>
                <w:rFonts w:ascii="Times New Roman" w:hAnsi="Times New Roman" w:cs="Times New Roman"/>
                <w:sz w:val="26"/>
                <w:szCs w:val="26"/>
              </w:rPr>
            </w:pPr>
            <w:r w:rsidRPr="00F15EA7">
              <w:rPr>
                <w:rFonts w:ascii="Times New Roman" w:hAnsi="Times New Roman" w:cs="Times New Roman"/>
                <w:sz w:val="26"/>
                <w:szCs w:val="26"/>
              </w:rPr>
              <w:t>Pašreizējā situācija un problēmas, kuru risināšanai tiesību akta projekts izstrādāts, tiesiskā regulējuma mērķis un būtība</w:t>
            </w:r>
          </w:p>
          <w:p w14:paraId="23368683" w14:textId="77777777" w:rsidR="006A569A" w:rsidRPr="00F15EA7" w:rsidRDefault="006A569A" w:rsidP="006A569A">
            <w:pPr>
              <w:rPr>
                <w:rFonts w:ascii="Times New Roman" w:hAnsi="Times New Roman" w:cs="Times New Roman"/>
                <w:sz w:val="26"/>
                <w:szCs w:val="26"/>
              </w:rPr>
            </w:pPr>
          </w:p>
          <w:p w14:paraId="7DD31040" w14:textId="77777777" w:rsidR="006A569A" w:rsidRPr="00F15EA7" w:rsidRDefault="006A569A" w:rsidP="006A569A">
            <w:pPr>
              <w:rPr>
                <w:rFonts w:ascii="Times New Roman" w:hAnsi="Times New Roman" w:cs="Times New Roman"/>
                <w:sz w:val="26"/>
                <w:szCs w:val="26"/>
              </w:rPr>
            </w:pPr>
          </w:p>
          <w:p w14:paraId="25235E17" w14:textId="77777777" w:rsidR="006A569A" w:rsidRPr="00F15EA7" w:rsidRDefault="006A569A" w:rsidP="006A569A">
            <w:pPr>
              <w:rPr>
                <w:rFonts w:ascii="Times New Roman" w:hAnsi="Times New Roman" w:cs="Times New Roman"/>
                <w:sz w:val="26"/>
                <w:szCs w:val="26"/>
              </w:rPr>
            </w:pPr>
          </w:p>
          <w:p w14:paraId="58DD4F20" w14:textId="77777777" w:rsidR="006A569A" w:rsidRPr="00F15EA7" w:rsidRDefault="006A569A" w:rsidP="006A569A">
            <w:pPr>
              <w:rPr>
                <w:rFonts w:ascii="Times New Roman" w:hAnsi="Times New Roman" w:cs="Times New Roman"/>
                <w:sz w:val="26"/>
                <w:szCs w:val="26"/>
              </w:rPr>
            </w:pPr>
          </w:p>
          <w:p w14:paraId="3D31765C" w14:textId="77777777" w:rsidR="006A569A" w:rsidRPr="00F15EA7" w:rsidRDefault="006A569A" w:rsidP="006A569A">
            <w:pPr>
              <w:rPr>
                <w:rFonts w:ascii="Times New Roman" w:hAnsi="Times New Roman" w:cs="Times New Roman"/>
                <w:sz w:val="26"/>
                <w:szCs w:val="26"/>
              </w:rPr>
            </w:pPr>
          </w:p>
          <w:p w14:paraId="2D968B4E" w14:textId="77777777" w:rsidR="006A569A" w:rsidRPr="00F15EA7" w:rsidRDefault="006A569A" w:rsidP="006A569A">
            <w:pPr>
              <w:rPr>
                <w:rFonts w:ascii="Times New Roman" w:hAnsi="Times New Roman" w:cs="Times New Roman"/>
                <w:sz w:val="26"/>
                <w:szCs w:val="26"/>
              </w:rPr>
            </w:pPr>
          </w:p>
          <w:p w14:paraId="036AE7B0" w14:textId="77777777" w:rsidR="00E5323B" w:rsidRPr="00F15EA7" w:rsidRDefault="006A569A" w:rsidP="006A569A">
            <w:pPr>
              <w:tabs>
                <w:tab w:val="left" w:pos="990"/>
              </w:tabs>
              <w:rPr>
                <w:rFonts w:ascii="Times New Roman" w:hAnsi="Times New Roman" w:cs="Times New Roman"/>
                <w:sz w:val="26"/>
                <w:szCs w:val="26"/>
              </w:rPr>
            </w:pPr>
            <w:r w:rsidRPr="00F15EA7">
              <w:rPr>
                <w:rFonts w:ascii="Times New Roman" w:hAnsi="Times New Roman" w:cs="Times New Roman"/>
                <w:sz w:val="26"/>
                <w:szCs w:val="26"/>
              </w:rPr>
              <w:tab/>
            </w:r>
          </w:p>
        </w:tc>
        <w:tc>
          <w:tcPr>
            <w:tcW w:w="2961" w:type="pct"/>
            <w:tcBorders>
              <w:top w:val="outset" w:sz="6" w:space="0" w:color="auto"/>
              <w:left w:val="outset" w:sz="6" w:space="0" w:color="auto"/>
              <w:bottom w:val="outset" w:sz="6" w:space="0" w:color="auto"/>
              <w:right w:val="outset" w:sz="6" w:space="0" w:color="auto"/>
            </w:tcBorders>
          </w:tcPr>
          <w:p w14:paraId="3746EED4" w14:textId="4A968A6B" w:rsidR="004966EF" w:rsidRPr="00664E77" w:rsidRDefault="004966EF">
            <w:pPr>
              <w:pStyle w:val="NoSpacing"/>
              <w:jc w:val="both"/>
              <w:rPr>
                <w:rFonts w:ascii="Times New Roman" w:hAnsi="Times New Roman" w:cs="Times New Roman"/>
                <w:sz w:val="26"/>
                <w:szCs w:val="26"/>
                <w:lang w:val="lv-LV"/>
              </w:rPr>
            </w:pPr>
            <w:r w:rsidRPr="00664E77">
              <w:rPr>
                <w:rFonts w:ascii="Times New Roman" w:hAnsi="Times New Roman" w:cs="Times New Roman"/>
                <w:sz w:val="26"/>
                <w:szCs w:val="26"/>
                <w:lang w:val="lv-LV"/>
              </w:rPr>
              <w:t>Kredītiestāžu likuma 34.</w:t>
            </w:r>
            <w:r w:rsidRPr="00664E77">
              <w:rPr>
                <w:rFonts w:ascii="Times New Roman" w:hAnsi="Times New Roman" w:cs="Times New Roman"/>
                <w:sz w:val="26"/>
                <w:szCs w:val="26"/>
                <w:vertAlign w:val="superscript"/>
                <w:lang w:val="lv-LV"/>
              </w:rPr>
              <w:t>2</w:t>
            </w:r>
            <w:r w:rsidR="00110958">
              <w:rPr>
                <w:rFonts w:ascii="Times New Roman" w:hAnsi="Times New Roman" w:cs="Times New Roman"/>
                <w:sz w:val="26"/>
                <w:szCs w:val="26"/>
                <w:vertAlign w:val="superscript"/>
                <w:lang w:val="lv-LV"/>
              </w:rPr>
              <w:t> </w:t>
            </w:r>
            <w:r w:rsidRPr="00664E77">
              <w:rPr>
                <w:rFonts w:ascii="Times New Roman" w:hAnsi="Times New Roman" w:cs="Times New Roman"/>
                <w:sz w:val="26"/>
                <w:szCs w:val="26"/>
                <w:lang w:val="lv-LV"/>
              </w:rPr>
              <w:t>pant</w:t>
            </w:r>
            <w:r w:rsidR="003473EC">
              <w:rPr>
                <w:rFonts w:ascii="Times New Roman" w:hAnsi="Times New Roman" w:cs="Times New Roman"/>
                <w:sz w:val="26"/>
                <w:szCs w:val="26"/>
                <w:lang w:val="lv-LV"/>
              </w:rPr>
              <w:t>ā</w:t>
            </w:r>
            <w:r w:rsidRPr="00664E77">
              <w:rPr>
                <w:rFonts w:ascii="Times New Roman" w:hAnsi="Times New Roman" w:cs="Times New Roman"/>
                <w:sz w:val="26"/>
                <w:szCs w:val="26"/>
                <w:lang w:val="lv-LV"/>
              </w:rPr>
              <w:t xml:space="preserve"> notei</w:t>
            </w:r>
            <w:r w:rsidR="003473EC">
              <w:rPr>
                <w:rFonts w:ascii="Times New Roman" w:hAnsi="Times New Roman" w:cs="Times New Roman"/>
                <w:sz w:val="26"/>
                <w:szCs w:val="26"/>
                <w:lang w:val="lv-LV"/>
              </w:rPr>
              <w:t>kts</w:t>
            </w:r>
            <w:r w:rsidRPr="00664E77">
              <w:rPr>
                <w:rFonts w:ascii="Times New Roman" w:hAnsi="Times New Roman" w:cs="Times New Roman"/>
                <w:sz w:val="26"/>
                <w:szCs w:val="26"/>
                <w:lang w:val="lv-LV"/>
              </w:rPr>
              <w:t xml:space="preserve"> </w:t>
            </w:r>
            <w:r w:rsidR="003473EC" w:rsidRPr="00664E77">
              <w:rPr>
                <w:rFonts w:ascii="Times New Roman" w:hAnsi="Times New Roman" w:cs="Times New Roman"/>
                <w:sz w:val="26"/>
                <w:szCs w:val="26"/>
                <w:lang w:val="lv-LV"/>
              </w:rPr>
              <w:t>pienākum</w:t>
            </w:r>
            <w:r w:rsidR="003473EC">
              <w:rPr>
                <w:rFonts w:ascii="Times New Roman" w:hAnsi="Times New Roman" w:cs="Times New Roman"/>
                <w:sz w:val="26"/>
                <w:szCs w:val="26"/>
                <w:lang w:val="lv-LV"/>
              </w:rPr>
              <w:t>s</w:t>
            </w:r>
            <w:r w:rsidR="003473EC" w:rsidRPr="00664E77">
              <w:rPr>
                <w:rFonts w:ascii="Times New Roman" w:hAnsi="Times New Roman" w:cs="Times New Roman"/>
                <w:sz w:val="26"/>
                <w:szCs w:val="26"/>
                <w:lang w:val="lv-LV"/>
              </w:rPr>
              <w:t xml:space="preserve">  </w:t>
            </w:r>
            <w:r w:rsidRPr="00664E77">
              <w:rPr>
                <w:rFonts w:ascii="Times New Roman" w:hAnsi="Times New Roman" w:cs="Times New Roman"/>
                <w:sz w:val="26"/>
                <w:szCs w:val="26"/>
                <w:lang w:val="lv-LV"/>
              </w:rPr>
              <w:t>identificēt, novērtēt, analizēt un pārvaldīt kredītrisku, ievērojot Finanšu un kapitāla tirgus komisijas (turpmāk – FKTK) noteiktās prasības attiecībā uz kredītiestādes kredītrisku pārvaldīšanu. FKTK 2019.</w:t>
            </w:r>
            <w:r w:rsidR="00110958">
              <w:rPr>
                <w:rFonts w:ascii="Times New Roman" w:hAnsi="Times New Roman" w:cs="Times New Roman"/>
                <w:sz w:val="26"/>
                <w:szCs w:val="26"/>
                <w:lang w:val="lv-LV"/>
              </w:rPr>
              <w:t> </w:t>
            </w:r>
            <w:r w:rsidRPr="00664E77">
              <w:rPr>
                <w:rFonts w:ascii="Times New Roman" w:hAnsi="Times New Roman" w:cs="Times New Roman"/>
                <w:sz w:val="26"/>
                <w:szCs w:val="26"/>
                <w:lang w:val="lv-LV"/>
              </w:rPr>
              <w:t>gada 9.</w:t>
            </w:r>
            <w:r w:rsidR="00110958">
              <w:rPr>
                <w:rFonts w:ascii="Times New Roman" w:hAnsi="Times New Roman" w:cs="Times New Roman"/>
                <w:sz w:val="26"/>
                <w:szCs w:val="26"/>
                <w:lang w:val="lv-LV"/>
              </w:rPr>
              <w:t> </w:t>
            </w:r>
            <w:r w:rsidRPr="00664E77">
              <w:rPr>
                <w:rFonts w:ascii="Times New Roman" w:hAnsi="Times New Roman" w:cs="Times New Roman"/>
                <w:sz w:val="26"/>
                <w:szCs w:val="26"/>
                <w:lang w:val="lv-LV"/>
              </w:rPr>
              <w:t>jūlija normatīvie noteikumi Nr.</w:t>
            </w:r>
            <w:r w:rsidR="00110958">
              <w:rPr>
                <w:rFonts w:ascii="Times New Roman" w:hAnsi="Times New Roman" w:cs="Times New Roman"/>
                <w:sz w:val="26"/>
                <w:szCs w:val="26"/>
                <w:lang w:val="lv-LV"/>
              </w:rPr>
              <w:t> </w:t>
            </w:r>
            <w:r w:rsidRPr="00664E77">
              <w:rPr>
                <w:rFonts w:ascii="Times New Roman" w:hAnsi="Times New Roman" w:cs="Times New Roman"/>
                <w:sz w:val="26"/>
                <w:szCs w:val="26"/>
                <w:lang w:val="lv-LV"/>
              </w:rPr>
              <w:t>120 “Kredītriska pārvaldīšanas normatīvie noteikumi” (turpmāk – Noteikumi Nr.</w:t>
            </w:r>
            <w:r w:rsidR="00110958">
              <w:rPr>
                <w:rFonts w:ascii="Times New Roman" w:hAnsi="Times New Roman" w:cs="Times New Roman"/>
                <w:sz w:val="26"/>
                <w:szCs w:val="26"/>
                <w:lang w:val="lv-LV"/>
              </w:rPr>
              <w:t> </w:t>
            </w:r>
            <w:r w:rsidRPr="00664E77">
              <w:rPr>
                <w:rFonts w:ascii="Times New Roman" w:hAnsi="Times New Roman" w:cs="Times New Roman"/>
                <w:sz w:val="26"/>
                <w:szCs w:val="26"/>
                <w:lang w:val="lv-LV"/>
              </w:rPr>
              <w:t xml:space="preserve">120) </w:t>
            </w:r>
            <w:r w:rsidR="003473EC" w:rsidRPr="00664E77">
              <w:rPr>
                <w:rFonts w:ascii="Times New Roman" w:hAnsi="Times New Roman" w:cs="Times New Roman"/>
                <w:sz w:val="26"/>
                <w:szCs w:val="26"/>
                <w:lang w:val="lv-LV"/>
              </w:rPr>
              <w:t>no</w:t>
            </w:r>
            <w:r w:rsidR="003473EC">
              <w:rPr>
                <w:rFonts w:ascii="Times New Roman" w:hAnsi="Times New Roman" w:cs="Times New Roman"/>
                <w:sz w:val="26"/>
                <w:szCs w:val="26"/>
                <w:lang w:val="lv-LV"/>
              </w:rPr>
              <w:t>saka</w:t>
            </w:r>
            <w:r w:rsidR="003473EC" w:rsidRPr="00664E77">
              <w:rPr>
                <w:rFonts w:ascii="Times New Roman" w:hAnsi="Times New Roman" w:cs="Times New Roman"/>
                <w:sz w:val="26"/>
                <w:szCs w:val="26"/>
                <w:lang w:val="lv-LV"/>
              </w:rPr>
              <w:t xml:space="preserve"> </w:t>
            </w:r>
            <w:r w:rsidRPr="00664E77">
              <w:rPr>
                <w:rFonts w:ascii="Times New Roman" w:hAnsi="Times New Roman" w:cs="Times New Roman"/>
                <w:sz w:val="26"/>
                <w:szCs w:val="26"/>
                <w:lang w:val="lv-LV"/>
              </w:rPr>
              <w:t xml:space="preserve"> </w:t>
            </w:r>
            <w:r w:rsidR="00420508" w:rsidRPr="00420508">
              <w:rPr>
                <w:rFonts w:ascii="Times New Roman" w:hAnsi="Times New Roman" w:cs="Times New Roman"/>
                <w:sz w:val="26"/>
                <w:szCs w:val="26"/>
                <w:lang w:val="lv-LV"/>
              </w:rPr>
              <w:t>kredītriska pārvaldīšanas, aktīvu kvalitātes novērtēšanas un uzkrājumu veidošanas minimālās prasības.</w:t>
            </w:r>
            <w:r w:rsidRPr="00664E77">
              <w:rPr>
                <w:rFonts w:ascii="Times New Roman" w:hAnsi="Times New Roman" w:cs="Times New Roman"/>
                <w:sz w:val="26"/>
                <w:szCs w:val="26"/>
                <w:lang w:val="lv-LV"/>
              </w:rPr>
              <w:t xml:space="preserve"> </w:t>
            </w:r>
            <w:r w:rsidR="005A6E62">
              <w:rPr>
                <w:rFonts w:ascii="Times New Roman" w:hAnsi="Times New Roman" w:cs="Times New Roman"/>
                <w:sz w:val="26"/>
                <w:szCs w:val="26"/>
                <w:lang w:val="lv-LV"/>
              </w:rPr>
              <w:t>Atbilstoši minētajiem noteikumiem p</w:t>
            </w:r>
            <w:r w:rsidRPr="00664E77">
              <w:rPr>
                <w:rFonts w:ascii="Times New Roman" w:hAnsi="Times New Roman" w:cs="Times New Roman"/>
                <w:sz w:val="26"/>
                <w:szCs w:val="26"/>
                <w:lang w:val="lv-LV"/>
              </w:rPr>
              <w:t>olitikā, paredzot kredīta piešķiršanas kritērijus un limitus, jābalstās uz kredītņēmēja kredītspējas novērtējumu. Kredītņēmēja kredītspējas novērtēšanai jāanalizē vis</w:t>
            </w:r>
            <w:r w:rsidR="00110958">
              <w:rPr>
                <w:rFonts w:ascii="Times New Roman" w:hAnsi="Times New Roman" w:cs="Times New Roman"/>
                <w:sz w:val="26"/>
                <w:szCs w:val="26"/>
                <w:lang w:val="lv-LV"/>
              </w:rPr>
              <w:t>a</w:t>
            </w:r>
            <w:r w:rsidRPr="00664E77">
              <w:rPr>
                <w:rFonts w:ascii="Times New Roman" w:hAnsi="Times New Roman" w:cs="Times New Roman"/>
                <w:sz w:val="26"/>
                <w:szCs w:val="26"/>
                <w:lang w:val="lv-LV"/>
              </w:rPr>
              <w:t xml:space="preserve"> pieejam</w:t>
            </w:r>
            <w:r w:rsidR="00110958">
              <w:rPr>
                <w:rFonts w:ascii="Times New Roman" w:hAnsi="Times New Roman" w:cs="Times New Roman"/>
                <w:sz w:val="26"/>
                <w:szCs w:val="26"/>
                <w:lang w:val="lv-LV"/>
              </w:rPr>
              <w:t>ā</w:t>
            </w:r>
            <w:r w:rsidRPr="00664E77">
              <w:rPr>
                <w:rFonts w:ascii="Times New Roman" w:hAnsi="Times New Roman" w:cs="Times New Roman"/>
                <w:sz w:val="26"/>
                <w:szCs w:val="26"/>
                <w:lang w:val="lv-LV"/>
              </w:rPr>
              <w:t xml:space="preserve"> informācij</w:t>
            </w:r>
            <w:r w:rsidR="00110958">
              <w:rPr>
                <w:rFonts w:ascii="Times New Roman" w:hAnsi="Times New Roman" w:cs="Times New Roman"/>
                <w:sz w:val="26"/>
                <w:szCs w:val="26"/>
                <w:lang w:val="lv-LV"/>
              </w:rPr>
              <w:t>a</w:t>
            </w:r>
            <w:r w:rsidRPr="00664E77">
              <w:rPr>
                <w:rFonts w:ascii="Times New Roman" w:hAnsi="Times New Roman" w:cs="Times New Roman"/>
                <w:sz w:val="26"/>
                <w:szCs w:val="26"/>
                <w:lang w:val="lv-LV"/>
              </w:rPr>
              <w:t xml:space="preserve"> par kredītņēmēja ienākumiem, tostarp atbilstoš</w:t>
            </w:r>
            <w:r w:rsidR="00110958">
              <w:rPr>
                <w:rFonts w:ascii="Times New Roman" w:hAnsi="Times New Roman" w:cs="Times New Roman"/>
                <w:sz w:val="26"/>
                <w:szCs w:val="26"/>
                <w:lang w:val="lv-LV"/>
              </w:rPr>
              <w:t>a</w:t>
            </w:r>
            <w:r w:rsidRPr="00664E77">
              <w:rPr>
                <w:rFonts w:ascii="Times New Roman" w:hAnsi="Times New Roman" w:cs="Times New Roman"/>
                <w:sz w:val="26"/>
                <w:szCs w:val="26"/>
                <w:lang w:val="lv-LV"/>
              </w:rPr>
              <w:t xml:space="preserve"> informācij</w:t>
            </w:r>
            <w:r w:rsidR="00110958">
              <w:rPr>
                <w:rFonts w:ascii="Times New Roman" w:hAnsi="Times New Roman" w:cs="Times New Roman"/>
                <w:sz w:val="26"/>
                <w:szCs w:val="26"/>
                <w:lang w:val="lv-LV"/>
              </w:rPr>
              <w:t>a</w:t>
            </w:r>
            <w:r w:rsidRPr="00664E77">
              <w:rPr>
                <w:rFonts w:ascii="Times New Roman" w:hAnsi="Times New Roman" w:cs="Times New Roman"/>
                <w:sz w:val="26"/>
                <w:szCs w:val="26"/>
                <w:lang w:val="lv-LV"/>
              </w:rPr>
              <w:t xml:space="preserve"> no ārējiem avotiem, tai skaitā no kredītinformācijas birojiem, kā arī vērtēšanā ir izmantojama patiesa, pietiekama un pārbaudīta informācija</w:t>
            </w:r>
            <w:r w:rsidR="00110958">
              <w:rPr>
                <w:rFonts w:ascii="Times New Roman" w:hAnsi="Times New Roman" w:cs="Times New Roman"/>
                <w:sz w:val="26"/>
                <w:szCs w:val="26"/>
                <w:lang w:val="lv-LV"/>
              </w:rPr>
              <w:t xml:space="preserve"> un</w:t>
            </w:r>
            <w:r w:rsidRPr="00664E77">
              <w:rPr>
                <w:rFonts w:ascii="Times New Roman" w:hAnsi="Times New Roman" w:cs="Times New Roman"/>
                <w:sz w:val="26"/>
                <w:szCs w:val="26"/>
                <w:lang w:val="lv-LV"/>
              </w:rPr>
              <w:t xml:space="preserve"> atbilstoši vēsturiskie dati. Vērtējot </w:t>
            </w:r>
            <w:r w:rsidRPr="00664E77">
              <w:rPr>
                <w:rFonts w:ascii="Times New Roman" w:hAnsi="Times New Roman" w:cs="Times New Roman"/>
                <w:sz w:val="26"/>
                <w:szCs w:val="26"/>
                <w:lang w:val="lv-LV"/>
              </w:rPr>
              <w:lastRenderedPageBreak/>
              <w:t>fizisko personu maksātspēju, kredītiestādēm ir jāņem vērā visa tā informācija, kas liecina par kredītņēmēja ienākumu stabilitāti, tajā skaitā kredītņēmēja darbavietas, kas ir saimnieciskās darbības veicēja, tautsaimniecības nozares vai ģeogrāfiskā reģiona attīstību un pozīciju tirgū.</w:t>
            </w:r>
          </w:p>
          <w:p w14:paraId="37451515" w14:textId="0C4903E4" w:rsidR="004966EF" w:rsidRPr="00664E77" w:rsidRDefault="004966EF" w:rsidP="00B51314">
            <w:pPr>
              <w:pStyle w:val="NormalWeb"/>
              <w:jc w:val="both"/>
              <w:rPr>
                <w:rFonts w:ascii="Times New Roman" w:hAnsi="Times New Roman" w:cs="Times New Roman"/>
                <w:color w:val="000000" w:themeColor="text1"/>
                <w:sz w:val="26"/>
                <w:szCs w:val="26"/>
              </w:rPr>
            </w:pPr>
            <w:r w:rsidRPr="00664E77">
              <w:rPr>
                <w:rFonts w:ascii="Times New Roman" w:hAnsi="Times New Roman" w:cs="Times New Roman"/>
                <w:bCs/>
                <w:sz w:val="26"/>
                <w:szCs w:val="26"/>
              </w:rPr>
              <w:t xml:space="preserve">Minēto mērķu sasniegšanai kredīta devēji līdz šim aktīvi izmantoja </w:t>
            </w:r>
            <w:r w:rsidR="00281B51">
              <w:rPr>
                <w:rFonts w:ascii="Times New Roman" w:hAnsi="Times New Roman" w:cs="Times New Roman"/>
                <w:bCs/>
                <w:sz w:val="26"/>
                <w:szCs w:val="26"/>
              </w:rPr>
              <w:t>atbilstoši Noteikumu Nr.</w:t>
            </w:r>
            <w:r w:rsidR="00110958">
              <w:rPr>
                <w:rFonts w:ascii="Times New Roman" w:hAnsi="Times New Roman" w:cs="Times New Roman"/>
                <w:bCs/>
                <w:sz w:val="26"/>
                <w:szCs w:val="26"/>
              </w:rPr>
              <w:t> </w:t>
            </w:r>
            <w:r w:rsidR="00281B51">
              <w:rPr>
                <w:rFonts w:ascii="Times New Roman" w:hAnsi="Times New Roman" w:cs="Times New Roman"/>
                <w:bCs/>
                <w:sz w:val="26"/>
                <w:szCs w:val="26"/>
              </w:rPr>
              <w:t>120 46.</w:t>
            </w:r>
            <w:r w:rsidR="00281B51" w:rsidRPr="00B51314">
              <w:rPr>
                <w:rFonts w:ascii="Times New Roman" w:hAnsi="Times New Roman" w:cs="Times New Roman"/>
                <w:bCs/>
                <w:sz w:val="26"/>
                <w:szCs w:val="26"/>
                <w:vertAlign w:val="superscript"/>
              </w:rPr>
              <w:t>1</w:t>
            </w:r>
            <w:r w:rsidR="00281B51">
              <w:rPr>
                <w:rFonts w:ascii="Times New Roman" w:hAnsi="Times New Roman" w:cs="Times New Roman"/>
                <w:bCs/>
                <w:sz w:val="26"/>
                <w:szCs w:val="26"/>
              </w:rPr>
              <w:t xml:space="preserve"> punktam </w:t>
            </w:r>
            <w:r w:rsidRPr="00664E77">
              <w:rPr>
                <w:rFonts w:ascii="Times New Roman" w:hAnsi="Times New Roman" w:cs="Times New Roman"/>
                <w:color w:val="000000" w:themeColor="text1"/>
                <w:sz w:val="26"/>
                <w:szCs w:val="26"/>
              </w:rPr>
              <w:t>Valsts sociālās apdrošināšanas aģentūras (turpmāk – VSAA) datus. Tā kā normatīvie akti VSAA paredz kompetenci apstrādāt datus pensiju un pabalstu jomā, VSAA informēja kredīta devējus, ka sniegs informāciju tikai tajos gadījumos, kad VSAA ir datu pirmavots. Proti, VSAA turpmāk sniegs informāciju tikai par izmaksātajām VSAA pakalpojumu summām (pensijas, pabalsti utt.</w:t>
            </w:r>
            <w:r w:rsidR="003473EC">
              <w:rPr>
                <w:rFonts w:ascii="Times New Roman" w:hAnsi="Times New Roman" w:cs="Times New Roman"/>
                <w:color w:val="000000" w:themeColor="text1"/>
                <w:sz w:val="26"/>
                <w:szCs w:val="26"/>
              </w:rPr>
              <w:t>)</w:t>
            </w:r>
            <w:r w:rsidRPr="00664E77">
              <w:rPr>
                <w:rFonts w:ascii="Times New Roman" w:hAnsi="Times New Roman" w:cs="Times New Roman"/>
                <w:color w:val="000000" w:themeColor="text1"/>
                <w:sz w:val="26"/>
                <w:szCs w:val="26"/>
              </w:rPr>
              <w:t>, bet ne citi</w:t>
            </w:r>
            <w:r w:rsidR="00BE1D88" w:rsidRPr="00664E77">
              <w:rPr>
                <w:rFonts w:ascii="Times New Roman" w:hAnsi="Times New Roman" w:cs="Times New Roman"/>
                <w:color w:val="000000" w:themeColor="text1"/>
                <w:sz w:val="26"/>
                <w:szCs w:val="26"/>
              </w:rPr>
              <w:t>em</w:t>
            </w:r>
            <w:r w:rsidRPr="00664E77">
              <w:rPr>
                <w:rFonts w:ascii="Times New Roman" w:hAnsi="Times New Roman" w:cs="Times New Roman"/>
                <w:color w:val="000000" w:themeColor="text1"/>
                <w:sz w:val="26"/>
                <w:szCs w:val="26"/>
              </w:rPr>
              <w:t xml:space="preserve"> ienākumi</w:t>
            </w:r>
            <w:r w:rsidR="00BE1D88" w:rsidRPr="00664E77">
              <w:rPr>
                <w:rFonts w:ascii="Times New Roman" w:hAnsi="Times New Roman" w:cs="Times New Roman"/>
                <w:color w:val="000000" w:themeColor="text1"/>
                <w:sz w:val="26"/>
                <w:szCs w:val="26"/>
              </w:rPr>
              <w:t>em</w:t>
            </w:r>
            <w:r w:rsidRPr="00664E77">
              <w:rPr>
                <w:rFonts w:ascii="Times New Roman" w:hAnsi="Times New Roman" w:cs="Times New Roman"/>
                <w:color w:val="000000" w:themeColor="text1"/>
                <w:sz w:val="26"/>
                <w:szCs w:val="26"/>
              </w:rPr>
              <w:t>. VSAA norā</w:t>
            </w:r>
            <w:r w:rsidR="00BE1D88" w:rsidRPr="00664E77">
              <w:rPr>
                <w:rFonts w:ascii="Times New Roman" w:hAnsi="Times New Roman" w:cs="Times New Roman"/>
                <w:color w:val="000000" w:themeColor="text1"/>
                <w:sz w:val="26"/>
                <w:szCs w:val="26"/>
              </w:rPr>
              <w:t>da</w:t>
            </w:r>
            <w:r w:rsidRPr="00664E77">
              <w:rPr>
                <w:rFonts w:ascii="Times New Roman" w:hAnsi="Times New Roman" w:cs="Times New Roman"/>
                <w:color w:val="000000" w:themeColor="text1"/>
                <w:sz w:val="26"/>
                <w:szCs w:val="26"/>
              </w:rPr>
              <w:t xml:space="preserve">, ka </w:t>
            </w:r>
            <w:r w:rsidR="00BE1D88" w:rsidRPr="00664E77">
              <w:rPr>
                <w:rFonts w:ascii="Times New Roman" w:hAnsi="Times New Roman" w:cs="Times New Roman"/>
                <w:color w:val="000000" w:themeColor="text1"/>
                <w:sz w:val="26"/>
                <w:szCs w:val="26"/>
              </w:rPr>
              <w:t>k</w:t>
            </w:r>
            <w:r w:rsidRPr="00664E77">
              <w:rPr>
                <w:rFonts w:ascii="Times New Roman" w:hAnsi="Times New Roman" w:cs="Times New Roman"/>
                <w:color w:val="000000" w:themeColor="text1"/>
                <w:sz w:val="26"/>
                <w:szCs w:val="26"/>
              </w:rPr>
              <w:t>redīta devēji VSAA informāciju var</w:t>
            </w:r>
            <w:r w:rsidR="00BE1D88" w:rsidRPr="00664E77">
              <w:rPr>
                <w:rFonts w:ascii="Times New Roman" w:hAnsi="Times New Roman" w:cs="Times New Roman"/>
                <w:color w:val="000000" w:themeColor="text1"/>
                <w:sz w:val="26"/>
                <w:szCs w:val="26"/>
              </w:rPr>
              <w:t>ēs</w:t>
            </w:r>
            <w:r w:rsidRPr="00664E77">
              <w:rPr>
                <w:rFonts w:ascii="Times New Roman" w:hAnsi="Times New Roman" w:cs="Times New Roman"/>
                <w:color w:val="000000" w:themeColor="text1"/>
                <w:sz w:val="26"/>
                <w:szCs w:val="26"/>
              </w:rPr>
              <w:t xml:space="preserve"> saņemt ar kredītinformācijas biroju starpniecību, tāpēc individuālus līgumus VSAA turpmāk neslēgs.</w:t>
            </w:r>
          </w:p>
          <w:p w14:paraId="704686D7" w14:textId="30244A5C" w:rsidR="00890ECA" w:rsidRPr="00664E77" w:rsidRDefault="00857777" w:rsidP="00B51314">
            <w:pPr>
              <w:pStyle w:val="NoSpacing"/>
              <w:jc w:val="both"/>
              <w:rPr>
                <w:rFonts w:ascii="Times New Roman" w:hAnsi="Times New Roman" w:cs="Times New Roman"/>
                <w:sz w:val="26"/>
                <w:szCs w:val="26"/>
                <w:lang w:val="lv-LV"/>
              </w:rPr>
            </w:pPr>
            <w:r>
              <w:rPr>
                <w:rFonts w:ascii="Times New Roman" w:hAnsi="Times New Roman" w:cs="Times New Roman"/>
                <w:sz w:val="26"/>
                <w:szCs w:val="26"/>
                <w:lang w:val="lv-LV"/>
              </w:rPr>
              <w:t>Š</w:t>
            </w:r>
            <w:r w:rsidR="004966EF" w:rsidRPr="00664E77">
              <w:rPr>
                <w:rFonts w:ascii="Times New Roman" w:hAnsi="Times New Roman" w:cs="Times New Roman"/>
                <w:sz w:val="26"/>
                <w:szCs w:val="26"/>
                <w:lang w:val="lv-LV"/>
              </w:rPr>
              <w:t>ādā gadījumā ir nepieciešami grozījumi Ministru kabineta 2015.</w:t>
            </w:r>
            <w:r w:rsidR="00110958">
              <w:rPr>
                <w:rFonts w:ascii="Times New Roman" w:hAnsi="Times New Roman" w:cs="Times New Roman"/>
                <w:sz w:val="26"/>
                <w:szCs w:val="26"/>
                <w:lang w:val="lv-LV"/>
              </w:rPr>
              <w:t> </w:t>
            </w:r>
            <w:r w:rsidR="004966EF" w:rsidRPr="00664E77">
              <w:rPr>
                <w:rFonts w:ascii="Times New Roman" w:hAnsi="Times New Roman" w:cs="Times New Roman"/>
                <w:sz w:val="26"/>
                <w:szCs w:val="26"/>
                <w:lang w:val="lv-LV"/>
              </w:rPr>
              <w:t>gada 22.</w:t>
            </w:r>
            <w:r w:rsidR="00110958">
              <w:rPr>
                <w:rFonts w:ascii="Times New Roman" w:hAnsi="Times New Roman" w:cs="Times New Roman"/>
                <w:sz w:val="26"/>
                <w:szCs w:val="26"/>
                <w:lang w:val="lv-LV"/>
              </w:rPr>
              <w:t> </w:t>
            </w:r>
            <w:r w:rsidR="004966EF" w:rsidRPr="00664E77">
              <w:rPr>
                <w:rFonts w:ascii="Times New Roman" w:hAnsi="Times New Roman" w:cs="Times New Roman"/>
                <w:sz w:val="26"/>
                <w:szCs w:val="26"/>
                <w:lang w:val="lv-LV"/>
              </w:rPr>
              <w:t>decembra noteikumos Nr.</w:t>
            </w:r>
            <w:r w:rsidR="00110958">
              <w:rPr>
                <w:rFonts w:ascii="Times New Roman" w:hAnsi="Times New Roman" w:cs="Times New Roman"/>
                <w:sz w:val="26"/>
                <w:szCs w:val="26"/>
                <w:lang w:val="lv-LV"/>
              </w:rPr>
              <w:t> </w:t>
            </w:r>
            <w:r w:rsidR="004966EF" w:rsidRPr="00664E77">
              <w:rPr>
                <w:rFonts w:ascii="Times New Roman" w:hAnsi="Times New Roman" w:cs="Times New Roman"/>
                <w:sz w:val="26"/>
                <w:szCs w:val="26"/>
                <w:lang w:val="lv-LV"/>
              </w:rPr>
              <w:t>760 “Kārtība, kādā kredītinformācijas birojs vai fiziskā persona pieprasa un Valsts ieņēmumu dienests sniedz informāciju par fiziskās personas ienākumiem”</w:t>
            </w:r>
            <w:r w:rsidR="00281B51">
              <w:rPr>
                <w:rFonts w:ascii="Times New Roman" w:hAnsi="Times New Roman" w:cs="Times New Roman"/>
                <w:sz w:val="26"/>
                <w:szCs w:val="26"/>
                <w:lang w:val="lv-LV"/>
              </w:rPr>
              <w:t xml:space="preserve"> (turpmāk – Noteikum</w:t>
            </w:r>
            <w:r w:rsidR="00110958">
              <w:rPr>
                <w:rFonts w:ascii="Times New Roman" w:hAnsi="Times New Roman" w:cs="Times New Roman"/>
                <w:sz w:val="26"/>
                <w:szCs w:val="26"/>
                <w:lang w:val="lv-LV"/>
              </w:rPr>
              <w:t>i</w:t>
            </w:r>
            <w:r w:rsidR="00281B51">
              <w:rPr>
                <w:rFonts w:ascii="Times New Roman" w:hAnsi="Times New Roman" w:cs="Times New Roman"/>
                <w:sz w:val="26"/>
                <w:szCs w:val="26"/>
                <w:lang w:val="lv-LV"/>
              </w:rPr>
              <w:t xml:space="preserve"> Nr.</w:t>
            </w:r>
            <w:r w:rsidR="00110958">
              <w:rPr>
                <w:rFonts w:ascii="Times New Roman" w:hAnsi="Times New Roman" w:cs="Times New Roman"/>
                <w:sz w:val="26"/>
                <w:szCs w:val="26"/>
                <w:lang w:val="lv-LV"/>
              </w:rPr>
              <w:t> </w:t>
            </w:r>
            <w:r w:rsidR="00281B51">
              <w:rPr>
                <w:rFonts w:ascii="Times New Roman" w:hAnsi="Times New Roman" w:cs="Times New Roman"/>
                <w:sz w:val="26"/>
                <w:szCs w:val="26"/>
                <w:lang w:val="lv-LV"/>
              </w:rPr>
              <w:t>760)</w:t>
            </w:r>
            <w:r w:rsidR="00BE1D88" w:rsidRPr="00664E77">
              <w:rPr>
                <w:rFonts w:ascii="Times New Roman" w:hAnsi="Times New Roman" w:cs="Times New Roman"/>
                <w:sz w:val="26"/>
                <w:szCs w:val="26"/>
                <w:lang w:val="lv-LV"/>
              </w:rPr>
              <w:t>, p</w:t>
            </w:r>
            <w:r w:rsidR="00CF1588" w:rsidRPr="00664E77">
              <w:rPr>
                <w:rFonts w:ascii="Times New Roman" w:hAnsi="Times New Roman" w:cs="Times New Roman"/>
                <w:sz w:val="26"/>
                <w:szCs w:val="26"/>
                <w:lang w:val="lv-LV"/>
              </w:rPr>
              <w:t xml:space="preserve">agarinot periodu, par kuru </w:t>
            </w:r>
            <w:r w:rsidR="00281B51">
              <w:rPr>
                <w:rFonts w:ascii="Times New Roman" w:hAnsi="Times New Roman" w:cs="Times New Roman"/>
                <w:sz w:val="26"/>
                <w:szCs w:val="26"/>
                <w:lang w:val="lv-LV"/>
              </w:rPr>
              <w:t>Valsts ieņēmumu dienest</w:t>
            </w:r>
            <w:r w:rsidR="002A6C47">
              <w:rPr>
                <w:rFonts w:ascii="Times New Roman" w:hAnsi="Times New Roman" w:cs="Times New Roman"/>
                <w:sz w:val="26"/>
                <w:szCs w:val="26"/>
                <w:lang w:val="lv-LV"/>
              </w:rPr>
              <w:t>s</w:t>
            </w:r>
            <w:r w:rsidR="00281B51">
              <w:rPr>
                <w:rFonts w:ascii="Times New Roman" w:hAnsi="Times New Roman" w:cs="Times New Roman"/>
                <w:sz w:val="26"/>
                <w:szCs w:val="26"/>
                <w:lang w:val="lv-LV"/>
              </w:rPr>
              <w:t xml:space="preserve"> (turpmāk – </w:t>
            </w:r>
            <w:r w:rsidR="00BE1D88" w:rsidRPr="00664E77">
              <w:rPr>
                <w:rFonts w:ascii="Times New Roman" w:hAnsi="Times New Roman" w:cs="Times New Roman"/>
                <w:sz w:val="26"/>
                <w:szCs w:val="26"/>
                <w:lang w:val="lv-LV"/>
              </w:rPr>
              <w:t>VID</w:t>
            </w:r>
            <w:r w:rsidR="00281B51">
              <w:rPr>
                <w:rFonts w:ascii="Times New Roman" w:hAnsi="Times New Roman" w:cs="Times New Roman"/>
                <w:sz w:val="26"/>
                <w:szCs w:val="26"/>
                <w:lang w:val="lv-LV"/>
              </w:rPr>
              <w:t>)</w:t>
            </w:r>
            <w:r w:rsidR="00CF1588" w:rsidRPr="00664E77">
              <w:rPr>
                <w:rFonts w:ascii="Times New Roman" w:hAnsi="Times New Roman" w:cs="Times New Roman"/>
                <w:sz w:val="26"/>
                <w:szCs w:val="26"/>
                <w:lang w:val="lv-LV"/>
              </w:rPr>
              <w:t xml:space="preserve"> sniedz informāciju</w:t>
            </w:r>
            <w:r w:rsidR="00110958">
              <w:rPr>
                <w:rFonts w:ascii="Times New Roman" w:hAnsi="Times New Roman" w:cs="Times New Roman"/>
                <w:sz w:val="26"/>
                <w:szCs w:val="26"/>
                <w:lang w:val="lv-LV"/>
              </w:rPr>
              <w:t>,</w:t>
            </w:r>
            <w:r w:rsidR="00CF1588" w:rsidRPr="00664E77">
              <w:rPr>
                <w:rFonts w:ascii="Times New Roman" w:hAnsi="Times New Roman" w:cs="Times New Roman"/>
                <w:sz w:val="26"/>
                <w:szCs w:val="26"/>
                <w:lang w:val="lv-LV"/>
              </w:rPr>
              <w:t xml:space="preserve"> no viena iepriekšējā taksācijas gada uz diviem iepriekšējiem taksācijas gadiem</w:t>
            </w:r>
            <w:r w:rsidR="00BE1D88" w:rsidRPr="00664E77">
              <w:rPr>
                <w:rFonts w:ascii="Times New Roman" w:hAnsi="Times New Roman" w:cs="Times New Roman"/>
                <w:sz w:val="26"/>
                <w:szCs w:val="26"/>
                <w:lang w:val="lv-LV"/>
              </w:rPr>
              <w:t>.</w:t>
            </w:r>
            <w:r w:rsidR="00CF1588" w:rsidRPr="00664E77">
              <w:rPr>
                <w:rFonts w:ascii="Times New Roman" w:hAnsi="Times New Roman" w:cs="Times New Roman"/>
                <w:sz w:val="26"/>
                <w:szCs w:val="26"/>
                <w:lang w:val="lv-LV"/>
              </w:rPr>
              <w:t xml:space="preserve"> </w:t>
            </w:r>
            <w:r w:rsidR="00BE1D88" w:rsidRPr="00664E77">
              <w:rPr>
                <w:rFonts w:ascii="Times New Roman" w:hAnsi="Times New Roman" w:cs="Times New Roman"/>
                <w:sz w:val="26"/>
                <w:szCs w:val="26"/>
                <w:lang w:val="lv-LV"/>
              </w:rPr>
              <w:t xml:space="preserve">Šis informācijas apjoms </w:t>
            </w:r>
            <w:r w:rsidR="00CF1588" w:rsidRPr="00664E77">
              <w:rPr>
                <w:rFonts w:ascii="Times New Roman" w:hAnsi="Times New Roman" w:cs="Times New Roman"/>
                <w:sz w:val="26"/>
                <w:szCs w:val="26"/>
                <w:lang w:val="lv-LV"/>
              </w:rPr>
              <w:t xml:space="preserve">ļaus objektīvāk novērtēt saimnieciskās darbības veicēju ienākumus. Kārtējā gada pirmajos </w:t>
            </w:r>
            <w:r w:rsidR="00F04CDA">
              <w:rPr>
                <w:rFonts w:ascii="Times New Roman" w:hAnsi="Times New Roman" w:cs="Times New Roman"/>
                <w:sz w:val="26"/>
                <w:szCs w:val="26"/>
                <w:lang w:val="lv-LV"/>
              </w:rPr>
              <w:t>trīs</w:t>
            </w:r>
            <w:r w:rsidR="00CF1588" w:rsidRPr="00664E77">
              <w:rPr>
                <w:rFonts w:ascii="Times New Roman" w:hAnsi="Times New Roman" w:cs="Times New Roman"/>
                <w:sz w:val="26"/>
                <w:szCs w:val="26"/>
                <w:lang w:val="lv-LV"/>
              </w:rPr>
              <w:t xml:space="preserve"> mēnešos </w:t>
            </w:r>
            <w:r w:rsidR="00BE1D88" w:rsidRPr="00664E77">
              <w:rPr>
                <w:rFonts w:ascii="Times New Roman" w:hAnsi="Times New Roman" w:cs="Times New Roman"/>
                <w:sz w:val="26"/>
                <w:szCs w:val="26"/>
                <w:lang w:val="lv-LV"/>
              </w:rPr>
              <w:t xml:space="preserve">VID </w:t>
            </w:r>
            <w:r w:rsidR="00CF1588" w:rsidRPr="00664E77">
              <w:rPr>
                <w:rFonts w:ascii="Times New Roman" w:hAnsi="Times New Roman" w:cs="Times New Roman"/>
                <w:sz w:val="26"/>
                <w:szCs w:val="26"/>
                <w:lang w:val="lv-LV"/>
              </w:rPr>
              <w:t xml:space="preserve">nav ziņu par saimnieciskās darbības veicēju ienākumiem, </w:t>
            </w:r>
            <w:r w:rsidR="00F04CDA">
              <w:rPr>
                <w:rFonts w:ascii="Times New Roman" w:hAnsi="Times New Roman" w:cs="Times New Roman"/>
                <w:sz w:val="26"/>
                <w:szCs w:val="26"/>
                <w:lang w:val="lv-LV"/>
              </w:rPr>
              <w:t>kuri izvēlējušies maksāt mikrouzņēmumu nodokli, jo tiem ziņas par ienākumiem jāsniedz līdz ceturksnim sekojošā mēneša 15.</w:t>
            </w:r>
            <w:r w:rsidR="00110958">
              <w:rPr>
                <w:rFonts w:ascii="Times New Roman" w:hAnsi="Times New Roman" w:cs="Times New Roman"/>
                <w:sz w:val="26"/>
                <w:szCs w:val="26"/>
                <w:lang w:val="lv-LV"/>
              </w:rPr>
              <w:t> </w:t>
            </w:r>
            <w:r w:rsidR="00F04CDA">
              <w:rPr>
                <w:rFonts w:ascii="Times New Roman" w:hAnsi="Times New Roman" w:cs="Times New Roman"/>
                <w:sz w:val="26"/>
                <w:szCs w:val="26"/>
                <w:lang w:val="lv-LV"/>
              </w:rPr>
              <w:t>datumam</w:t>
            </w:r>
            <w:r w:rsidR="00F04CDA" w:rsidRPr="000875E9">
              <w:rPr>
                <w:rFonts w:ascii="Times New Roman" w:hAnsi="Times New Roman" w:cs="Times New Roman"/>
                <w:sz w:val="26"/>
                <w:szCs w:val="26"/>
                <w:lang w:val="lv-LV"/>
              </w:rPr>
              <w:t xml:space="preserve">. </w:t>
            </w:r>
            <w:r w:rsidR="000875E9" w:rsidRPr="000875E9">
              <w:rPr>
                <w:rFonts w:ascii="Times New Roman" w:hAnsi="Times New Roman" w:cs="Times New Roman"/>
                <w:sz w:val="26"/>
                <w:szCs w:val="26"/>
                <w:lang w:val="lv-LV"/>
              </w:rPr>
              <w:t xml:space="preserve">Savukārt par tiem saimnieciskās darbības veicējiem, </w:t>
            </w:r>
            <w:r w:rsidR="000875E9" w:rsidRPr="00B83110">
              <w:rPr>
                <w:rFonts w:ascii="Times New Roman" w:hAnsi="Times New Roman" w:cs="Times New Roman"/>
                <w:sz w:val="26"/>
                <w:szCs w:val="26"/>
                <w:lang w:val="lv-LV"/>
              </w:rPr>
              <w:t>kuri nodokļus maksā vispārējā kārtībā</w:t>
            </w:r>
            <w:r w:rsidR="00110958">
              <w:rPr>
                <w:rFonts w:ascii="Times New Roman" w:hAnsi="Times New Roman" w:cs="Times New Roman"/>
                <w:sz w:val="26"/>
                <w:szCs w:val="26"/>
                <w:lang w:val="lv-LV"/>
              </w:rPr>
              <w:t>,</w:t>
            </w:r>
            <w:r w:rsidR="000875E9" w:rsidRPr="00B83110">
              <w:rPr>
                <w:rFonts w:ascii="Times New Roman" w:hAnsi="Times New Roman" w:cs="Times New Roman"/>
                <w:sz w:val="26"/>
                <w:szCs w:val="26"/>
                <w:lang w:val="lv-LV"/>
              </w:rPr>
              <w:t xml:space="preserve"> VID saņem ziņas </w:t>
            </w:r>
            <w:r w:rsidR="000875E9" w:rsidRPr="00B83110">
              <w:rPr>
                <w:rFonts w:ascii="Times New Roman" w:hAnsi="Times New Roman" w:cs="Times New Roman"/>
                <w:color w:val="000000"/>
                <w:sz w:val="26"/>
                <w:szCs w:val="26"/>
                <w:lang w:val="lv-LV"/>
              </w:rPr>
              <w:t>atbilstoši likuma “Par iedzīvotāju ienākuma nodokli” 19.</w:t>
            </w:r>
            <w:r w:rsidR="00110958">
              <w:rPr>
                <w:rFonts w:ascii="Times New Roman" w:hAnsi="Times New Roman" w:cs="Times New Roman"/>
                <w:color w:val="000000"/>
                <w:sz w:val="26"/>
                <w:szCs w:val="26"/>
                <w:lang w:val="lv-LV"/>
              </w:rPr>
              <w:t> </w:t>
            </w:r>
            <w:r w:rsidR="000875E9" w:rsidRPr="00B83110">
              <w:rPr>
                <w:rFonts w:ascii="Times New Roman" w:hAnsi="Times New Roman" w:cs="Times New Roman"/>
                <w:color w:val="000000"/>
                <w:sz w:val="26"/>
                <w:szCs w:val="26"/>
                <w:lang w:val="lv-LV"/>
              </w:rPr>
              <w:t>panta piektajā daļā noteiktajam, t.i.</w:t>
            </w:r>
            <w:r w:rsidR="00110958">
              <w:rPr>
                <w:rFonts w:ascii="Times New Roman" w:hAnsi="Times New Roman" w:cs="Times New Roman"/>
                <w:color w:val="000000"/>
                <w:sz w:val="26"/>
                <w:szCs w:val="26"/>
                <w:lang w:val="lv-LV"/>
              </w:rPr>
              <w:t>,</w:t>
            </w:r>
            <w:r w:rsidR="000875E9" w:rsidRPr="00B83110">
              <w:rPr>
                <w:rFonts w:ascii="Times New Roman" w:hAnsi="Times New Roman" w:cs="Times New Roman"/>
                <w:color w:val="000000"/>
                <w:sz w:val="26"/>
                <w:szCs w:val="26"/>
                <w:lang w:val="lv-LV"/>
              </w:rPr>
              <w:t xml:space="preserve"> taksācijas gadam sekojošajā gadā no 1.</w:t>
            </w:r>
            <w:r w:rsidR="00110958">
              <w:rPr>
                <w:rFonts w:ascii="Times New Roman" w:hAnsi="Times New Roman" w:cs="Times New Roman"/>
                <w:color w:val="000000"/>
                <w:sz w:val="26"/>
                <w:szCs w:val="26"/>
                <w:lang w:val="lv-LV"/>
              </w:rPr>
              <w:t> </w:t>
            </w:r>
            <w:r w:rsidR="000875E9" w:rsidRPr="00B83110">
              <w:rPr>
                <w:rFonts w:ascii="Times New Roman" w:hAnsi="Times New Roman" w:cs="Times New Roman"/>
                <w:color w:val="000000"/>
                <w:sz w:val="26"/>
                <w:szCs w:val="26"/>
                <w:lang w:val="lv-LV"/>
              </w:rPr>
              <w:t>marta līdz 1.</w:t>
            </w:r>
            <w:r w:rsidR="00110958">
              <w:rPr>
                <w:rFonts w:ascii="Times New Roman" w:hAnsi="Times New Roman" w:cs="Times New Roman"/>
                <w:color w:val="000000"/>
                <w:sz w:val="26"/>
                <w:szCs w:val="26"/>
                <w:lang w:val="lv-LV"/>
              </w:rPr>
              <w:t> </w:t>
            </w:r>
            <w:r w:rsidR="000875E9" w:rsidRPr="00B83110">
              <w:rPr>
                <w:rFonts w:ascii="Times New Roman" w:hAnsi="Times New Roman" w:cs="Times New Roman"/>
                <w:color w:val="000000"/>
                <w:sz w:val="26"/>
                <w:szCs w:val="26"/>
                <w:lang w:val="lv-LV"/>
              </w:rPr>
              <w:t xml:space="preserve">jūnijam, bet, ja taksācijas gada ienākumi pārsniedz saskaņā ar likumu </w:t>
            </w:r>
            <w:r w:rsidR="00110958">
              <w:rPr>
                <w:rFonts w:ascii="Times New Roman" w:hAnsi="Times New Roman" w:cs="Times New Roman"/>
                <w:color w:val="000000"/>
                <w:sz w:val="26"/>
                <w:szCs w:val="26"/>
                <w:lang w:val="lv-LV"/>
              </w:rPr>
              <w:t>“</w:t>
            </w:r>
            <w:hyperlink r:id="rId11" w:tgtFrame="_blank" w:history="1">
              <w:r w:rsidR="000875E9" w:rsidRPr="00B83110">
                <w:rPr>
                  <w:rStyle w:val="Hyperlink"/>
                  <w:rFonts w:ascii="Times New Roman" w:hAnsi="Times New Roman" w:cs="Times New Roman"/>
                  <w:color w:val="000000"/>
                  <w:sz w:val="26"/>
                  <w:szCs w:val="26"/>
                  <w:lang w:val="lv-LV"/>
                </w:rPr>
                <w:t>Par valsts sociālo apdrošināšanu</w:t>
              </w:r>
            </w:hyperlink>
            <w:r w:rsidR="00110958">
              <w:rPr>
                <w:rFonts w:ascii="Times New Roman" w:hAnsi="Times New Roman" w:cs="Times New Roman"/>
                <w:color w:val="000000"/>
                <w:sz w:val="26"/>
                <w:szCs w:val="26"/>
                <w:lang w:val="lv-LV"/>
              </w:rPr>
              <w:t>”</w:t>
            </w:r>
            <w:r w:rsidR="000875E9" w:rsidRPr="00B83110">
              <w:rPr>
                <w:rFonts w:ascii="Times New Roman" w:hAnsi="Times New Roman" w:cs="Times New Roman"/>
                <w:color w:val="000000"/>
                <w:sz w:val="26"/>
                <w:szCs w:val="26"/>
                <w:lang w:val="lv-LV"/>
              </w:rPr>
              <w:t xml:space="preserve"> noteikto obligāto iemaksu objekta maksimālo apmēru, </w:t>
            </w:r>
            <w:r w:rsidR="00110958">
              <w:rPr>
                <w:rFonts w:ascii="Times New Roman" w:hAnsi="Times New Roman" w:cs="Times New Roman"/>
                <w:color w:val="000000"/>
                <w:sz w:val="26"/>
                <w:szCs w:val="26"/>
                <w:lang w:val="lv-LV"/>
              </w:rPr>
              <w:t>–</w:t>
            </w:r>
            <w:r w:rsidR="000875E9" w:rsidRPr="00B83110">
              <w:rPr>
                <w:rFonts w:ascii="Times New Roman" w:hAnsi="Times New Roman" w:cs="Times New Roman"/>
                <w:color w:val="000000"/>
                <w:sz w:val="26"/>
                <w:szCs w:val="26"/>
                <w:lang w:val="lv-LV"/>
              </w:rPr>
              <w:t xml:space="preserve"> no </w:t>
            </w:r>
            <w:hyperlink r:id="rId12" w:anchor="n1" w:tgtFrame="_blank" w:history="1">
              <w:r w:rsidR="000875E9" w:rsidRPr="000B077B">
                <w:rPr>
                  <w:rStyle w:val="Hyperlink"/>
                  <w:rFonts w:ascii="Times New Roman" w:hAnsi="Times New Roman" w:cs="Times New Roman"/>
                  <w:color w:val="000000"/>
                  <w:sz w:val="26"/>
                  <w:szCs w:val="26"/>
                  <w:lang w:val="lv-LV"/>
                </w:rPr>
                <w:t>1.</w:t>
              </w:r>
            </w:hyperlink>
            <w:r w:rsidR="00110958">
              <w:rPr>
                <w:rStyle w:val="Hyperlink"/>
                <w:rFonts w:ascii="Times New Roman" w:hAnsi="Times New Roman" w:cs="Times New Roman"/>
                <w:color w:val="000000"/>
                <w:sz w:val="26"/>
                <w:szCs w:val="26"/>
                <w:lang w:val="lv-LV"/>
              </w:rPr>
              <w:t> </w:t>
            </w:r>
            <w:r w:rsidR="000875E9" w:rsidRPr="00290653">
              <w:rPr>
                <w:rFonts w:ascii="Times New Roman" w:hAnsi="Times New Roman" w:cs="Times New Roman"/>
                <w:color w:val="000000"/>
                <w:sz w:val="26"/>
                <w:szCs w:val="26"/>
                <w:lang w:val="lv-LV"/>
              </w:rPr>
              <w:t xml:space="preserve">aprīļa līdz </w:t>
            </w:r>
            <w:hyperlink r:id="rId13" w:anchor="n1" w:tgtFrame="_blank" w:history="1">
              <w:r w:rsidR="000875E9" w:rsidRPr="00290653">
                <w:rPr>
                  <w:rStyle w:val="Hyperlink"/>
                  <w:rFonts w:ascii="Times New Roman" w:hAnsi="Times New Roman" w:cs="Times New Roman"/>
                  <w:color w:val="000000"/>
                  <w:sz w:val="26"/>
                  <w:szCs w:val="26"/>
                  <w:lang w:val="lv-LV"/>
                </w:rPr>
                <w:t>1.</w:t>
              </w:r>
            </w:hyperlink>
            <w:r w:rsidR="00110958">
              <w:rPr>
                <w:rStyle w:val="Hyperlink"/>
                <w:rFonts w:ascii="Times New Roman" w:hAnsi="Times New Roman" w:cs="Times New Roman"/>
                <w:color w:val="000000"/>
                <w:sz w:val="26"/>
                <w:szCs w:val="26"/>
                <w:lang w:val="lv-LV"/>
              </w:rPr>
              <w:t> </w:t>
            </w:r>
            <w:r w:rsidR="000875E9" w:rsidRPr="00290653">
              <w:rPr>
                <w:rStyle w:val="Hyperlink"/>
                <w:rFonts w:ascii="Times New Roman" w:hAnsi="Times New Roman" w:cs="Times New Roman"/>
                <w:color w:val="000000"/>
                <w:sz w:val="26"/>
                <w:szCs w:val="26"/>
                <w:lang w:val="lv-LV"/>
              </w:rPr>
              <w:t>j</w:t>
            </w:r>
            <w:r w:rsidR="000875E9" w:rsidRPr="00290653">
              <w:rPr>
                <w:rFonts w:ascii="Times New Roman" w:hAnsi="Times New Roman" w:cs="Times New Roman"/>
                <w:color w:val="000000"/>
                <w:sz w:val="26"/>
                <w:szCs w:val="26"/>
                <w:lang w:val="lv-LV"/>
              </w:rPr>
              <w:t>ūlijam.</w:t>
            </w:r>
            <w:r w:rsidR="000875E9" w:rsidRPr="000875E9" w:rsidDel="000875E9">
              <w:rPr>
                <w:rFonts w:ascii="Times New Roman" w:hAnsi="Times New Roman" w:cs="Times New Roman"/>
                <w:sz w:val="26"/>
                <w:szCs w:val="26"/>
                <w:lang w:val="lv-LV"/>
              </w:rPr>
              <w:t xml:space="preserve"> </w:t>
            </w:r>
            <w:r w:rsidR="00CF1588" w:rsidRPr="00664E77">
              <w:rPr>
                <w:rFonts w:ascii="Times New Roman" w:hAnsi="Times New Roman" w:cs="Times New Roman"/>
                <w:sz w:val="26"/>
                <w:szCs w:val="26"/>
                <w:lang w:val="lv-LV"/>
              </w:rPr>
              <w:t xml:space="preserve">Ziņas par citu kredītņēmēju ienākumiem </w:t>
            </w:r>
            <w:r w:rsidR="00CF1588" w:rsidRPr="00664E77">
              <w:rPr>
                <w:rFonts w:ascii="Times New Roman" w:hAnsi="Times New Roman" w:cs="Times New Roman"/>
                <w:sz w:val="26"/>
                <w:szCs w:val="26"/>
                <w:lang w:val="lv-LV"/>
              </w:rPr>
              <w:lastRenderedPageBreak/>
              <w:t>iepriekšējos divos taksācijas gados ļaus kredīta devējiem objektīvāk novērtēt kredītņēmēju ienākumu stabilitāti un regularitāti.</w:t>
            </w:r>
            <w:r>
              <w:rPr>
                <w:rFonts w:ascii="Times New Roman" w:hAnsi="Times New Roman" w:cs="Times New Roman"/>
                <w:sz w:val="26"/>
                <w:szCs w:val="26"/>
                <w:lang w:val="lv-LV"/>
              </w:rPr>
              <w:t xml:space="preserve"> VID sniegs tā rīcībā esošo informāciju pieprasījuma brīdī. Savukārt</w:t>
            </w:r>
            <w:r w:rsidR="00060C81">
              <w:rPr>
                <w:rFonts w:ascii="Times New Roman" w:hAnsi="Times New Roman" w:cs="Times New Roman"/>
                <w:sz w:val="26"/>
                <w:szCs w:val="26"/>
                <w:lang w:val="lv-LV"/>
              </w:rPr>
              <w:t>,</w:t>
            </w:r>
            <w:r>
              <w:rPr>
                <w:rFonts w:ascii="Times New Roman" w:hAnsi="Times New Roman" w:cs="Times New Roman"/>
                <w:sz w:val="26"/>
                <w:szCs w:val="26"/>
                <w:lang w:val="lv-LV"/>
              </w:rPr>
              <w:t xml:space="preserve"> j</w:t>
            </w:r>
            <w:r w:rsidR="00060C81">
              <w:rPr>
                <w:rFonts w:ascii="Times New Roman" w:hAnsi="Times New Roman" w:cs="Times New Roman"/>
                <w:sz w:val="26"/>
                <w:szCs w:val="26"/>
                <w:lang w:val="lv-LV"/>
              </w:rPr>
              <w:t>a</w:t>
            </w:r>
            <w:r>
              <w:rPr>
                <w:rFonts w:ascii="Times New Roman" w:hAnsi="Times New Roman" w:cs="Times New Roman"/>
                <w:sz w:val="26"/>
                <w:szCs w:val="26"/>
                <w:lang w:val="lv-LV"/>
              </w:rPr>
              <w:t xml:space="preserve"> tā rīcībā nebūs informācijas par kādu no pieprasītajiem periodiem, tad šīs ailes tiks atstātas neaizpildītas.</w:t>
            </w:r>
          </w:p>
          <w:p w14:paraId="5CAFD97E" w14:textId="77777777" w:rsidR="007A2691" w:rsidRPr="00664E77" w:rsidRDefault="00CF1588">
            <w:pPr>
              <w:pStyle w:val="NoSpacing"/>
              <w:jc w:val="both"/>
              <w:rPr>
                <w:rFonts w:ascii="Times New Roman" w:hAnsi="Times New Roman" w:cs="Times New Roman"/>
                <w:sz w:val="26"/>
                <w:szCs w:val="26"/>
                <w:lang w:val="lv-LV"/>
              </w:rPr>
            </w:pPr>
            <w:r w:rsidRPr="00664E77">
              <w:rPr>
                <w:rFonts w:ascii="Times New Roman" w:hAnsi="Times New Roman" w:cs="Times New Roman"/>
                <w:sz w:val="26"/>
                <w:szCs w:val="26"/>
                <w:lang w:val="lv-LV"/>
              </w:rPr>
              <w:t>Informācij</w:t>
            </w:r>
            <w:r w:rsidR="00393C50" w:rsidRPr="00664E77">
              <w:rPr>
                <w:rFonts w:ascii="Times New Roman" w:hAnsi="Times New Roman" w:cs="Times New Roman"/>
                <w:sz w:val="26"/>
                <w:szCs w:val="26"/>
                <w:lang w:val="lv-LV"/>
              </w:rPr>
              <w:t>a</w:t>
            </w:r>
            <w:r w:rsidRPr="00664E77">
              <w:rPr>
                <w:rFonts w:ascii="Times New Roman" w:hAnsi="Times New Roman" w:cs="Times New Roman"/>
                <w:sz w:val="26"/>
                <w:szCs w:val="26"/>
                <w:lang w:val="lv-LV"/>
              </w:rPr>
              <w:t xml:space="preserve"> par </w:t>
            </w:r>
            <w:r w:rsidR="00393C50" w:rsidRPr="00664E77">
              <w:rPr>
                <w:rFonts w:ascii="Times New Roman" w:hAnsi="Times New Roman" w:cs="Times New Roman"/>
                <w:sz w:val="26"/>
                <w:szCs w:val="26"/>
                <w:lang w:val="lv-LV"/>
              </w:rPr>
              <w:t>ienākumu izmaksātājiem</w:t>
            </w:r>
            <w:r w:rsidR="00393C50" w:rsidRPr="0014306F">
              <w:rPr>
                <w:rFonts w:ascii="Times New Roman" w:hAnsi="Times New Roman" w:cs="Times New Roman"/>
                <w:sz w:val="26"/>
                <w:szCs w:val="26"/>
                <w:lang w:val="lv-LV"/>
              </w:rPr>
              <w:t xml:space="preserve"> </w:t>
            </w:r>
            <w:r w:rsidRPr="00664E77">
              <w:rPr>
                <w:rFonts w:ascii="Times New Roman" w:hAnsi="Times New Roman" w:cs="Times New Roman"/>
                <w:sz w:val="26"/>
                <w:szCs w:val="26"/>
                <w:lang w:val="lv-LV"/>
              </w:rPr>
              <w:t>ļau</w:t>
            </w:r>
            <w:r w:rsidR="00393C50" w:rsidRPr="00664E77">
              <w:rPr>
                <w:rFonts w:ascii="Times New Roman" w:hAnsi="Times New Roman" w:cs="Times New Roman"/>
                <w:sz w:val="26"/>
                <w:szCs w:val="26"/>
                <w:lang w:val="lv-LV"/>
              </w:rPr>
              <w:t>s</w:t>
            </w:r>
            <w:r w:rsidRPr="00664E77">
              <w:rPr>
                <w:rFonts w:ascii="Times New Roman" w:hAnsi="Times New Roman" w:cs="Times New Roman"/>
                <w:sz w:val="26"/>
                <w:szCs w:val="26"/>
                <w:lang w:val="lv-LV"/>
              </w:rPr>
              <w:t xml:space="preserve"> kvalitatīvāk un vispusīgāk izvērtēt kredītriskus, kas saistīti ar patērētāja (kredītņēmēja) darbavietu, darba devēja nozares risku, kā arī paredzamām izmaiņām ekonomikā un konkrētajā nozarē, kuras ienākumu gūšanas kontekstā var ietekmēt</w:t>
            </w:r>
            <w:r w:rsidR="00857777">
              <w:rPr>
                <w:rFonts w:ascii="Times New Roman" w:hAnsi="Times New Roman" w:cs="Times New Roman"/>
                <w:sz w:val="26"/>
                <w:szCs w:val="26"/>
                <w:lang w:val="lv-LV"/>
              </w:rPr>
              <w:t xml:space="preserve"> </w:t>
            </w:r>
            <w:r w:rsidRPr="00664E77">
              <w:rPr>
                <w:rFonts w:ascii="Times New Roman" w:hAnsi="Times New Roman" w:cs="Times New Roman"/>
                <w:sz w:val="26"/>
                <w:szCs w:val="26"/>
                <w:lang w:val="lv-LV"/>
              </w:rPr>
              <w:t>patērētāja (kredītņēmēja) spēju atmaksāt kredītu.</w:t>
            </w:r>
          </w:p>
          <w:p w14:paraId="6137AC7C" w14:textId="7B4569D5" w:rsidR="00F668CF" w:rsidRPr="00664E77" w:rsidRDefault="004D63FC">
            <w:pPr>
              <w:pStyle w:val="NoSpacing"/>
              <w:jc w:val="both"/>
              <w:rPr>
                <w:rFonts w:ascii="Times New Roman" w:hAnsi="Times New Roman" w:cs="Times New Roman"/>
                <w:sz w:val="26"/>
                <w:szCs w:val="26"/>
                <w:lang w:val="lv-LV"/>
              </w:rPr>
            </w:pPr>
            <w:r w:rsidRPr="00664E77">
              <w:rPr>
                <w:rFonts w:ascii="Times New Roman" w:hAnsi="Times New Roman" w:cs="Times New Roman"/>
                <w:sz w:val="26"/>
                <w:szCs w:val="26"/>
                <w:lang w:val="lv-LV"/>
              </w:rPr>
              <w:t>VID prakse liecina, ka kredītinformācijas biroji pakalpojuma maksu maksā pa daļām,</w:t>
            </w:r>
            <w:r w:rsidR="00857777">
              <w:rPr>
                <w:rFonts w:ascii="Times New Roman" w:hAnsi="Times New Roman" w:cs="Times New Roman"/>
                <w:sz w:val="26"/>
                <w:szCs w:val="26"/>
                <w:lang w:val="lv-LV"/>
              </w:rPr>
              <w:t xml:space="preserve"> iesniedzot lūgumu sadalīt pakalpojum</w:t>
            </w:r>
            <w:r w:rsidR="001C3725">
              <w:rPr>
                <w:rFonts w:ascii="Times New Roman" w:hAnsi="Times New Roman" w:cs="Times New Roman"/>
                <w:sz w:val="26"/>
                <w:szCs w:val="26"/>
                <w:lang w:val="lv-LV"/>
              </w:rPr>
              <w:t>a</w:t>
            </w:r>
            <w:r w:rsidR="00857777">
              <w:rPr>
                <w:rFonts w:ascii="Times New Roman" w:hAnsi="Times New Roman" w:cs="Times New Roman"/>
                <w:sz w:val="26"/>
                <w:szCs w:val="26"/>
                <w:lang w:val="lv-LV"/>
              </w:rPr>
              <w:t xml:space="preserve"> maksu četr</w:t>
            </w:r>
            <w:r w:rsidR="001C3725">
              <w:rPr>
                <w:rFonts w:ascii="Times New Roman" w:hAnsi="Times New Roman" w:cs="Times New Roman"/>
                <w:sz w:val="26"/>
                <w:szCs w:val="26"/>
                <w:lang w:val="lv-LV"/>
              </w:rPr>
              <w:t>ās</w:t>
            </w:r>
            <w:r w:rsidR="00857777">
              <w:rPr>
                <w:rFonts w:ascii="Times New Roman" w:hAnsi="Times New Roman" w:cs="Times New Roman"/>
                <w:sz w:val="26"/>
                <w:szCs w:val="26"/>
                <w:lang w:val="lv-LV"/>
              </w:rPr>
              <w:t xml:space="preserve"> </w:t>
            </w:r>
            <w:r w:rsidR="001C3725">
              <w:rPr>
                <w:rFonts w:ascii="Times New Roman" w:hAnsi="Times New Roman" w:cs="Times New Roman"/>
                <w:sz w:val="26"/>
                <w:szCs w:val="26"/>
                <w:lang w:val="lv-LV"/>
              </w:rPr>
              <w:t>vienādās daļās</w:t>
            </w:r>
            <w:r w:rsidR="00857777">
              <w:rPr>
                <w:rFonts w:ascii="Times New Roman" w:hAnsi="Times New Roman" w:cs="Times New Roman"/>
                <w:sz w:val="26"/>
                <w:szCs w:val="26"/>
                <w:lang w:val="lv-LV"/>
              </w:rPr>
              <w:t>,</w:t>
            </w:r>
            <w:r w:rsidRPr="00664E77">
              <w:rPr>
                <w:rFonts w:ascii="Times New Roman" w:hAnsi="Times New Roman" w:cs="Times New Roman"/>
                <w:sz w:val="26"/>
                <w:szCs w:val="26"/>
                <w:lang w:val="lv-LV"/>
              </w:rPr>
              <w:t xml:space="preserve"> tāpēc noteikumu projektā </w:t>
            </w:r>
            <w:r w:rsidR="00A324F3">
              <w:rPr>
                <w:rFonts w:ascii="Times New Roman" w:hAnsi="Times New Roman" w:cs="Times New Roman"/>
                <w:sz w:val="26"/>
                <w:szCs w:val="26"/>
                <w:lang w:val="lv-LV"/>
              </w:rPr>
              <w:t xml:space="preserve">informācijas sniegšanas </w:t>
            </w:r>
            <w:r w:rsidRPr="00664E77">
              <w:rPr>
                <w:rFonts w:ascii="Times New Roman" w:hAnsi="Times New Roman" w:cs="Times New Roman"/>
                <w:sz w:val="26"/>
                <w:szCs w:val="26"/>
                <w:lang w:val="lv-LV"/>
              </w:rPr>
              <w:t>pakalpojum</w:t>
            </w:r>
            <w:r w:rsidR="00A324F3">
              <w:rPr>
                <w:rFonts w:ascii="Times New Roman" w:hAnsi="Times New Roman" w:cs="Times New Roman"/>
                <w:sz w:val="26"/>
                <w:szCs w:val="26"/>
                <w:lang w:val="lv-LV"/>
              </w:rPr>
              <w:t>a</w:t>
            </w:r>
            <w:r w:rsidRPr="00664E77">
              <w:rPr>
                <w:rFonts w:ascii="Times New Roman" w:hAnsi="Times New Roman" w:cs="Times New Roman"/>
                <w:sz w:val="26"/>
                <w:szCs w:val="26"/>
                <w:lang w:val="lv-LV"/>
              </w:rPr>
              <w:t xml:space="preserve"> periods</w:t>
            </w:r>
            <w:r w:rsidR="00A324F3">
              <w:rPr>
                <w:rFonts w:ascii="Times New Roman" w:hAnsi="Times New Roman" w:cs="Times New Roman"/>
                <w:sz w:val="26"/>
                <w:szCs w:val="26"/>
                <w:lang w:val="lv-LV"/>
              </w:rPr>
              <w:t xml:space="preserve"> ir noteikts viens gads, bet</w:t>
            </w:r>
            <w:r w:rsidRPr="00664E77">
              <w:rPr>
                <w:rFonts w:ascii="Times New Roman" w:hAnsi="Times New Roman" w:cs="Times New Roman"/>
                <w:sz w:val="26"/>
                <w:szCs w:val="26"/>
                <w:lang w:val="lv-LV"/>
              </w:rPr>
              <w:t xml:space="preserve"> pieprasījumu skaits</w:t>
            </w:r>
            <w:r w:rsidR="00A324F3">
              <w:rPr>
                <w:rFonts w:ascii="Times New Roman" w:hAnsi="Times New Roman" w:cs="Times New Roman"/>
                <w:sz w:val="26"/>
                <w:szCs w:val="26"/>
                <w:lang w:val="lv-LV"/>
              </w:rPr>
              <w:t xml:space="preserve"> un maksājamā maksa</w:t>
            </w:r>
            <w:r w:rsidR="00F668CF" w:rsidRPr="00664E77">
              <w:rPr>
                <w:rFonts w:ascii="Times New Roman" w:hAnsi="Times New Roman" w:cs="Times New Roman"/>
                <w:sz w:val="26"/>
                <w:szCs w:val="26"/>
                <w:lang w:val="lv-LV"/>
              </w:rPr>
              <w:t xml:space="preserve"> </w:t>
            </w:r>
            <w:r w:rsidRPr="00664E77">
              <w:rPr>
                <w:rFonts w:ascii="Times New Roman" w:hAnsi="Times New Roman" w:cs="Times New Roman"/>
                <w:sz w:val="26"/>
                <w:szCs w:val="26"/>
                <w:lang w:val="lv-LV"/>
              </w:rPr>
              <w:t xml:space="preserve">matemātiski </w:t>
            </w:r>
            <w:r w:rsidR="00F668CF" w:rsidRPr="00664E77">
              <w:rPr>
                <w:rFonts w:ascii="Times New Roman" w:hAnsi="Times New Roman" w:cs="Times New Roman"/>
                <w:sz w:val="26"/>
                <w:szCs w:val="26"/>
                <w:lang w:val="lv-LV"/>
              </w:rPr>
              <w:t>sadalīt</w:t>
            </w:r>
            <w:r w:rsidR="002E2E6E">
              <w:rPr>
                <w:rFonts w:ascii="Times New Roman" w:hAnsi="Times New Roman" w:cs="Times New Roman"/>
                <w:sz w:val="26"/>
                <w:szCs w:val="26"/>
                <w:lang w:val="lv-LV"/>
              </w:rPr>
              <w:t>a</w:t>
            </w:r>
            <w:r w:rsidRPr="00664E77">
              <w:rPr>
                <w:rFonts w:ascii="Times New Roman" w:hAnsi="Times New Roman" w:cs="Times New Roman"/>
                <w:sz w:val="26"/>
                <w:szCs w:val="26"/>
                <w:lang w:val="lv-LV"/>
              </w:rPr>
              <w:t xml:space="preserve"> četrās daļās</w:t>
            </w:r>
            <w:r w:rsidR="000934E8">
              <w:rPr>
                <w:rFonts w:ascii="Times New Roman" w:hAnsi="Times New Roman" w:cs="Times New Roman"/>
                <w:sz w:val="26"/>
                <w:szCs w:val="26"/>
                <w:lang w:val="lv-LV"/>
              </w:rPr>
              <w:t xml:space="preserve">. </w:t>
            </w:r>
            <w:r w:rsidRPr="00664E77">
              <w:rPr>
                <w:rFonts w:ascii="Times New Roman" w:hAnsi="Times New Roman" w:cs="Times New Roman"/>
                <w:sz w:val="26"/>
                <w:szCs w:val="26"/>
                <w:lang w:val="lv-LV"/>
              </w:rPr>
              <w:t>Gadījumā, ja kredītinformā</w:t>
            </w:r>
            <w:r w:rsidR="00F668CF" w:rsidRPr="00664E77">
              <w:rPr>
                <w:rFonts w:ascii="Times New Roman" w:hAnsi="Times New Roman" w:cs="Times New Roman"/>
                <w:sz w:val="26"/>
                <w:szCs w:val="26"/>
                <w:lang w:val="lv-LV"/>
              </w:rPr>
              <w:t xml:space="preserve">cijas birojs samaksā maksu par nākamo pakalpojumu, tā </w:t>
            </w:r>
            <w:r w:rsidR="003473EC" w:rsidRPr="00664E77">
              <w:rPr>
                <w:rFonts w:ascii="Times New Roman" w:hAnsi="Times New Roman" w:cs="Times New Roman"/>
                <w:sz w:val="26"/>
                <w:szCs w:val="26"/>
                <w:lang w:val="lv-LV"/>
              </w:rPr>
              <w:t>sniegšan</w:t>
            </w:r>
            <w:r w:rsidR="003473EC">
              <w:rPr>
                <w:rFonts w:ascii="Times New Roman" w:hAnsi="Times New Roman" w:cs="Times New Roman"/>
                <w:sz w:val="26"/>
                <w:szCs w:val="26"/>
                <w:lang w:val="lv-LV"/>
              </w:rPr>
              <w:t>u paredzēts</w:t>
            </w:r>
            <w:r w:rsidR="003473EC" w:rsidRPr="00664E77">
              <w:rPr>
                <w:rFonts w:ascii="Times New Roman" w:hAnsi="Times New Roman" w:cs="Times New Roman"/>
                <w:sz w:val="26"/>
                <w:szCs w:val="26"/>
                <w:lang w:val="lv-LV"/>
              </w:rPr>
              <w:t xml:space="preserve"> </w:t>
            </w:r>
            <w:r w:rsidR="00F668CF" w:rsidRPr="00664E77">
              <w:rPr>
                <w:rFonts w:ascii="Times New Roman" w:hAnsi="Times New Roman" w:cs="Times New Roman"/>
                <w:sz w:val="26"/>
                <w:szCs w:val="26"/>
                <w:lang w:val="lv-LV"/>
              </w:rPr>
              <w:t>uzsāk</w:t>
            </w:r>
            <w:r w:rsidR="003473EC">
              <w:rPr>
                <w:rFonts w:ascii="Times New Roman" w:hAnsi="Times New Roman" w:cs="Times New Roman"/>
                <w:sz w:val="26"/>
                <w:szCs w:val="26"/>
                <w:lang w:val="lv-LV"/>
              </w:rPr>
              <w:t>t</w:t>
            </w:r>
            <w:r w:rsidR="00F668CF" w:rsidRPr="00664E77">
              <w:rPr>
                <w:rFonts w:ascii="Times New Roman" w:hAnsi="Times New Roman" w:cs="Times New Roman"/>
                <w:sz w:val="26"/>
                <w:szCs w:val="26"/>
                <w:lang w:val="lv-LV"/>
              </w:rPr>
              <w:t xml:space="preserve"> automātiski. Līdzīgi gadījumos, kad kredītinformācijas birojs pagarina tā darbības licenci, automātiski pagarinās arī noslēgtā līguma ar VID darbības termiņš.</w:t>
            </w:r>
          </w:p>
          <w:p w14:paraId="2FE0F899" w14:textId="79500ADF" w:rsidR="00F668CF" w:rsidRPr="00664E77" w:rsidRDefault="001959AB">
            <w:pPr>
              <w:pStyle w:val="NoSpacing"/>
              <w:jc w:val="both"/>
              <w:rPr>
                <w:rFonts w:ascii="Times New Roman" w:hAnsi="Times New Roman" w:cs="Times New Roman"/>
                <w:sz w:val="26"/>
                <w:szCs w:val="26"/>
                <w:lang w:val="lv-LV"/>
              </w:rPr>
            </w:pPr>
            <w:r w:rsidRPr="00032245">
              <w:rPr>
                <w:rFonts w:ascii="Times New Roman" w:hAnsi="Times New Roman" w:cs="Times New Roman"/>
                <w:sz w:val="26"/>
                <w:szCs w:val="26"/>
                <w:lang w:val="lv-LV"/>
              </w:rPr>
              <w:t>Noteikumu</w:t>
            </w:r>
            <w:r w:rsidR="003473EC" w:rsidRPr="00B51314">
              <w:rPr>
                <w:rFonts w:ascii="Times New Roman" w:hAnsi="Times New Roman" w:cs="Times New Roman"/>
                <w:sz w:val="26"/>
                <w:szCs w:val="26"/>
                <w:lang w:val="lv-LV"/>
              </w:rPr>
              <w:t xml:space="preserve"> projekta</w:t>
            </w:r>
            <w:r w:rsidRPr="00032245">
              <w:rPr>
                <w:rFonts w:ascii="Times New Roman" w:hAnsi="Times New Roman" w:cs="Times New Roman"/>
                <w:sz w:val="26"/>
                <w:szCs w:val="26"/>
                <w:lang w:val="lv-LV"/>
              </w:rPr>
              <w:t xml:space="preserve"> izstrādes laikā</w:t>
            </w:r>
            <w:r w:rsidRPr="00664E77">
              <w:rPr>
                <w:rFonts w:ascii="Times New Roman" w:hAnsi="Times New Roman" w:cs="Times New Roman"/>
                <w:sz w:val="26"/>
                <w:szCs w:val="26"/>
                <w:lang w:val="lv-LV"/>
              </w:rPr>
              <w:t xml:space="preserve"> VID un kredītinformācijas biroji panāca vienošanos, ka pēc</w:t>
            </w:r>
            <w:r w:rsidR="000B077B">
              <w:rPr>
                <w:rFonts w:ascii="Times New Roman" w:hAnsi="Times New Roman" w:cs="Times New Roman"/>
                <w:sz w:val="26"/>
                <w:szCs w:val="26"/>
                <w:lang w:val="lv-LV"/>
              </w:rPr>
              <w:t xml:space="preserve"> grozījumu</w:t>
            </w:r>
            <w:r w:rsidRPr="00664E77">
              <w:rPr>
                <w:rFonts w:ascii="Times New Roman" w:hAnsi="Times New Roman" w:cs="Times New Roman"/>
                <w:sz w:val="26"/>
                <w:szCs w:val="26"/>
                <w:lang w:val="lv-LV"/>
              </w:rPr>
              <w:t xml:space="preserve"> </w:t>
            </w:r>
            <w:r w:rsidR="00B83110">
              <w:rPr>
                <w:rFonts w:ascii="Times New Roman" w:hAnsi="Times New Roman" w:cs="Times New Roman"/>
                <w:sz w:val="26"/>
                <w:szCs w:val="26"/>
                <w:lang w:val="lv-LV"/>
              </w:rPr>
              <w:t>Noteikum</w:t>
            </w:r>
            <w:r w:rsidR="000B077B">
              <w:rPr>
                <w:rFonts w:ascii="Times New Roman" w:hAnsi="Times New Roman" w:cs="Times New Roman"/>
                <w:sz w:val="26"/>
                <w:szCs w:val="26"/>
                <w:lang w:val="lv-LV"/>
              </w:rPr>
              <w:t>os Nr.</w:t>
            </w:r>
            <w:r w:rsidR="00936D48">
              <w:rPr>
                <w:rFonts w:ascii="Times New Roman" w:hAnsi="Times New Roman" w:cs="Times New Roman"/>
                <w:sz w:val="26"/>
                <w:szCs w:val="26"/>
                <w:lang w:val="lv-LV"/>
              </w:rPr>
              <w:t> </w:t>
            </w:r>
            <w:r w:rsidR="000B077B">
              <w:rPr>
                <w:rFonts w:ascii="Times New Roman" w:hAnsi="Times New Roman" w:cs="Times New Roman"/>
                <w:sz w:val="26"/>
                <w:szCs w:val="26"/>
                <w:lang w:val="lv-LV"/>
              </w:rPr>
              <w:t>760</w:t>
            </w:r>
            <w:r w:rsidR="00B83110">
              <w:rPr>
                <w:rFonts w:ascii="Times New Roman" w:hAnsi="Times New Roman" w:cs="Times New Roman"/>
                <w:sz w:val="26"/>
                <w:szCs w:val="26"/>
                <w:lang w:val="lv-LV"/>
              </w:rPr>
              <w:t xml:space="preserve"> </w:t>
            </w:r>
            <w:r w:rsidRPr="00664E77">
              <w:rPr>
                <w:rFonts w:ascii="Times New Roman" w:hAnsi="Times New Roman" w:cs="Times New Roman"/>
                <w:sz w:val="26"/>
                <w:szCs w:val="26"/>
                <w:lang w:val="lv-LV"/>
              </w:rPr>
              <w:t>spēkā stāšanās uzsākt</w:t>
            </w:r>
            <w:r w:rsidR="002E2E6E">
              <w:rPr>
                <w:rFonts w:ascii="Times New Roman" w:hAnsi="Times New Roman" w:cs="Times New Roman"/>
                <w:sz w:val="26"/>
                <w:szCs w:val="26"/>
                <w:lang w:val="lv-LV"/>
              </w:rPr>
              <w:t>os</w:t>
            </w:r>
            <w:r w:rsidRPr="00664E77">
              <w:rPr>
                <w:rFonts w:ascii="Times New Roman" w:hAnsi="Times New Roman" w:cs="Times New Roman"/>
                <w:sz w:val="26"/>
                <w:szCs w:val="26"/>
                <w:lang w:val="lv-LV"/>
              </w:rPr>
              <w:t xml:space="preserve"> </w:t>
            </w:r>
            <w:r w:rsidR="00AA7E46">
              <w:rPr>
                <w:rFonts w:ascii="Times New Roman" w:hAnsi="Times New Roman" w:cs="Times New Roman"/>
                <w:sz w:val="26"/>
                <w:szCs w:val="26"/>
                <w:lang w:val="lv-LV"/>
              </w:rPr>
              <w:t xml:space="preserve">informācijas sniegšanas </w:t>
            </w:r>
            <w:r w:rsidRPr="00664E77">
              <w:rPr>
                <w:rFonts w:ascii="Times New Roman" w:hAnsi="Times New Roman" w:cs="Times New Roman"/>
                <w:sz w:val="26"/>
                <w:szCs w:val="26"/>
                <w:lang w:val="lv-LV"/>
              </w:rPr>
              <w:t>pakalpojum</w:t>
            </w:r>
            <w:r w:rsidR="002E2E6E">
              <w:rPr>
                <w:rFonts w:ascii="Times New Roman" w:hAnsi="Times New Roman" w:cs="Times New Roman"/>
                <w:sz w:val="26"/>
                <w:szCs w:val="26"/>
                <w:lang w:val="lv-LV"/>
              </w:rPr>
              <w:t>us</w:t>
            </w:r>
            <w:r w:rsidRPr="00664E77">
              <w:rPr>
                <w:rFonts w:ascii="Times New Roman" w:hAnsi="Times New Roman" w:cs="Times New Roman"/>
                <w:sz w:val="26"/>
                <w:szCs w:val="26"/>
                <w:lang w:val="lv-LV"/>
              </w:rPr>
              <w:t xml:space="preserve"> pabeig</w:t>
            </w:r>
            <w:r w:rsidR="002E2E6E">
              <w:rPr>
                <w:rFonts w:ascii="Times New Roman" w:hAnsi="Times New Roman" w:cs="Times New Roman"/>
                <w:sz w:val="26"/>
                <w:szCs w:val="26"/>
                <w:lang w:val="lv-LV"/>
              </w:rPr>
              <w:t>s</w:t>
            </w:r>
            <w:r w:rsidRPr="00664E77">
              <w:rPr>
                <w:rFonts w:ascii="Times New Roman" w:hAnsi="Times New Roman" w:cs="Times New Roman"/>
                <w:sz w:val="26"/>
                <w:szCs w:val="26"/>
                <w:lang w:val="lv-LV"/>
              </w:rPr>
              <w:t xml:space="preserve"> sniegt </w:t>
            </w:r>
            <w:r w:rsidR="00AA7E46">
              <w:rPr>
                <w:rFonts w:ascii="Times New Roman" w:hAnsi="Times New Roman" w:cs="Times New Roman"/>
                <w:sz w:val="26"/>
                <w:szCs w:val="26"/>
                <w:lang w:val="lv-LV"/>
              </w:rPr>
              <w:t>apmaksātajā apjomā</w:t>
            </w:r>
            <w:r w:rsidRPr="00664E77">
              <w:rPr>
                <w:rFonts w:ascii="Times New Roman" w:hAnsi="Times New Roman" w:cs="Times New Roman"/>
                <w:sz w:val="26"/>
                <w:szCs w:val="26"/>
                <w:lang w:val="lv-LV"/>
              </w:rPr>
              <w:t xml:space="preserve">, sniedzot informāciju </w:t>
            </w:r>
            <w:r w:rsidR="002E2E6E">
              <w:rPr>
                <w:rFonts w:ascii="Times New Roman" w:hAnsi="Times New Roman" w:cs="Times New Roman"/>
                <w:sz w:val="26"/>
                <w:szCs w:val="26"/>
                <w:lang w:val="lv-LV"/>
              </w:rPr>
              <w:t>N</w:t>
            </w:r>
            <w:r w:rsidRPr="00664E77">
              <w:rPr>
                <w:rFonts w:ascii="Times New Roman" w:hAnsi="Times New Roman" w:cs="Times New Roman"/>
                <w:sz w:val="26"/>
                <w:szCs w:val="26"/>
                <w:lang w:val="lv-LV"/>
              </w:rPr>
              <w:t>oteikum</w:t>
            </w:r>
            <w:r w:rsidR="0018002C">
              <w:rPr>
                <w:rFonts w:ascii="Times New Roman" w:hAnsi="Times New Roman" w:cs="Times New Roman"/>
                <w:sz w:val="26"/>
                <w:szCs w:val="26"/>
                <w:lang w:val="lv-LV"/>
              </w:rPr>
              <w:t>u</w:t>
            </w:r>
            <w:r w:rsidR="002E2E6E" w:rsidRPr="00B83110">
              <w:rPr>
                <w:lang w:val="lv-LV"/>
              </w:rPr>
              <w:t xml:space="preserve"> </w:t>
            </w:r>
            <w:r w:rsidR="002E2E6E" w:rsidRPr="002E2E6E">
              <w:rPr>
                <w:rFonts w:ascii="Times New Roman" w:hAnsi="Times New Roman" w:cs="Times New Roman"/>
                <w:sz w:val="26"/>
                <w:szCs w:val="26"/>
                <w:lang w:val="lv-LV"/>
              </w:rPr>
              <w:t>Nr.</w:t>
            </w:r>
            <w:r w:rsidR="00936D48">
              <w:rPr>
                <w:rFonts w:ascii="Times New Roman" w:hAnsi="Times New Roman" w:cs="Times New Roman"/>
                <w:sz w:val="26"/>
                <w:szCs w:val="26"/>
                <w:lang w:val="lv-LV"/>
              </w:rPr>
              <w:t> </w:t>
            </w:r>
            <w:r w:rsidR="002E2E6E" w:rsidRPr="002E2E6E">
              <w:rPr>
                <w:rFonts w:ascii="Times New Roman" w:hAnsi="Times New Roman" w:cs="Times New Roman"/>
                <w:sz w:val="26"/>
                <w:szCs w:val="26"/>
                <w:lang w:val="lv-LV"/>
              </w:rPr>
              <w:t>760</w:t>
            </w:r>
            <w:r w:rsidRPr="00664E77">
              <w:rPr>
                <w:rFonts w:ascii="Times New Roman" w:hAnsi="Times New Roman" w:cs="Times New Roman"/>
                <w:sz w:val="26"/>
                <w:szCs w:val="26"/>
                <w:lang w:val="lv-LV"/>
              </w:rPr>
              <w:t xml:space="preserve"> noteiktajā apmērā.</w:t>
            </w:r>
          </w:p>
          <w:p w14:paraId="64ADE078" w14:textId="1EEBE047" w:rsidR="00393C50" w:rsidRPr="00664E77" w:rsidRDefault="00F668CF" w:rsidP="00936D48">
            <w:pPr>
              <w:pStyle w:val="NoSpacing"/>
              <w:jc w:val="both"/>
              <w:rPr>
                <w:rFonts w:ascii="Times New Roman" w:hAnsi="Times New Roman" w:cs="Times New Roman"/>
                <w:sz w:val="26"/>
                <w:szCs w:val="26"/>
                <w:lang w:val="lv-LV"/>
              </w:rPr>
            </w:pPr>
            <w:r w:rsidRPr="00664E77">
              <w:rPr>
                <w:rFonts w:ascii="Times New Roman" w:hAnsi="Times New Roman" w:cs="Times New Roman"/>
                <w:sz w:val="26"/>
                <w:szCs w:val="26"/>
                <w:lang w:val="lv-LV"/>
              </w:rPr>
              <w:t>Noteikumu projekts paredz palielināt VID kredītinformācijas birojiem sniedzamās informācijas apmēru, tāpēc nepieciešams pielāgot arī informācijas sistēmas</w:t>
            </w:r>
            <w:r w:rsidR="00706D86" w:rsidRPr="00664E77">
              <w:rPr>
                <w:rFonts w:ascii="Times New Roman" w:hAnsi="Times New Roman" w:cs="Times New Roman"/>
                <w:sz w:val="26"/>
                <w:szCs w:val="26"/>
                <w:lang w:val="lv-LV"/>
              </w:rPr>
              <w:t xml:space="preserve"> gan VID, gan kredītinformācijas birojiem, gan kredītinformācijas saņēmējiem</w:t>
            </w:r>
            <w:r w:rsidRPr="00664E77">
              <w:rPr>
                <w:rFonts w:ascii="Times New Roman" w:hAnsi="Times New Roman" w:cs="Times New Roman"/>
                <w:sz w:val="26"/>
                <w:szCs w:val="26"/>
                <w:lang w:val="lv-LV"/>
              </w:rPr>
              <w:t xml:space="preserve">. Pēc sākotnējām aplēsēm </w:t>
            </w:r>
            <w:r w:rsidR="001959AB" w:rsidRPr="00664E77">
              <w:rPr>
                <w:rFonts w:ascii="Times New Roman" w:hAnsi="Times New Roman" w:cs="Times New Roman"/>
                <w:sz w:val="26"/>
                <w:szCs w:val="26"/>
                <w:lang w:val="lv-LV"/>
              </w:rPr>
              <w:t xml:space="preserve">informācijas sistēmu pielāgošanai nepieciešams sešu mēnešu periods no šo noteikumu </w:t>
            </w:r>
            <w:r w:rsidR="00706D86" w:rsidRPr="00664E77">
              <w:rPr>
                <w:rFonts w:ascii="Times New Roman" w:hAnsi="Times New Roman" w:cs="Times New Roman"/>
                <w:sz w:val="26"/>
                <w:szCs w:val="26"/>
                <w:lang w:val="lv-LV"/>
              </w:rPr>
              <w:t>pieņemšanas</w:t>
            </w:r>
            <w:r w:rsidR="001959AB" w:rsidRPr="00664E77">
              <w:rPr>
                <w:rFonts w:ascii="Times New Roman" w:hAnsi="Times New Roman" w:cs="Times New Roman"/>
                <w:sz w:val="26"/>
                <w:szCs w:val="26"/>
                <w:lang w:val="lv-LV"/>
              </w:rPr>
              <w:t xml:space="preserve">, tāpēc noteikumu projektā paredzēts, ka </w:t>
            </w:r>
            <w:r w:rsidR="000E078E">
              <w:rPr>
                <w:rFonts w:ascii="Times New Roman" w:hAnsi="Times New Roman" w:cs="Times New Roman"/>
                <w:sz w:val="26"/>
                <w:szCs w:val="26"/>
                <w:lang w:val="lv-LV"/>
              </w:rPr>
              <w:t>grozījumi</w:t>
            </w:r>
            <w:r w:rsidR="000E078E" w:rsidRPr="00664E77">
              <w:rPr>
                <w:rFonts w:ascii="Times New Roman" w:hAnsi="Times New Roman" w:cs="Times New Roman"/>
                <w:sz w:val="26"/>
                <w:szCs w:val="26"/>
                <w:lang w:val="lv-LV"/>
              </w:rPr>
              <w:t xml:space="preserve"> </w:t>
            </w:r>
            <w:r w:rsidR="00706D86" w:rsidRPr="00664E77">
              <w:rPr>
                <w:rFonts w:ascii="Times New Roman" w:hAnsi="Times New Roman" w:cs="Times New Roman"/>
                <w:sz w:val="26"/>
                <w:szCs w:val="26"/>
                <w:lang w:val="lv-LV"/>
              </w:rPr>
              <w:t>stājas spēkā</w:t>
            </w:r>
            <w:r w:rsidR="00CF39ED" w:rsidRPr="00664E77">
              <w:rPr>
                <w:rFonts w:ascii="Times New Roman" w:hAnsi="Times New Roman" w:cs="Times New Roman"/>
                <w:sz w:val="26"/>
                <w:szCs w:val="26"/>
                <w:lang w:val="lv-LV"/>
              </w:rPr>
              <w:t xml:space="preserve"> </w:t>
            </w:r>
            <w:r w:rsidR="001959AB" w:rsidRPr="00664E77">
              <w:rPr>
                <w:rFonts w:ascii="Times New Roman" w:hAnsi="Times New Roman" w:cs="Times New Roman"/>
                <w:sz w:val="26"/>
                <w:szCs w:val="26"/>
                <w:lang w:val="lv-LV"/>
              </w:rPr>
              <w:t>2021.</w:t>
            </w:r>
            <w:r w:rsidR="00936D48">
              <w:rPr>
                <w:rFonts w:ascii="Times New Roman" w:hAnsi="Times New Roman" w:cs="Times New Roman"/>
                <w:sz w:val="26"/>
                <w:szCs w:val="26"/>
                <w:lang w:val="lv-LV"/>
              </w:rPr>
              <w:t> </w:t>
            </w:r>
            <w:r w:rsidR="001959AB" w:rsidRPr="00664E77">
              <w:rPr>
                <w:rFonts w:ascii="Times New Roman" w:hAnsi="Times New Roman" w:cs="Times New Roman"/>
                <w:sz w:val="26"/>
                <w:szCs w:val="26"/>
                <w:lang w:val="lv-LV"/>
              </w:rPr>
              <w:t>gada 1.</w:t>
            </w:r>
            <w:r w:rsidR="00936D48">
              <w:rPr>
                <w:rFonts w:ascii="Times New Roman" w:hAnsi="Times New Roman" w:cs="Times New Roman"/>
                <w:sz w:val="26"/>
                <w:szCs w:val="26"/>
                <w:lang w:val="lv-LV"/>
              </w:rPr>
              <w:t> </w:t>
            </w:r>
            <w:r w:rsidR="0014306F">
              <w:rPr>
                <w:rFonts w:ascii="Times New Roman" w:hAnsi="Times New Roman" w:cs="Times New Roman"/>
                <w:sz w:val="26"/>
                <w:szCs w:val="26"/>
                <w:lang w:val="lv-LV"/>
              </w:rPr>
              <w:t>augustā</w:t>
            </w:r>
            <w:r w:rsidR="00225BD9" w:rsidRPr="00664E77">
              <w:rPr>
                <w:rFonts w:ascii="Times New Roman" w:hAnsi="Times New Roman" w:cs="Times New Roman"/>
                <w:sz w:val="26"/>
                <w:szCs w:val="26"/>
                <w:lang w:val="lv-LV"/>
              </w:rPr>
              <w:t>.</w:t>
            </w:r>
            <w:r w:rsidRPr="00664E77">
              <w:rPr>
                <w:rFonts w:ascii="Times New Roman" w:hAnsi="Times New Roman" w:cs="Times New Roman"/>
                <w:sz w:val="26"/>
                <w:szCs w:val="26"/>
                <w:lang w:val="lv-LV"/>
              </w:rPr>
              <w:t xml:space="preserve"> </w:t>
            </w:r>
          </w:p>
        </w:tc>
      </w:tr>
      <w:tr w:rsidR="00794BE1" w:rsidRPr="00F15EA7" w14:paraId="6DAD2E91" w14:textId="77777777" w:rsidTr="00794BE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5B97F25" w14:textId="77777777" w:rsidR="00794BE1" w:rsidRPr="00F15EA7" w:rsidRDefault="00794BE1" w:rsidP="00E5323B">
            <w:pPr>
              <w:spacing w:after="0" w:line="240" w:lineRule="auto"/>
              <w:rPr>
                <w:rFonts w:ascii="Times New Roman" w:hAnsi="Times New Roman" w:cs="Times New Roman"/>
                <w:sz w:val="26"/>
                <w:szCs w:val="26"/>
              </w:rPr>
            </w:pPr>
            <w:r w:rsidRPr="00F15EA7">
              <w:rPr>
                <w:rFonts w:ascii="Times New Roman" w:hAnsi="Times New Roman" w:cs="Times New Roman"/>
                <w:sz w:val="26"/>
                <w:szCs w:val="26"/>
              </w:rPr>
              <w:lastRenderedPageBreak/>
              <w:t>3.</w:t>
            </w:r>
          </w:p>
        </w:tc>
        <w:tc>
          <w:tcPr>
            <w:tcW w:w="1678" w:type="pct"/>
            <w:tcBorders>
              <w:top w:val="outset" w:sz="6" w:space="0" w:color="auto"/>
              <w:left w:val="outset" w:sz="6" w:space="0" w:color="auto"/>
              <w:bottom w:val="outset" w:sz="6" w:space="0" w:color="auto"/>
              <w:right w:val="outset" w:sz="6" w:space="0" w:color="auto"/>
            </w:tcBorders>
            <w:hideMark/>
          </w:tcPr>
          <w:p w14:paraId="084F5BA0" w14:textId="77777777" w:rsidR="00794BE1" w:rsidRPr="00F15EA7" w:rsidRDefault="00794BE1" w:rsidP="00E5323B">
            <w:pPr>
              <w:spacing w:after="0" w:line="240" w:lineRule="auto"/>
              <w:rPr>
                <w:rFonts w:ascii="Times New Roman" w:hAnsi="Times New Roman" w:cs="Times New Roman"/>
                <w:sz w:val="26"/>
                <w:szCs w:val="26"/>
              </w:rPr>
            </w:pPr>
            <w:r w:rsidRPr="00F15EA7">
              <w:rPr>
                <w:rFonts w:ascii="Times New Roman" w:hAnsi="Times New Roman" w:cs="Times New Roman"/>
                <w:sz w:val="26"/>
                <w:szCs w:val="26"/>
              </w:rPr>
              <w:t>Projekta izstrādē iesaistītās institūcijas un publiskas personas kapitālsabiedrības</w:t>
            </w:r>
          </w:p>
        </w:tc>
        <w:tc>
          <w:tcPr>
            <w:tcW w:w="2961" w:type="pct"/>
            <w:tcBorders>
              <w:top w:val="outset" w:sz="6" w:space="0" w:color="auto"/>
              <w:left w:val="outset" w:sz="6" w:space="0" w:color="auto"/>
              <w:bottom w:val="outset" w:sz="6" w:space="0" w:color="auto"/>
              <w:right w:val="outset" w:sz="6" w:space="0" w:color="auto"/>
            </w:tcBorders>
            <w:hideMark/>
          </w:tcPr>
          <w:p w14:paraId="677AD0E7" w14:textId="477753A0" w:rsidR="00794BE1" w:rsidRPr="00664E77" w:rsidRDefault="003E305F" w:rsidP="005B0BC1">
            <w:pPr>
              <w:spacing w:after="0" w:line="240" w:lineRule="auto"/>
              <w:jc w:val="both"/>
              <w:rPr>
                <w:rFonts w:ascii="Times New Roman" w:eastAsia="Times New Roman" w:hAnsi="Times New Roman" w:cs="Times New Roman"/>
                <w:sz w:val="26"/>
                <w:szCs w:val="26"/>
                <w:lang w:eastAsia="lv-LV"/>
              </w:rPr>
            </w:pPr>
            <w:r w:rsidRPr="00664E77">
              <w:rPr>
                <w:rFonts w:ascii="Times New Roman" w:hAnsi="Times New Roman" w:cs="Times New Roman"/>
                <w:sz w:val="26"/>
                <w:szCs w:val="26"/>
              </w:rPr>
              <w:t>V</w:t>
            </w:r>
            <w:r w:rsidR="003473EC">
              <w:rPr>
                <w:rFonts w:ascii="Times New Roman" w:hAnsi="Times New Roman" w:cs="Times New Roman"/>
                <w:sz w:val="26"/>
                <w:szCs w:val="26"/>
              </w:rPr>
              <w:t>ID</w:t>
            </w:r>
            <w:r w:rsidR="004966EF" w:rsidRPr="00664E77">
              <w:rPr>
                <w:rFonts w:ascii="Times New Roman" w:hAnsi="Times New Roman" w:cs="Times New Roman"/>
                <w:sz w:val="26"/>
                <w:szCs w:val="26"/>
              </w:rPr>
              <w:t>,</w:t>
            </w:r>
            <w:r w:rsidR="005B0BC1">
              <w:rPr>
                <w:rFonts w:ascii="Times New Roman" w:hAnsi="Times New Roman" w:cs="Times New Roman"/>
                <w:sz w:val="26"/>
                <w:szCs w:val="26"/>
              </w:rPr>
              <w:t xml:space="preserve"> </w:t>
            </w:r>
            <w:r w:rsidR="005B0BC1" w:rsidRPr="00664E77">
              <w:rPr>
                <w:rFonts w:ascii="Times New Roman" w:hAnsi="Times New Roman" w:cs="Times New Roman"/>
                <w:color w:val="000000" w:themeColor="text1"/>
                <w:sz w:val="26"/>
                <w:szCs w:val="26"/>
              </w:rPr>
              <w:t>Finanšu ministrija</w:t>
            </w:r>
            <w:r w:rsidR="005B0BC1">
              <w:rPr>
                <w:rFonts w:ascii="Times New Roman" w:hAnsi="Times New Roman" w:cs="Times New Roman"/>
                <w:color w:val="000000" w:themeColor="text1"/>
                <w:sz w:val="26"/>
                <w:szCs w:val="26"/>
              </w:rPr>
              <w:t>,</w:t>
            </w:r>
            <w:r w:rsidR="004966EF" w:rsidRPr="00664E77">
              <w:rPr>
                <w:rFonts w:ascii="Times New Roman" w:hAnsi="Times New Roman" w:cs="Times New Roman"/>
                <w:sz w:val="26"/>
                <w:szCs w:val="26"/>
              </w:rPr>
              <w:t xml:space="preserve"> </w:t>
            </w:r>
            <w:r w:rsidR="00A917D7" w:rsidRPr="00664E77">
              <w:rPr>
                <w:rFonts w:ascii="Times New Roman" w:hAnsi="Times New Roman" w:cs="Times New Roman"/>
                <w:sz w:val="26"/>
                <w:szCs w:val="26"/>
              </w:rPr>
              <w:t xml:space="preserve">biedrība </w:t>
            </w:r>
            <w:r w:rsidR="000E078E">
              <w:rPr>
                <w:rFonts w:ascii="Times New Roman" w:hAnsi="Times New Roman" w:cs="Times New Roman"/>
                <w:sz w:val="26"/>
                <w:szCs w:val="26"/>
              </w:rPr>
              <w:t>“</w:t>
            </w:r>
            <w:r w:rsidR="004966EF" w:rsidRPr="00664E77">
              <w:rPr>
                <w:rFonts w:ascii="Times New Roman" w:hAnsi="Times New Roman" w:cs="Times New Roman"/>
                <w:color w:val="000000" w:themeColor="text1"/>
                <w:sz w:val="26"/>
                <w:szCs w:val="26"/>
              </w:rPr>
              <w:t>Latvijas Finanšu nozares asociācija</w:t>
            </w:r>
            <w:r w:rsidR="000E078E">
              <w:rPr>
                <w:rFonts w:ascii="Times New Roman" w:hAnsi="Times New Roman" w:cs="Times New Roman"/>
                <w:color w:val="000000" w:themeColor="text1"/>
                <w:sz w:val="26"/>
                <w:szCs w:val="26"/>
              </w:rPr>
              <w:t>”</w:t>
            </w:r>
            <w:r w:rsidR="004966EF" w:rsidRPr="00664E77">
              <w:rPr>
                <w:rFonts w:ascii="Times New Roman" w:hAnsi="Times New Roman" w:cs="Times New Roman"/>
                <w:color w:val="000000" w:themeColor="text1"/>
                <w:sz w:val="26"/>
                <w:szCs w:val="26"/>
              </w:rPr>
              <w:t xml:space="preserve">, </w:t>
            </w:r>
            <w:r w:rsidR="000875E9">
              <w:rPr>
                <w:rFonts w:ascii="Times New Roman" w:hAnsi="Times New Roman" w:cs="Times New Roman"/>
                <w:color w:val="000000" w:themeColor="text1"/>
                <w:sz w:val="26"/>
                <w:szCs w:val="26"/>
              </w:rPr>
              <w:lastRenderedPageBreak/>
              <w:t>AS</w:t>
            </w:r>
            <w:r w:rsidR="00E661D1">
              <w:rPr>
                <w:rFonts w:ascii="Times New Roman" w:hAnsi="Times New Roman" w:cs="Times New Roman"/>
                <w:color w:val="000000" w:themeColor="text1"/>
                <w:sz w:val="26"/>
                <w:szCs w:val="26"/>
              </w:rPr>
              <w:t> </w:t>
            </w:r>
            <w:r w:rsidR="000875E9">
              <w:rPr>
                <w:rFonts w:ascii="Times New Roman" w:hAnsi="Times New Roman" w:cs="Times New Roman"/>
                <w:color w:val="000000" w:themeColor="text1"/>
                <w:sz w:val="26"/>
                <w:szCs w:val="26"/>
              </w:rPr>
              <w:t>“K</w:t>
            </w:r>
            <w:r w:rsidR="00CF39ED" w:rsidRPr="00664E77">
              <w:rPr>
                <w:rFonts w:ascii="Times New Roman" w:hAnsi="Times New Roman" w:cs="Times New Roman"/>
                <w:color w:val="000000" w:themeColor="text1"/>
                <w:sz w:val="26"/>
                <w:szCs w:val="26"/>
              </w:rPr>
              <w:t xml:space="preserve">redītinformācijas </w:t>
            </w:r>
            <w:r w:rsidR="000875E9">
              <w:rPr>
                <w:rFonts w:ascii="Times New Roman" w:hAnsi="Times New Roman" w:cs="Times New Roman"/>
                <w:color w:val="000000" w:themeColor="text1"/>
                <w:sz w:val="26"/>
                <w:szCs w:val="26"/>
              </w:rPr>
              <w:t>B</w:t>
            </w:r>
            <w:r w:rsidR="00CF39ED" w:rsidRPr="00664E77">
              <w:rPr>
                <w:rFonts w:ascii="Times New Roman" w:hAnsi="Times New Roman" w:cs="Times New Roman"/>
                <w:color w:val="000000" w:themeColor="text1"/>
                <w:sz w:val="26"/>
                <w:szCs w:val="26"/>
              </w:rPr>
              <w:t>iroj</w:t>
            </w:r>
            <w:r w:rsidR="000875E9">
              <w:rPr>
                <w:rFonts w:ascii="Times New Roman" w:hAnsi="Times New Roman" w:cs="Times New Roman"/>
                <w:color w:val="000000" w:themeColor="text1"/>
                <w:sz w:val="26"/>
                <w:szCs w:val="26"/>
              </w:rPr>
              <w:t>s</w:t>
            </w:r>
            <w:r w:rsidR="00250376">
              <w:rPr>
                <w:rFonts w:ascii="Times New Roman" w:hAnsi="Times New Roman" w:cs="Times New Roman"/>
                <w:color w:val="000000" w:themeColor="text1"/>
                <w:sz w:val="26"/>
                <w:szCs w:val="26"/>
              </w:rPr>
              <w:t>”</w:t>
            </w:r>
            <w:r w:rsidR="000875E9">
              <w:rPr>
                <w:rFonts w:ascii="Times New Roman" w:hAnsi="Times New Roman" w:cs="Times New Roman"/>
                <w:color w:val="000000" w:themeColor="text1"/>
                <w:sz w:val="26"/>
                <w:szCs w:val="26"/>
              </w:rPr>
              <w:t>, AS “CREFO Birojs”</w:t>
            </w:r>
            <w:r w:rsidR="005B0BC1">
              <w:rPr>
                <w:rFonts w:ascii="Times New Roman" w:hAnsi="Times New Roman" w:cs="Times New Roman"/>
                <w:color w:val="000000" w:themeColor="text1"/>
                <w:sz w:val="26"/>
                <w:szCs w:val="26"/>
              </w:rPr>
              <w:t>.</w:t>
            </w:r>
            <w:r w:rsidR="000875E9">
              <w:rPr>
                <w:rFonts w:ascii="Times New Roman" w:hAnsi="Times New Roman" w:cs="Times New Roman"/>
                <w:color w:val="000000" w:themeColor="text1"/>
                <w:sz w:val="26"/>
                <w:szCs w:val="26"/>
              </w:rPr>
              <w:t xml:space="preserve"> </w:t>
            </w:r>
          </w:p>
        </w:tc>
      </w:tr>
      <w:tr w:rsidR="00794BE1" w:rsidRPr="00F15EA7" w14:paraId="3B6A7B39" w14:textId="77777777" w:rsidTr="00794BE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7E06C29" w14:textId="77777777" w:rsidR="00794BE1" w:rsidRPr="00F15EA7" w:rsidRDefault="00794BE1" w:rsidP="00E5323B">
            <w:pPr>
              <w:spacing w:after="0" w:line="240" w:lineRule="auto"/>
              <w:rPr>
                <w:rFonts w:ascii="Times New Roman" w:hAnsi="Times New Roman" w:cs="Times New Roman"/>
                <w:sz w:val="26"/>
                <w:szCs w:val="26"/>
              </w:rPr>
            </w:pPr>
            <w:r w:rsidRPr="00F15EA7">
              <w:rPr>
                <w:rFonts w:ascii="Times New Roman" w:hAnsi="Times New Roman" w:cs="Times New Roman"/>
                <w:sz w:val="26"/>
                <w:szCs w:val="26"/>
              </w:rPr>
              <w:lastRenderedPageBreak/>
              <w:t>4.</w:t>
            </w:r>
          </w:p>
        </w:tc>
        <w:tc>
          <w:tcPr>
            <w:tcW w:w="1678" w:type="pct"/>
            <w:tcBorders>
              <w:top w:val="outset" w:sz="6" w:space="0" w:color="auto"/>
              <w:left w:val="outset" w:sz="6" w:space="0" w:color="auto"/>
              <w:bottom w:val="outset" w:sz="6" w:space="0" w:color="auto"/>
              <w:right w:val="outset" w:sz="6" w:space="0" w:color="auto"/>
            </w:tcBorders>
            <w:hideMark/>
          </w:tcPr>
          <w:p w14:paraId="67A2218E" w14:textId="77777777" w:rsidR="00794BE1" w:rsidRPr="00F15EA7" w:rsidRDefault="00794BE1" w:rsidP="00E5323B">
            <w:pPr>
              <w:spacing w:after="0" w:line="240" w:lineRule="auto"/>
              <w:rPr>
                <w:rFonts w:ascii="Times New Roman" w:hAnsi="Times New Roman" w:cs="Times New Roman"/>
                <w:sz w:val="26"/>
                <w:szCs w:val="26"/>
              </w:rPr>
            </w:pPr>
            <w:r w:rsidRPr="00F15EA7">
              <w:rPr>
                <w:rFonts w:ascii="Times New Roman" w:hAnsi="Times New Roman" w:cs="Times New Roman"/>
                <w:sz w:val="26"/>
                <w:szCs w:val="26"/>
              </w:rPr>
              <w:t>Cita informācija</w:t>
            </w:r>
          </w:p>
        </w:tc>
        <w:tc>
          <w:tcPr>
            <w:tcW w:w="2961" w:type="pct"/>
            <w:tcBorders>
              <w:top w:val="outset" w:sz="6" w:space="0" w:color="auto"/>
              <w:left w:val="outset" w:sz="6" w:space="0" w:color="auto"/>
              <w:bottom w:val="outset" w:sz="6" w:space="0" w:color="auto"/>
              <w:right w:val="outset" w:sz="6" w:space="0" w:color="auto"/>
            </w:tcBorders>
            <w:hideMark/>
          </w:tcPr>
          <w:p w14:paraId="51EE3B6C" w14:textId="77777777" w:rsidR="00794BE1" w:rsidRPr="00F15EA7" w:rsidRDefault="00794BE1" w:rsidP="00BF7382">
            <w:pPr>
              <w:spacing w:after="0" w:line="240" w:lineRule="auto"/>
              <w:rPr>
                <w:rFonts w:ascii="Times New Roman" w:eastAsia="Times New Roman" w:hAnsi="Times New Roman" w:cs="Times New Roman"/>
                <w:sz w:val="26"/>
                <w:szCs w:val="26"/>
                <w:lang w:eastAsia="lv-LV"/>
              </w:rPr>
            </w:pPr>
            <w:r w:rsidRPr="00F15EA7">
              <w:rPr>
                <w:rFonts w:ascii="Times New Roman" w:eastAsia="Times New Roman" w:hAnsi="Times New Roman" w:cs="Times New Roman"/>
                <w:sz w:val="26"/>
                <w:szCs w:val="26"/>
                <w:lang w:eastAsia="lv-LV"/>
              </w:rPr>
              <w:t>Nav.</w:t>
            </w:r>
          </w:p>
        </w:tc>
      </w:tr>
    </w:tbl>
    <w:p w14:paraId="7F05FD24" w14:textId="77777777" w:rsidR="00516D94" w:rsidRPr="00F15EA7" w:rsidRDefault="00E5323B" w:rsidP="00E5323B">
      <w:pPr>
        <w:spacing w:after="0" w:line="240" w:lineRule="auto"/>
        <w:rPr>
          <w:rFonts w:ascii="Times New Roman" w:hAnsi="Times New Roman" w:cs="Times New Roman"/>
          <w:sz w:val="26"/>
          <w:szCs w:val="26"/>
        </w:rPr>
      </w:pPr>
      <w:r w:rsidRPr="00F15EA7">
        <w:rPr>
          <w:rFonts w:ascii="Times New Roman" w:hAnsi="Times New Roman" w:cs="Times New Roman"/>
          <w:sz w:val="26"/>
          <w:szCs w:val="26"/>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F15EA7" w14:paraId="133E9491"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3CD3A34" w14:textId="5A07C342" w:rsidR="00655F2C" w:rsidRPr="00F15EA7" w:rsidRDefault="00E5323B" w:rsidP="00936D48">
            <w:pPr>
              <w:spacing w:after="0" w:line="240" w:lineRule="auto"/>
              <w:jc w:val="center"/>
              <w:rPr>
                <w:rFonts w:ascii="Times New Roman" w:hAnsi="Times New Roman" w:cs="Times New Roman"/>
                <w:sz w:val="26"/>
                <w:szCs w:val="26"/>
              </w:rPr>
            </w:pPr>
            <w:r w:rsidRPr="00F15EA7">
              <w:rPr>
                <w:rFonts w:ascii="Times New Roman" w:eastAsia="Times New Roman" w:hAnsi="Times New Roman" w:cs="Times New Roman"/>
                <w:b/>
                <w:bCs/>
                <w:sz w:val="26"/>
                <w:szCs w:val="26"/>
                <w:lang w:eastAsia="lv-LV"/>
              </w:rPr>
              <w:t>II.</w:t>
            </w:r>
            <w:r w:rsidR="00936D48">
              <w:rPr>
                <w:rFonts w:ascii="Times New Roman" w:eastAsia="Times New Roman" w:hAnsi="Times New Roman" w:cs="Times New Roman"/>
                <w:b/>
                <w:bCs/>
                <w:sz w:val="26"/>
                <w:szCs w:val="26"/>
                <w:lang w:eastAsia="lv-LV"/>
              </w:rPr>
              <w:t> </w:t>
            </w:r>
            <w:r w:rsidRPr="00F15EA7">
              <w:rPr>
                <w:rFonts w:ascii="Times New Roman" w:eastAsia="Times New Roman" w:hAnsi="Times New Roman" w:cs="Times New Roman"/>
                <w:b/>
                <w:bCs/>
                <w:sz w:val="26"/>
                <w:szCs w:val="26"/>
                <w:lang w:eastAsia="lv-LV"/>
              </w:rPr>
              <w:t>Tiesību akta projekta ietekme uz sabiedrību, tautsaimniecības attīstību un administratīvo slogu</w:t>
            </w:r>
          </w:p>
        </w:tc>
      </w:tr>
      <w:tr w:rsidR="00825FEA" w:rsidRPr="00F15EA7" w14:paraId="748F46C9" w14:textId="77777777" w:rsidTr="00B84555">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2D63094" w14:textId="77777777" w:rsidR="00825FEA" w:rsidRPr="00F15EA7" w:rsidRDefault="00825FEA" w:rsidP="00E5323B">
            <w:pPr>
              <w:spacing w:after="0" w:line="240" w:lineRule="auto"/>
              <w:rPr>
                <w:rFonts w:ascii="Times New Roman" w:hAnsi="Times New Roman" w:cs="Times New Roman"/>
                <w:sz w:val="26"/>
                <w:szCs w:val="26"/>
              </w:rPr>
            </w:pPr>
            <w:r w:rsidRPr="00F15EA7">
              <w:rPr>
                <w:rFonts w:ascii="Times New Roman" w:hAnsi="Times New Roman" w:cs="Times New Roman"/>
                <w:sz w:val="26"/>
                <w:szCs w:val="26"/>
              </w:rPr>
              <w:t>1.</w:t>
            </w:r>
          </w:p>
        </w:tc>
        <w:tc>
          <w:tcPr>
            <w:tcW w:w="1678" w:type="pct"/>
            <w:tcBorders>
              <w:top w:val="outset" w:sz="6" w:space="0" w:color="auto"/>
              <w:left w:val="outset" w:sz="6" w:space="0" w:color="auto"/>
              <w:bottom w:val="outset" w:sz="6" w:space="0" w:color="auto"/>
              <w:right w:val="outset" w:sz="6" w:space="0" w:color="auto"/>
            </w:tcBorders>
            <w:hideMark/>
          </w:tcPr>
          <w:p w14:paraId="4E12768E" w14:textId="77777777" w:rsidR="00AD4CBD" w:rsidRPr="00F15EA7" w:rsidRDefault="00825FEA" w:rsidP="00E5323B">
            <w:pPr>
              <w:spacing w:after="0" w:line="240" w:lineRule="auto"/>
              <w:rPr>
                <w:rFonts w:ascii="Times New Roman" w:hAnsi="Times New Roman" w:cs="Times New Roman"/>
                <w:sz w:val="26"/>
                <w:szCs w:val="26"/>
              </w:rPr>
            </w:pPr>
            <w:r w:rsidRPr="00F15EA7">
              <w:rPr>
                <w:rFonts w:ascii="Times New Roman" w:hAnsi="Times New Roman" w:cs="Times New Roman"/>
                <w:sz w:val="26"/>
                <w:szCs w:val="26"/>
              </w:rPr>
              <w:t xml:space="preserve">Sabiedrības </w:t>
            </w:r>
            <w:proofErr w:type="spellStart"/>
            <w:r w:rsidRPr="00F15EA7">
              <w:rPr>
                <w:rFonts w:ascii="Times New Roman" w:hAnsi="Times New Roman" w:cs="Times New Roman"/>
                <w:sz w:val="26"/>
                <w:szCs w:val="26"/>
              </w:rPr>
              <w:t>mērķgrupas</w:t>
            </w:r>
            <w:proofErr w:type="spellEnd"/>
            <w:r w:rsidRPr="00F15EA7">
              <w:rPr>
                <w:rFonts w:ascii="Times New Roman" w:hAnsi="Times New Roman" w:cs="Times New Roman"/>
                <w:sz w:val="26"/>
                <w:szCs w:val="26"/>
              </w:rPr>
              <w:t>, kuras tiesiskais regulējums ietekmē vai varētu ietekmēt</w:t>
            </w:r>
          </w:p>
        </w:tc>
        <w:tc>
          <w:tcPr>
            <w:tcW w:w="2960" w:type="pct"/>
            <w:tcBorders>
              <w:top w:val="outset" w:sz="6" w:space="0" w:color="auto"/>
              <w:left w:val="outset" w:sz="6" w:space="0" w:color="auto"/>
              <w:bottom w:val="outset" w:sz="6" w:space="0" w:color="auto"/>
              <w:right w:val="outset" w:sz="6" w:space="0" w:color="auto"/>
            </w:tcBorders>
            <w:hideMark/>
          </w:tcPr>
          <w:p w14:paraId="006D1A1C" w14:textId="47D002AE" w:rsidR="00991768" w:rsidRPr="00F15EA7" w:rsidRDefault="0018002C" w:rsidP="00C704BF">
            <w:pPr>
              <w:ind w:left="-37" w:right="113"/>
              <w:jc w:val="both"/>
              <w:rPr>
                <w:rFonts w:ascii="Times New Roman" w:hAnsi="Times New Roman" w:cs="Times New Roman"/>
                <w:sz w:val="26"/>
                <w:szCs w:val="26"/>
              </w:rPr>
            </w:pPr>
            <w:r>
              <w:rPr>
                <w:rFonts w:ascii="Times New Roman" w:hAnsi="Times New Roman" w:cs="Times New Roman"/>
                <w:sz w:val="26"/>
                <w:szCs w:val="26"/>
              </w:rPr>
              <w:t>Noteikumu p</w:t>
            </w:r>
            <w:r w:rsidR="00690470" w:rsidRPr="00F15EA7">
              <w:rPr>
                <w:rFonts w:ascii="Times New Roman" w:hAnsi="Times New Roman" w:cs="Times New Roman"/>
                <w:sz w:val="26"/>
                <w:szCs w:val="26"/>
              </w:rPr>
              <w:t>rojekts attiecināms uz nodokļu maksātājiem, kredītinformācijas birojiem, kredītinformācijas lietotājiem, kredītinformācijas lietotāju klientiem vai iespējamiem klientiem. Šo personu skaits nav nosakāms.</w:t>
            </w:r>
          </w:p>
        </w:tc>
      </w:tr>
      <w:tr w:rsidR="00825FEA" w:rsidRPr="00F15EA7" w14:paraId="3EA37A40" w14:textId="77777777" w:rsidTr="00B84555">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79B8A14" w14:textId="77777777" w:rsidR="00825FEA" w:rsidRPr="00F15EA7" w:rsidRDefault="00825FEA" w:rsidP="00E5323B">
            <w:pPr>
              <w:spacing w:after="0" w:line="240" w:lineRule="auto"/>
              <w:rPr>
                <w:rFonts w:ascii="Times New Roman" w:hAnsi="Times New Roman" w:cs="Times New Roman"/>
                <w:sz w:val="26"/>
                <w:szCs w:val="26"/>
              </w:rPr>
            </w:pPr>
            <w:r w:rsidRPr="00F15EA7">
              <w:rPr>
                <w:rFonts w:ascii="Times New Roman" w:hAnsi="Times New Roman" w:cs="Times New Roman"/>
                <w:sz w:val="26"/>
                <w:szCs w:val="26"/>
              </w:rPr>
              <w:t>2.</w:t>
            </w:r>
          </w:p>
        </w:tc>
        <w:tc>
          <w:tcPr>
            <w:tcW w:w="1678" w:type="pct"/>
            <w:tcBorders>
              <w:top w:val="outset" w:sz="6" w:space="0" w:color="auto"/>
              <w:left w:val="outset" w:sz="6" w:space="0" w:color="auto"/>
              <w:bottom w:val="outset" w:sz="6" w:space="0" w:color="auto"/>
              <w:right w:val="outset" w:sz="6" w:space="0" w:color="auto"/>
            </w:tcBorders>
            <w:hideMark/>
          </w:tcPr>
          <w:p w14:paraId="650CE66C" w14:textId="77777777" w:rsidR="00825FEA" w:rsidRPr="00F15EA7" w:rsidRDefault="00825FEA" w:rsidP="00E5323B">
            <w:pPr>
              <w:spacing w:after="0" w:line="240" w:lineRule="auto"/>
              <w:rPr>
                <w:rFonts w:ascii="Times New Roman" w:hAnsi="Times New Roman" w:cs="Times New Roman"/>
                <w:sz w:val="26"/>
                <w:szCs w:val="26"/>
              </w:rPr>
            </w:pPr>
            <w:r w:rsidRPr="00F15EA7">
              <w:rPr>
                <w:rFonts w:ascii="Times New Roman" w:hAnsi="Times New Roman" w:cs="Times New Roman"/>
                <w:sz w:val="26"/>
                <w:szCs w:val="26"/>
              </w:rPr>
              <w:t>Tiesiskā regulējuma ietekme uz tautsaimniecību un administratīvo slogu</w:t>
            </w:r>
          </w:p>
        </w:tc>
        <w:tc>
          <w:tcPr>
            <w:tcW w:w="2960" w:type="pct"/>
            <w:tcBorders>
              <w:top w:val="outset" w:sz="6" w:space="0" w:color="auto"/>
              <w:left w:val="outset" w:sz="6" w:space="0" w:color="auto"/>
              <w:bottom w:val="outset" w:sz="6" w:space="0" w:color="auto"/>
              <w:right w:val="outset" w:sz="6" w:space="0" w:color="auto"/>
            </w:tcBorders>
            <w:hideMark/>
          </w:tcPr>
          <w:p w14:paraId="3AF0B02D" w14:textId="63072BF0" w:rsidR="00991768" w:rsidRPr="00F15EA7" w:rsidRDefault="0018002C" w:rsidP="00936D48">
            <w:pPr>
              <w:spacing w:after="0" w:line="240" w:lineRule="auto"/>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Noteikumu </w:t>
            </w:r>
            <w:r w:rsidR="008B71B7">
              <w:rPr>
                <w:rFonts w:ascii="Times New Roman" w:eastAsia="Times New Roman" w:hAnsi="Times New Roman" w:cs="Times New Roman"/>
                <w:sz w:val="26"/>
                <w:szCs w:val="26"/>
                <w:lang w:eastAsia="lv-LV"/>
              </w:rPr>
              <w:t>p</w:t>
            </w:r>
            <w:r w:rsidR="008B71B7" w:rsidRPr="00F15EA7">
              <w:rPr>
                <w:rFonts w:ascii="Times New Roman" w:eastAsia="Times New Roman" w:hAnsi="Times New Roman" w:cs="Times New Roman"/>
                <w:sz w:val="26"/>
                <w:szCs w:val="26"/>
                <w:lang w:eastAsia="lv-LV"/>
              </w:rPr>
              <w:t>rojekt</w:t>
            </w:r>
            <w:r w:rsidR="008B71B7">
              <w:rPr>
                <w:rFonts w:ascii="Times New Roman" w:eastAsia="Times New Roman" w:hAnsi="Times New Roman" w:cs="Times New Roman"/>
                <w:sz w:val="26"/>
                <w:szCs w:val="26"/>
                <w:lang w:eastAsia="lv-LV"/>
              </w:rPr>
              <w:t xml:space="preserve">s </w:t>
            </w:r>
            <w:r w:rsidR="00B83110">
              <w:rPr>
                <w:rFonts w:ascii="Times New Roman" w:eastAsia="Times New Roman" w:hAnsi="Times New Roman" w:cs="Times New Roman"/>
                <w:sz w:val="26"/>
                <w:szCs w:val="26"/>
                <w:lang w:eastAsia="lv-LV"/>
              </w:rPr>
              <w:t>paredzēs</w:t>
            </w:r>
            <w:r w:rsidR="00690470" w:rsidRPr="00F15EA7">
              <w:rPr>
                <w:rFonts w:ascii="Times New Roman" w:eastAsia="Times New Roman" w:hAnsi="Times New Roman" w:cs="Times New Roman"/>
                <w:sz w:val="26"/>
                <w:szCs w:val="26"/>
                <w:lang w:eastAsia="lv-LV"/>
              </w:rPr>
              <w:t xml:space="preserve"> </w:t>
            </w:r>
            <w:r w:rsidR="00AA7E46">
              <w:rPr>
                <w:rFonts w:ascii="Times New Roman" w:eastAsia="Times New Roman" w:hAnsi="Times New Roman" w:cs="Times New Roman"/>
                <w:sz w:val="26"/>
                <w:szCs w:val="26"/>
                <w:lang w:eastAsia="lv-LV"/>
              </w:rPr>
              <w:t>samazinā</w:t>
            </w:r>
            <w:r w:rsidR="00B83110">
              <w:rPr>
                <w:rFonts w:ascii="Times New Roman" w:eastAsia="Times New Roman" w:hAnsi="Times New Roman" w:cs="Times New Roman"/>
                <w:sz w:val="26"/>
                <w:szCs w:val="26"/>
                <w:lang w:eastAsia="lv-LV"/>
              </w:rPr>
              <w:t>t</w:t>
            </w:r>
            <w:r w:rsidR="00AA7E46" w:rsidRPr="00F15EA7">
              <w:rPr>
                <w:rFonts w:ascii="Times New Roman" w:eastAsia="Times New Roman" w:hAnsi="Times New Roman" w:cs="Times New Roman"/>
                <w:sz w:val="26"/>
                <w:szCs w:val="26"/>
                <w:lang w:eastAsia="lv-LV"/>
              </w:rPr>
              <w:t xml:space="preserve"> </w:t>
            </w:r>
            <w:r w:rsidR="00690470" w:rsidRPr="00F15EA7">
              <w:rPr>
                <w:rFonts w:ascii="Times New Roman" w:eastAsia="Times New Roman" w:hAnsi="Times New Roman" w:cs="Times New Roman"/>
                <w:sz w:val="26"/>
                <w:szCs w:val="26"/>
                <w:lang w:eastAsia="lv-LV"/>
              </w:rPr>
              <w:t>administratīvo slogu</w:t>
            </w:r>
            <w:r w:rsidR="00AA7E46">
              <w:rPr>
                <w:rFonts w:ascii="Times New Roman" w:eastAsia="Times New Roman" w:hAnsi="Times New Roman" w:cs="Times New Roman"/>
                <w:sz w:val="26"/>
                <w:szCs w:val="26"/>
                <w:lang w:eastAsia="lv-LV"/>
              </w:rPr>
              <w:t>, jo tiks samazināt</w:t>
            </w:r>
            <w:r w:rsidR="001901FF">
              <w:rPr>
                <w:rFonts w:ascii="Times New Roman" w:eastAsia="Times New Roman" w:hAnsi="Times New Roman" w:cs="Times New Roman"/>
                <w:sz w:val="26"/>
                <w:szCs w:val="26"/>
                <w:lang w:eastAsia="lv-LV"/>
              </w:rPr>
              <w:t>a maksa par</w:t>
            </w:r>
            <w:r w:rsidR="00AA7E46">
              <w:rPr>
                <w:rFonts w:ascii="Times New Roman" w:eastAsia="Times New Roman" w:hAnsi="Times New Roman" w:cs="Times New Roman"/>
                <w:sz w:val="26"/>
                <w:szCs w:val="26"/>
                <w:lang w:eastAsia="lv-LV"/>
              </w:rPr>
              <w:t xml:space="preserve"> pakalpojum</w:t>
            </w:r>
            <w:r w:rsidR="001901FF">
              <w:rPr>
                <w:rFonts w:ascii="Times New Roman" w:eastAsia="Times New Roman" w:hAnsi="Times New Roman" w:cs="Times New Roman"/>
                <w:sz w:val="26"/>
                <w:szCs w:val="26"/>
                <w:lang w:eastAsia="lv-LV"/>
              </w:rPr>
              <w:t>u</w:t>
            </w:r>
            <w:r w:rsidR="00B83110">
              <w:rPr>
                <w:rFonts w:ascii="Times New Roman" w:eastAsia="Times New Roman" w:hAnsi="Times New Roman" w:cs="Times New Roman"/>
                <w:sz w:val="26"/>
                <w:szCs w:val="26"/>
                <w:lang w:eastAsia="lv-LV"/>
              </w:rPr>
              <w:t>, noteikti vienkāršāki un praksei atbilstoši samaksas nosacījumi</w:t>
            </w:r>
            <w:r w:rsidR="001901FF">
              <w:rPr>
                <w:rFonts w:ascii="Times New Roman" w:eastAsia="Times New Roman" w:hAnsi="Times New Roman" w:cs="Times New Roman"/>
                <w:sz w:val="26"/>
                <w:szCs w:val="26"/>
                <w:lang w:eastAsia="lv-LV"/>
              </w:rPr>
              <w:t xml:space="preserve"> un palielināts sniedzamās informācijas apjoms.</w:t>
            </w:r>
            <w:r w:rsidR="00690470" w:rsidRPr="00F15EA7">
              <w:rPr>
                <w:rFonts w:ascii="Times New Roman" w:eastAsia="Times New Roman" w:hAnsi="Times New Roman" w:cs="Times New Roman"/>
                <w:sz w:val="26"/>
                <w:szCs w:val="26"/>
                <w:lang w:eastAsia="lv-LV"/>
              </w:rPr>
              <w:t xml:space="preserve"> VID </w:t>
            </w:r>
            <w:r w:rsidR="001901FF">
              <w:rPr>
                <w:rFonts w:ascii="Times New Roman" w:eastAsia="Times New Roman" w:hAnsi="Times New Roman" w:cs="Times New Roman"/>
                <w:sz w:val="26"/>
                <w:szCs w:val="26"/>
                <w:lang w:eastAsia="lv-LV"/>
              </w:rPr>
              <w:t xml:space="preserve">administratīvais slogs nemainās, jo </w:t>
            </w:r>
            <w:r w:rsidR="00AB4A84">
              <w:rPr>
                <w:rFonts w:ascii="Times New Roman" w:eastAsia="Times New Roman" w:hAnsi="Times New Roman" w:cs="Times New Roman"/>
                <w:sz w:val="26"/>
                <w:szCs w:val="26"/>
                <w:lang w:eastAsia="lv-LV"/>
              </w:rPr>
              <w:t xml:space="preserve">tas </w:t>
            </w:r>
            <w:r w:rsidR="001901FF">
              <w:rPr>
                <w:rFonts w:ascii="Times New Roman" w:eastAsia="Times New Roman" w:hAnsi="Times New Roman" w:cs="Times New Roman"/>
                <w:sz w:val="26"/>
                <w:szCs w:val="26"/>
                <w:lang w:eastAsia="lv-LV"/>
              </w:rPr>
              <w:t xml:space="preserve">turpina </w:t>
            </w:r>
            <w:r w:rsidR="00690470" w:rsidRPr="00F15EA7">
              <w:rPr>
                <w:rFonts w:ascii="Times New Roman" w:eastAsia="Times New Roman" w:hAnsi="Times New Roman" w:cs="Times New Roman"/>
                <w:sz w:val="26"/>
                <w:szCs w:val="26"/>
                <w:lang w:eastAsia="lv-LV"/>
              </w:rPr>
              <w:t>uztur</w:t>
            </w:r>
            <w:r w:rsidR="001901FF">
              <w:rPr>
                <w:rFonts w:ascii="Times New Roman" w:eastAsia="Times New Roman" w:hAnsi="Times New Roman" w:cs="Times New Roman"/>
                <w:sz w:val="26"/>
                <w:szCs w:val="26"/>
                <w:lang w:eastAsia="lv-LV"/>
              </w:rPr>
              <w:t>ēt</w:t>
            </w:r>
            <w:r w:rsidR="00690470" w:rsidRPr="00F15EA7">
              <w:rPr>
                <w:rFonts w:ascii="Times New Roman" w:eastAsia="Times New Roman" w:hAnsi="Times New Roman" w:cs="Times New Roman"/>
                <w:sz w:val="26"/>
                <w:szCs w:val="26"/>
                <w:lang w:eastAsia="lv-LV"/>
              </w:rPr>
              <w:t xml:space="preserve"> tehnisko risinājumu informācijas nodošanai kredītinformācijas birojam</w:t>
            </w:r>
            <w:r w:rsidR="00B84555" w:rsidRPr="00F15EA7">
              <w:rPr>
                <w:rFonts w:ascii="Times New Roman" w:eastAsia="Times New Roman" w:hAnsi="Times New Roman" w:cs="Times New Roman"/>
                <w:sz w:val="26"/>
                <w:szCs w:val="26"/>
                <w:lang w:eastAsia="lv-LV"/>
              </w:rPr>
              <w:t xml:space="preserve">, iekasējot </w:t>
            </w:r>
            <w:r w:rsidR="007D7ABD">
              <w:rPr>
                <w:rFonts w:ascii="Times New Roman" w:eastAsia="Times New Roman" w:hAnsi="Times New Roman" w:cs="Times New Roman"/>
                <w:sz w:val="26"/>
                <w:szCs w:val="26"/>
                <w:lang w:eastAsia="lv-LV"/>
              </w:rPr>
              <w:t>pakalpojuma</w:t>
            </w:r>
            <w:r w:rsidR="007D7ABD" w:rsidRPr="00F15EA7">
              <w:rPr>
                <w:rFonts w:ascii="Times New Roman" w:eastAsia="Times New Roman" w:hAnsi="Times New Roman" w:cs="Times New Roman"/>
                <w:sz w:val="26"/>
                <w:szCs w:val="26"/>
                <w:lang w:eastAsia="lv-LV"/>
              </w:rPr>
              <w:t xml:space="preserve"> </w:t>
            </w:r>
            <w:r w:rsidR="00B84555" w:rsidRPr="00F15EA7">
              <w:rPr>
                <w:rFonts w:ascii="Times New Roman" w:eastAsia="Times New Roman" w:hAnsi="Times New Roman" w:cs="Times New Roman"/>
                <w:sz w:val="26"/>
                <w:szCs w:val="26"/>
                <w:lang w:eastAsia="lv-LV"/>
              </w:rPr>
              <w:t xml:space="preserve">maksu </w:t>
            </w:r>
            <w:r w:rsidR="007D7ABD">
              <w:rPr>
                <w:rFonts w:ascii="Times New Roman" w:eastAsia="Times New Roman" w:hAnsi="Times New Roman" w:cs="Times New Roman"/>
                <w:sz w:val="26"/>
                <w:szCs w:val="26"/>
                <w:lang w:eastAsia="lv-LV"/>
              </w:rPr>
              <w:t>16</w:t>
            </w:r>
            <w:r w:rsidR="00936D48">
              <w:rPr>
                <w:rFonts w:ascii="Times New Roman" w:eastAsia="Times New Roman" w:hAnsi="Times New Roman" w:cs="Times New Roman"/>
                <w:sz w:val="26"/>
                <w:szCs w:val="26"/>
                <w:lang w:eastAsia="lv-LV"/>
              </w:rPr>
              <w:t> </w:t>
            </w:r>
            <w:r w:rsidR="007D7ABD">
              <w:rPr>
                <w:rFonts w:ascii="Times New Roman" w:eastAsia="Times New Roman" w:hAnsi="Times New Roman" w:cs="Times New Roman"/>
                <w:sz w:val="26"/>
                <w:szCs w:val="26"/>
                <w:lang w:eastAsia="lv-LV"/>
              </w:rPr>
              <w:t>225</w:t>
            </w:r>
            <w:r w:rsidR="00936D48">
              <w:rPr>
                <w:rFonts w:ascii="Times New Roman" w:eastAsia="Times New Roman" w:hAnsi="Times New Roman" w:cs="Times New Roman"/>
                <w:sz w:val="26"/>
                <w:szCs w:val="26"/>
                <w:lang w:eastAsia="lv-LV"/>
              </w:rPr>
              <w:t> </w:t>
            </w:r>
            <w:proofErr w:type="spellStart"/>
            <w:r w:rsidR="00B84555" w:rsidRPr="00F15EA7">
              <w:rPr>
                <w:rFonts w:ascii="Times New Roman" w:eastAsia="Times New Roman" w:hAnsi="Times New Roman" w:cs="Times New Roman"/>
                <w:i/>
                <w:sz w:val="26"/>
                <w:szCs w:val="26"/>
                <w:lang w:eastAsia="lv-LV"/>
              </w:rPr>
              <w:t>euro</w:t>
            </w:r>
            <w:proofErr w:type="spellEnd"/>
            <w:r w:rsidR="00B84555" w:rsidRPr="00F15EA7">
              <w:rPr>
                <w:rFonts w:ascii="Times New Roman" w:eastAsia="Times New Roman" w:hAnsi="Times New Roman" w:cs="Times New Roman"/>
                <w:sz w:val="26"/>
                <w:szCs w:val="26"/>
                <w:lang w:eastAsia="lv-LV"/>
              </w:rPr>
              <w:t xml:space="preserve"> apmērā</w:t>
            </w:r>
            <w:r w:rsidR="00A1349B" w:rsidRPr="00F15EA7">
              <w:rPr>
                <w:rFonts w:ascii="Times New Roman" w:eastAsia="Times New Roman" w:hAnsi="Times New Roman" w:cs="Times New Roman"/>
                <w:sz w:val="26"/>
                <w:szCs w:val="26"/>
                <w:lang w:eastAsia="lv-LV"/>
              </w:rPr>
              <w:t xml:space="preserve"> par vienu licenci </w:t>
            </w:r>
            <w:r w:rsidR="00E338E5" w:rsidRPr="00F15EA7">
              <w:rPr>
                <w:rFonts w:ascii="Times New Roman" w:eastAsia="Times New Roman" w:hAnsi="Times New Roman" w:cs="Times New Roman"/>
                <w:sz w:val="26"/>
                <w:szCs w:val="26"/>
                <w:lang w:eastAsia="lv-LV"/>
              </w:rPr>
              <w:t xml:space="preserve">par </w:t>
            </w:r>
            <w:r w:rsidR="007D7ABD">
              <w:rPr>
                <w:rFonts w:ascii="Times New Roman" w:eastAsia="Times New Roman" w:hAnsi="Times New Roman" w:cs="Times New Roman"/>
                <w:sz w:val="26"/>
                <w:szCs w:val="26"/>
                <w:lang w:eastAsia="lv-LV"/>
              </w:rPr>
              <w:t>25</w:t>
            </w:r>
            <w:r w:rsidR="00E338E5" w:rsidRPr="00F15EA7">
              <w:rPr>
                <w:rFonts w:ascii="Times New Roman" w:eastAsia="Times New Roman" w:hAnsi="Times New Roman" w:cs="Times New Roman"/>
                <w:sz w:val="26"/>
                <w:szCs w:val="26"/>
                <w:lang w:eastAsia="lv-LV"/>
              </w:rPr>
              <w:t>0</w:t>
            </w:r>
            <w:r w:rsidR="007656F5">
              <w:rPr>
                <w:rFonts w:ascii="Times New Roman" w:eastAsia="Times New Roman" w:hAnsi="Times New Roman" w:cs="Times New Roman"/>
                <w:sz w:val="26"/>
                <w:szCs w:val="26"/>
                <w:lang w:eastAsia="lv-LV"/>
              </w:rPr>
              <w:t> </w:t>
            </w:r>
            <w:r w:rsidR="00E338E5" w:rsidRPr="00F15EA7">
              <w:rPr>
                <w:rFonts w:ascii="Times New Roman" w:eastAsia="Times New Roman" w:hAnsi="Times New Roman" w:cs="Times New Roman"/>
                <w:sz w:val="26"/>
                <w:szCs w:val="26"/>
                <w:lang w:eastAsia="lv-LV"/>
              </w:rPr>
              <w:t>000</w:t>
            </w:r>
            <w:r w:rsidR="007656F5">
              <w:rPr>
                <w:rFonts w:ascii="Times New Roman" w:eastAsia="Times New Roman" w:hAnsi="Times New Roman" w:cs="Times New Roman"/>
                <w:sz w:val="26"/>
                <w:szCs w:val="26"/>
                <w:lang w:eastAsia="lv-LV"/>
              </w:rPr>
              <w:t> </w:t>
            </w:r>
            <w:r w:rsidR="00E338E5" w:rsidRPr="00F15EA7">
              <w:rPr>
                <w:rFonts w:ascii="Times New Roman" w:eastAsia="Times New Roman" w:hAnsi="Times New Roman" w:cs="Times New Roman"/>
                <w:sz w:val="26"/>
                <w:szCs w:val="26"/>
                <w:lang w:eastAsia="lv-LV"/>
              </w:rPr>
              <w:t>pieprasījumiem</w:t>
            </w:r>
            <w:r w:rsidR="00BA54C6" w:rsidRPr="00F15EA7">
              <w:rPr>
                <w:rFonts w:ascii="Times New Roman" w:eastAsia="Times New Roman" w:hAnsi="Times New Roman" w:cs="Times New Roman"/>
                <w:sz w:val="26"/>
                <w:szCs w:val="26"/>
                <w:lang w:eastAsia="lv-LV"/>
              </w:rPr>
              <w:t>.</w:t>
            </w:r>
            <w:r w:rsidR="00B84555" w:rsidRPr="00F15EA7">
              <w:rPr>
                <w:rFonts w:ascii="Times New Roman" w:eastAsia="Times New Roman" w:hAnsi="Times New Roman" w:cs="Times New Roman"/>
                <w:sz w:val="26"/>
                <w:szCs w:val="26"/>
                <w:lang w:eastAsia="lv-LV"/>
              </w:rPr>
              <w:t xml:space="preserve"> </w:t>
            </w:r>
          </w:p>
        </w:tc>
      </w:tr>
      <w:tr w:rsidR="00825FEA" w:rsidRPr="00F15EA7" w14:paraId="1917ACEC" w14:textId="77777777" w:rsidTr="00B84555">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095C32B" w14:textId="77777777" w:rsidR="00825FEA" w:rsidRPr="00F15EA7" w:rsidRDefault="00825FEA" w:rsidP="00E5323B">
            <w:pPr>
              <w:spacing w:after="0" w:line="240" w:lineRule="auto"/>
              <w:rPr>
                <w:rFonts w:ascii="Times New Roman" w:hAnsi="Times New Roman" w:cs="Times New Roman"/>
                <w:sz w:val="26"/>
                <w:szCs w:val="26"/>
              </w:rPr>
            </w:pPr>
            <w:r w:rsidRPr="00F15EA7">
              <w:rPr>
                <w:rFonts w:ascii="Times New Roman" w:hAnsi="Times New Roman" w:cs="Times New Roman"/>
                <w:sz w:val="26"/>
                <w:szCs w:val="26"/>
              </w:rPr>
              <w:t>3.</w:t>
            </w:r>
          </w:p>
        </w:tc>
        <w:tc>
          <w:tcPr>
            <w:tcW w:w="1678" w:type="pct"/>
            <w:tcBorders>
              <w:top w:val="outset" w:sz="6" w:space="0" w:color="auto"/>
              <w:left w:val="outset" w:sz="6" w:space="0" w:color="auto"/>
              <w:bottom w:val="outset" w:sz="6" w:space="0" w:color="auto"/>
              <w:right w:val="outset" w:sz="6" w:space="0" w:color="auto"/>
            </w:tcBorders>
            <w:hideMark/>
          </w:tcPr>
          <w:p w14:paraId="2C6CFAE6" w14:textId="77777777" w:rsidR="00825FEA" w:rsidRPr="00F15EA7" w:rsidRDefault="00825FEA" w:rsidP="00E5323B">
            <w:pPr>
              <w:spacing w:after="0" w:line="240" w:lineRule="auto"/>
              <w:rPr>
                <w:rFonts w:ascii="Times New Roman" w:hAnsi="Times New Roman" w:cs="Times New Roman"/>
                <w:sz w:val="26"/>
                <w:szCs w:val="26"/>
              </w:rPr>
            </w:pPr>
            <w:r w:rsidRPr="00F15EA7">
              <w:rPr>
                <w:rFonts w:ascii="Times New Roman" w:hAnsi="Times New Roman" w:cs="Times New Roman"/>
                <w:sz w:val="26"/>
                <w:szCs w:val="26"/>
              </w:rPr>
              <w:t>Administratīvo izmaksu monetārs novērtējums</w:t>
            </w:r>
          </w:p>
          <w:p w14:paraId="6BE21ED2" w14:textId="77777777" w:rsidR="00991768" w:rsidRPr="00F15EA7" w:rsidRDefault="00991768" w:rsidP="00E5323B">
            <w:pPr>
              <w:spacing w:after="0" w:line="240" w:lineRule="auto"/>
              <w:rPr>
                <w:rFonts w:ascii="Times New Roman" w:hAnsi="Times New Roman" w:cs="Times New Roman"/>
                <w:sz w:val="26"/>
                <w:szCs w:val="26"/>
              </w:rPr>
            </w:pPr>
          </w:p>
        </w:tc>
        <w:tc>
          <w:tcPr>
            <w:tcW w:w="2960" w:type="pct"/>
            <w:tcBorders>
              <w:top w:val="outset" w:sz="6" w:space="0" w:color="auto"/>
              <w:left w:val="outset" w:sz="6" w:space="0" w:color="auto"/>
              <w:bottom w:val="outset" w:sz="6" w:space="0" w:color="auto"/>
              <w:right w:val="outset" w:sz="6" w:space="0" w:color="auto"/>
            </w:tcBorders>
            <w:hideMark/>
          </w:tcPr>
          <w:p w14:paraId="5CC55340" w14:textId="252D86CF" w:rsidR="00825FEA" w:rsidRPr="00F15EA7" w:rsidRDefault="00B84555" w:rsidP="00936D48">
            <w:pPr>
              <w:spacing w:after="0" w:line="240" w:lineRule="auto"/>
              <w:jc w:val="both"/>
              <w:rPr>
                <w:rFonts w:ascii="Times New Roman" w:eastAsia="Times New Roman" w:hAnsi="Times New Roman" w:cs="Times New Roman"/>
                <w:sz w:val="26"/>
                <w:szCs w:val="26"/>
                <w:lang w:eastAsia="lv-LV"/>
              </w:rPr>
            </w:pPr>
            <w:r w:rsidRPr="00F15EA7">
              <w:rPr>
                <w:rFonts w:ascii="Times New Roman" w:eastAsia="Times New Roman" w:hAnsi="Times New Roman" w:cs="Times New Roman"/>
                <w:sz w:val="26"/>
                <w:szCs w:val="26"/>
                <w:lang w:eastAsia="lv-LV"/>
              </w:rPr>
              <w:t>Administratīvā</w:t>
            </w:r>
            <w:r w:rsidR="00AD3810">
              <w:rPr>
                <w:rFonts w:ascii="Times New Roman" w:eastAsia="Times New Roman" w:hAnsi="Times New Roman" w:cs="Times New Roman"/>
                <w:sz w:val="26"/>
                <w:szCs w:val="26"/>
                <w:lang w:eastAsia="lv-LV"/>
              </w:rPr>
              <w:t>s</w:t>
            </w:r>
            <w:r w:rsidRPr="00F15EA7">
              <w:rPr>
                <w:rFonts w:ascii="Times New Roman" w:eastAsia="Times New Roman" w:hAnsi="Times New Roman" w:cs="Times New Roman"/>
                <w:sz w:val="26"/>
                <w:szCs w:val="26"/>
                <w:lang w:eastAsia="lv-LV"/>
              </w:rPr>
              <w:t xml:space="preserve"> izmaksas veido VID</w:t>
            </w:r>
            <w:r w:rsidR="000E078E">
              <w:rPr>
                <w:rFonts w:ascii="Times New Roman" w:eastAsia="Times New Roman" w:hAnsi="Times New Roman" w:cs="Times New Roman"/>
                <w:sz w:val="26"/>
                <w:szCs w:val="26"/>
                <w:lang w:eastAsia="lv-LV"/>
              </w:rPr>
              <w:t xml:space="preserve"> </w:t>
            </w:r>
            <w:r w:rsidRPr="00F15EA7">
              <w:rPr>
                <w:rFonts w:ascii="Times New Roman" w:eastAsia="Times New Roman" w:hAnsi="Times New Roman" w:cs="Times New Roman"/>
                <w:sz w:val="26"/>
                <w:szCs w:val="26"/>
                <w:lang w:eastAsia="lv-LV"/>
              </w:rPr>
              <w:t xml:space="preserve">nepieciešamās tehniskās izmaiņas informācijas atlases procesā un sistēmas uzturēšanas </w:t>
            </w:r>
            <w:r w:rsidRPr="00B83110">
              <w:rPr>
                <w:rFonts w:ascii="Times New Roman" w:eastAsia="Times New Roman" w:hAnsi="Times New Roman" w:cs="Times New Roman"/>
                <w:sz w:val="26"/>
                <w:szCs w:val="26"/>
                <w:lang w:eastAsia="lv-LV"/>
              </w:rPr>
              <w:t>izmaksas</w:t>
            </w:r>
            <w:r w:rsidR="00B83110" w:rsidRPr="00B83110">
              <w:rPr>
                <w:rFonts w:ascii="Times New Roman" w:eastAsia="Times New Roman" w:hAnsi="Times New Roman" w:cs="Times New Roman"/>
                <w:sz w:val="26"/>
                <w:szCs w:val="26"/>
                <w:lang w:eastAsia="lv-LV"/>
              </w:rPr>
              <w:t xml:space="preserve">, kas norādītas </w:t>
            </w:r>
            <w:r w:rsidR="008B71B7">
              <w:rPr>
                <w:rFonts w:ascii="Times New Roman" w:eastAsia="Times New Roman" w:hAnsi="Times New Roman" w:cs="Times New Roman"/>
                <w:sz w:val="26"/>
                <w:szCs w:val="26"/>
                <w:lang w:eastAsia="lv-LV"/>
              </w:rPr>
              <w:t xml:space="preserve">anotācijas </w:t>
            </w:r>
            <w:r w:rsidR="00B83110" w:rsidRPr="00B83110">
              <w:rPr>
                <w:rFonts w:ascii="Times New Roman" w:hAnsi="Times New Roman" w:cs="Times New Roman"/>
                <w:sz w:val="26"/>
                <w:szCs w:val="26"/>
              </w:rPr>
              <w:t>III</w:t>
            </w:r>
            <w:r w:rsidR="00936D48">
              <w:rPr>
                <w:rFonts w:ascii="Times New Roman" w:hAnsi="Times New Roman" w:cs="Times New Roman"/>
                <w:sz w:val="26"/>
                <w:szCs w:val="26"/>
              </w:rPr>
              <w:t> </w:t>
            </w:r>
            <w:r w:rsidR="00B83110" w:rsidRPr="00B83110">
              <w:rPr>
                <w:rFonts w:ascii="Times New Roman" w:hAnsi="Times New Roman" w:cs="Times New Roman"/>
                <w:sz w:val="26"/>
                <w:szCs w:val="26"/>
              </w:rPr>
              <w:t>sadaļā</w:t>
            </w:r>
            <w:r w:rsidR="00542651">
              <w:rPr>
                <w:rFonts w:ascii="Times New Roman" w:eastAsia="Times New Roman" w:hAnsi="Times New Roman" w:cs="Times New Roman"/>
                <w:sz w:val="26"/>
                <w:szCs w:val="26"/>
                <w:lang w:eastAsia="lv-LV"/>
              </w:rPr>
              <w:t>.</w:t>
            </w:r>
          </w:p>
        </w:tc>
      </w:tr>
      <w:tr w:rsidR="00825FEA" w:rsidRPr="00F15EA7" w14:paraId="03D29B0F" w14:textId="77777777" w:rsidTr="00B84555">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C519813" w14:textId="77777777" w:rsidR="00991768" w:rsidRPr="00F15EA7" w:rsidRDefault="00B84555" w:rsidP="00E5323B">
            <w:pPr>
              <w:spacing w:after="0" w:line="240" w:lineRule="auto"/>
              <w:rPr>
                <w:rFonts w:ascii="Times New Roman" w:hAnsi="Times New Roman" w:cs="Times New Roman"/>
                <w:sz w:val="26"/>
                <w:szCs w:val="26"/>
              </w:rPr>
            </w:pPr>
            <w:r w:rsidRPr="00F15EA7">
              <w:rPr>
                <w:rFonts w:ascii="Times New Roman" w:hAnsi="Times New Roman" w:cs="Times New Roman"/>
                <w:sz w:val="26"/>
                <w:szCs w:val="26"/>
              </w:rPr>
              <w:t>4</w:t>
            </w:r>
            <w:r w:rsidR="00825FEA" w:rsidRPr="00F15EA7">
              <w:rPr>
                <w:rFonts w:ascii="Times New Roman" w:hAnsi="Times New Roman" w:cs="Times New Roman"/>
                <w:sz w:val="26"/>
                <w:szCs w:val="26"/>
              </w:rPr>
              <w:t>.</w:t>
            </w:r>
          </w:p>
        </w:tc>
        <w:tc>
          <w:tcPr>
            <w:tcW w:w="1678" w:type="pct"/>
            <w:tcBorders>
              <w:top w:val="outset" w:sz="6" w:space="0" w:color="auto"/>
              <w:left w:val="outset" w:sz="6" w:space="0" w:color="auto"/>
              <w:bottom w:val="outset" w:sz="6" w:space="0" w:color="auto"/>
              <w:right w:val="outset" w:sz="6" w:space="0" w:color="auto"/>
            </w:tcBorders>
            <w:hideMark/>
          </w:tcPr>
          <w:p w14:paraId="2143EF8A" w14:textId="77777777" w:rsidR="00825FEA" w:rsidRPr="00F15EA7" w:rsidRDefault="00825FEA" w:rsidP="00E5323B">
            <w:pPr>
              <w:spacing w:after="0" w:line="240" w:lineRule="auto"/>
              <w:rPr>
                <w:rFonts w:ascii="Times New Roman" w:hAnsi="Times New Roman" w:cs="Times New Roman"/>
                <w:sz w:val="26"/>
                <w:szCs w:val="26"/>
              </w:rPr>
            </w:pPr>
            <w:r w:rsidRPr="00F15EA7">
              <w:rPr>
                <w:rFonts w:ascii="Times New Roman" w:hAnsi="Times New Roman" w:cs="Times New Roman"/>
                <w:sz w:val="26"/>
                <w:szCs w:val="26"/>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4649446B" w14:textId="77777777" w:rsidR="00825FEA" w:rsidRPr="00F15EA7" w:rsidRDefault="00825FEA" w:rsidP="00BF7382">
            <w:pPr>
              <w:spacing w:after="0" w:line="240" w:lineRule="auto"/>
              <w:rPr>
                <w:rFonts w:ascii="Times New Roman" w:eastAsia="Times New Roman" w:hAnsi="Times New Roman" w:cs="Times New Roman"/>
                <w:sz w:val="26"/>
                <w:szCs w:val="26"/>
                <w:lang w:eastAsia="lv-LV"/>
              </w:rPr>
            </w:pPr>
            <w:r w:rsidRPr="00F15EA7">
              <w:rPr>
                <w:rFonts w:ascii="Times New Roman" w:eastAsia="Times New Roman" w:hAnsi="Times New Roman" w:cs="Times New Roman"/>
                <w:sz w:val="26"/>
                <w:szCs w:val="26"/>
                <w:lang w:eastAsia="lv-LV"/>
              </w:rPr>
              <w:t>Nav.</w:t>
            </w:r>
          </w:p>
        </w:tc>
      </w:tr>
    </w:tbl>
    <w:p w14:paraId="41934E4A" w14:textId="77777777" w:rsidR="00516D94" w:rsidRPr="00F15EA7" w:rsidRDefault="00E5323B" w:rsidP="00753375">
      <w:pPr>
        <w:spacing w:after="0" w:line="240" w:lineRule="auto"/>
        <w:rPr>
          <w:rFonts w:ascii="Times New Roman" w:hAnsi="Times New Roman" w:cs="Times New Roman"/>
          <w:sz w:val="26"/>
          <w:szCs w:val="26"/>
        </w:rPr>
      </w:pPr>
      <w:r w:rsidRPr="00F15EA7">
        <w:rPr>
          <w:rFonts w:ascii="Times New Roman" w:hAnsi="Times New Roman" w:cs="Times New Roman"/>
          <w:sz w:val="26"/>
          <w:szCs w:val="26"/>
        </w:rPr>
        <w:t xml:space="preserve">  </w:t>
      </w:r>
    </w:p>
    <w:tbl>
      <w:tblPr>
        <w:tblpPr w:leftFromText="180" w:rightFromText="180" w:vertAnchor="text" w:tblpXSpec="right" w:tblpY="1"/>
        <w:tblOverlap w:val="never"/>
        <w:tblW w:w="907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1696"/>
        <w:gridCol w:w="990"/>
        <w:gridCol w:w="995"/>
        <w:gridCol w:w="995"/>
        <w:gridCol w:w="1130"/>
        <w:gridCol w:w="995"/>
        <w:gridCol w:w="1158"/>
        <w:gridCol w:w="1113"/>
      </w:tblGrid>
      <w:tr w:rsidR="005E782B" w:rsidRPr="00E1092C" w14:paraId="6E5488EA" w14:textId="77777777" w:rsidTr="009C6996">
        <w:trPr>
          <w:tblCellSpacing w:w="20" w:type="dxa"/>
        </w:trPr>
        <w:tc>
          <w:tcPr>
            <w:tcW w:w="8992" w:type="dxa"/>
            <w:gridSpan w:val="8"/>
            <w:hideMark/>
          </w:tcPr>
          <w:p w14:paraId="4B2F3D6E" w14:textId="5E9966E6" w:rsidR="005E782B" w:rsidRPr="00E1092C" w:rsidRDefault="005E782B" w:rsidP="00936D48">
            <w:pPr>
              <w:spacing w:before="100" w:beforeAutospacing="1" w:after="100" w:afterAutospacing="1" w:line="240" w:lineRule="auto"/>
              <w:contextualSpacing/>
              <w:jc w:val="center"/>
              <w:rPr>
                <w:rFonts w:ascii="Times New Roman" w:hAnsi="Times New Roman" w:cs="Times New Roman"/>
                <w:b/>
                <w:bCs/>
                <w:iCs/>
                <w:sz w:val="24"/>
                <w:szCs w:val="24"/>
              </w:rPr>
            </w:pPr>
            <w:r w:rsidRPr="00E1092C">
              <w:rPr>
                <w:rFonts w:ascii="Times New Roman" w:hAnsi="Times New Roman" w:cs="Times New Roman"/>
                <w:b/>
                <w:bCs/>
                <w:iCs/>
                <w:sz w:val="24"/>
                <w:szCs w:val="24"/>
              </w:rPr>
              <w:t>III.</w:t>
            </w:r>
            <w:r w:rsidR="00936D48">
              <w:rPr>
                <w:rFonts w:ascii="Times New Roman" w:hAnsi="Times New Roman" w:cs="Times New Roman"/>
                <w:b/>
                <w:bCs/>
                <w:iCs/>
                <w:sz w:val="24"/>
                <w:szCs w:val="24"/>
              </w:rPr>
              <w:t> </w:t>
            </w:r>
            <w:r w:rsidRPr="00E1092C">
              <w:rPr>
                <w:rFonts w:ascii="Times New Roman" w:hAnsi="Times New Roman" w:cs="Times New Roman"/>
                <w:b/>
                <w:bCs/>
                <w:iCs/>
                <w:sz w:val="24"/>
                <w:szCs w:val="24"/>
              </w:rPr>
              <w:t>Tiesību akta projekta ietekme uz valsts budžetu un pašvaldību budžetiem</w:t>
            </w:r>
          </w:p>
        </w:tc>
      </w:tr>
      <w:tr w:rsidR="005E782B" w:rsidRPr="00E1092C" w14:paraId="178C4BC5" w14:textId="77777777" w:rsidTr="009C6996">
        <w:trPr>
          <w:tblCellSpacing w:w="20" w:type="dxa"/>
        </w:trPr>
        <w:tc>
          <w:tcPr>
            <w:tcW w:w="1636" w:type="dxa"/>
            <w:vMerge w:val="restart"/>
            <w:hideMark/>
          </w:tcPr>
          <w:p w14:paraId="3C155EB0" w14:textId="77777777" w:rsidR="005E782B" w:rsidRPr="00E1092C" w:rsidRDefault="005E782B" w:rsidP="009C6996">
            <w:pPr>
              <w:spacing w:before="100" w:beforeAutospacing="1" w:after="100" w:afterAutospacing="1" w:line="240" w:lineRule="auto"/>
              <w:contextualSpacing/>
              <w:rPr>
                <w:rFonts w:ascii="Times New Roman" w:hAnsi="Times New Roman" w:cs="Times New Roman"/>
                <w:iCs/>
                <w:sz w:val="24"/>
                <w:szCs w:val="24"/>
              </w:rPr>
            </w:pPr>
            <w:r w:rsidRPr="00E1092C">
              <w:rPr>
                <w:rFonts w:ascii="Times New Roman" w:hAnsi="Times New Roman" w:cs="Times New Roman"/>
                <w:iCs/>
                <w:sz w:val="24"/>
                <w:szCs w:val="24"/>
              </w:rPr>
              <w:t>Rādītāji</w:t>
            </w:r>
          </w:p>
        </w:tc>
        <w:tc>
          <w:tcPr>
            <w:tcW w:w="1945" w:type="dxa"/>
            <w:gridSpan w:val="2"/>
            <w:vMerge w:val="restart"/>
            <w:hideMark/>
          </w:tcPr>
          <w:p w14:paraId="1ADE4C26"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20</w:t>
            </w:r>
            <w:r w:rsidR="00A47178" w:rsidRPr="00E1092C">
              <w:rPr>
                <w:rFonts w:ascii="Times New Roman" w:hAnsi="Times New Roman" w:cs="Times New Roman"/>
                <w:iCs/>
                <w:sz w:val="24"/>
                <w:szCs w:val="24"/>
              </w:rPr>
              <w:t>20</w:t>
            </w:r>
          </w:p>
        </w:tc>
        <w:tc>
          <w:tcPr>
            <w:tcW w:w="5331" w:type="dxa"/>
            <w:gridSpan w:val="5"/>
            <w:hideMark/>
          </w:tcPr>
          <w:p w14:paraId="5D1C08D9"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Turpmākie trīs gadi (</w:t>
            </w:r>
            <w:proofErr w:type="spellStart"/>
            <w:r w:rsidRPr="00E1092C">
              <w:rPr>
                <w:rFonts w:ascii="Times New Roman" w:hAnsi="Times New Roman" w:cs="Times New Roman"/>
                <w:i/>
                <w:iCs/>
                <w:sz w:val="24"/>
                <w:szCs w:val="24"/>
              </w:rPr>
              <w:t>euro</w:t>
            </w:r>
            <w:proofErr w:type="spellEnd"/>
            <w:r w:rsidRPr="00E1092C">
              <w:rPr>
                <w:rFonts w:ascii="Times New Roman" w:hAnsi="Times New Roman" w:cs="Times New Roman"/>
                <w:iCs/>
                <w:sz w:val="24"/>
                <w:szCs w:val="24"/>
              </w:rPr>
              <w:t>)</w:t>
            </w:r>
          </w:p>
        </w:tc>
      </w:tr>
      <w:tr w:rsidR="005E782B" w:rsidRPr="00E1092C" w14:paraId="6E1D09BF" w14:textId="77777777" w:rsidTr="009C6996">
        <w:trPr>
          <w:tblCellSpacing w:w="20" w:type="dxa"/>
        </w:trPr>
        <w:tc>
          <w:tcPr>
            <w:tcW w:w="1636" w:type="dxa"/>
            <w:vMerge/>
            <w:vAlign w:val="center"/>
            <w:hideMark/>
          </w:tcPr>
          <w:p w14:paraId="7C437D5C" w14:textId="77777777" w:rsidR="005E782B" w:rsidRPr="00E1092C" w:rsidRDefault="005E782B" w:rsidP="009C6996">
            <w:pPr>
              <w:spacing w:before="100" w:beforeAutospacing="1" w:after="100" w:afterAutospacing="1" w:line="240" w:lineRule="auto"/>
              <w:contextualSpacing/>
              <w:rPr>
                <w:rFonts w:ascii="Times New Roman" w:hAnsi="Times New Roman" w:cs="Times New Roman"/>
                <w:iCs/>
                <w:sz w:val="24"/>
                <w:szCs w:val="24"/>
              </w:rPr>
            </w:pPr>
          </w:p>
        </w:tc>
        <w:tc>
          <w:tcPr>
            <w:tcW w:w="1945" w:type="dxa"/>
            <w:gridSpan w:val="2"/>
            <w:vMerge/>
            <w:vAlign w:val="center"/>
            <w:hideMark/>
          </w:tcPr>
          <w:p w14:paraId="442D267C" w14:textId="77777777" w:rsidR="005E782B" w:rsidRPr="00E1092C" w:rsidRDefault="005E782B" w:rsidP="009C6996">
            <w:pPr>
              <w:spacing w:before="100" w:beforeAutospacing="1" w:after="100" w:afterAutospacing="1" w:line="240" w:lineRule="auto"/>
              <w:contextualSpacing/>
              <w:rPr>
                <w:rFonts w:ascii="Times New Roman" w:hAnsi="Times New Roman" w:cs="Times New Roman"/>
                <w:iCs/>
                <w:sz w:val="24"/>
                <w:szCs w:val="24"/>
              </w:rPr>
            </w:pPr>
          </w:p>
        </w:tc>
        <w:tc>
          <w:tcPr>
            <w:tcW w:w="2085" w:type="dxa"/>
            <w:gridSpan w:val="2"/>
            <w:hideMark/>
          </w:tcPr>
          <w:p w14:paraId="132A4AD3"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202</w:t>
            </w:r>
            <w:r w:rsidR="00A47178" w:rsidRPr="00E1092C">
              <w:rPr>
                <w:rFonts w:ascii="Times New Roman" w:hAnsi="Times New Roman" w:cs="Times New Roman"/>
                <w:iCs/>
                <w:sz w:val="24"/>
                <w:szCs w:val="24"/>
              </w:rPr>
              <w:t>1</w:t>
            </w:r>
          </w:p>
        </w:tc>
        <w:tc>
          <w:tcPr>
            <w:tcW w:w="2113" w:type="dxa"/>
            <w:gridSpan w:val="2"/>
            <w:hideMark/>
          </w:tcPr>
          <w:p w14:paraId="58854A15"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202</w:t>
            </w:r>
            <w:r w:rsidR="00A47178" w:rsidRPr="00E1092C">
              <w:rPr>
                <w:rFonts w:ascii="Times New Roman" w:hAnsi="Times New Roman" w:cs="Times New Roman"/>
                <w:iCs/>
                <w:sz w:val="24"/>
                <w:szCs w:val="24"/>
              </w:rPr>
              <w:t>2</w:t>
            </w:r>
          </w:p>
        </w:tc>
        <w:tc>
          <w:tcPr>
            <w:tcW w:w="1053" w:type="dxa"/>
            <w:hideMark/>
          </w:tcPr>
          <w:p w14:paraId="0C77E1C5"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202</w:t>
            </w:r>
            <w:r w:rsidR="00A47178" w:rsidRPr="00E1092C">
              <w:rPr>
                <w:rFonts w:ascii="Times New Roman" w:hAnsi="Times New Roman" w:cs="Times New Roman"/>
                <w:iCs/>
                <w:sz w:val="24"/>
                <w:szCs w:val="24"/>
              </w:rPr>
              <w:t>3</w:t>
            </w:r>
          </w:p>
        </w:tc>
      </w:tr>
      <w:tr w:rsidR="005E782B" w:rsidRPr="00E1092C" w14:paraId="172003C5" w14:textId="77777777" w:rsidTr="009C6996">
        <w:trPr>
          <w:tblCellSpacing w:w="20" w:type="dxa"/>
        </w:trPr>
        <w:tc>
          <w:tcPr>
            <w:tcW w:w="1636" w:type="dxa"/>
            <w:vMerge/>
            <w:vAlign w:val="center"/>
            <w:hideMark/>
          </w:tcPr>
          <w:p w14:paraId="6B0BD3A7" w14:textId="77777777" w:rsidR="005E782B" w:rsidRPr="00E1092C" w:rsidRDefault="005E782B" w:rsidP="009C6996">
            <w:pPr>
              <w:spacing w:before="100" w:beforeAutospacing="1" w:after="100" w:afterAutospacing="1" w:line="240" w:lineRule="auto"/>
              <w:contextualSpacing/>
              <w:rPr>
                <w:rFonts w:ascii="Times New Roman" w:hAnsi="Times New Roman" w:cs="Times New Roman"/>
                <w:iCs/>
                <w:sz w:val="24"/>
                <w:szCs w:val="24"/>
              </w:rPr>
            </w:pPr>
          </w:p>
        </w:tc>
        <w:tc>
          <w:tcPr>
            <w:tcW w:w="950" w:type="dxa"/>
            <w:hideMark/>
          </w:tcPr>
          <w:p w14:paraId="3FC3A3D5" w14:textId="77777777" w:rsidR="005E782B" w:rsidRPr="00E1092C" w:rsidRDefault="005E782B" w:rsidP="009C6996">
            <w:pPr>
              <w:spacing w:before="100" w:beforeAutospacing="1" w:after="100" w:afterAutospacing="1" w:line="240" w:lineRule="auto"/>
              <w:ind w:right="-144"/>
              <w:contextualSpacing/>
              <w:rPr>
                <w:rFonts w:ascii="Times New Roman" w:hAnsi="Times New Roman" w:cs="Times New Roman"/>
                <w:iCs/>
                <w:sz w:val="24"/>
                <w:szCs w:val="24"/>
              </w:rPr>
            </w:pPr>
            <w:r w:rsidRPr="00E1092C">
              <w:rPr>
                <w:rFonts w:ascii="Times New Roman" w:hAnsi="Times New Roman" w:cs="Times New Roman"/>
                <w:iCs/>
                <w:sz w:val="24"/>
                <w:szCs w:val="24"/>
              </w:rPr>
              <w:t>saskaņā ar valsts budžetu kārtējam gadam</w:t>
            </w:r>
          </w:p>
        </w:tc>
        <w:tc>
          <w:tcPr>
            <w:tcW w:w="955" w:type="dxa"/>
            <w:hideMark/>
          </w:tcPr>
          <w:p w14:paraId="0D051295" w14:textId="77777777" w:rsidR="00BC0437" w:rsidRDefault="005E782B" w:rsidP="009C6996">
            <w:pPr>
              <w:spacing w:before="100" w:beforeAutospacing="1" w:after="100" w:afterAutospacing="1" w:line="240" w:lineRule="auto"/>
              <w:ind w:right="-146"/>
              <w:contextualSpacing/>
              <w:rPr>
                <w:rFonts w:ascii="Times New Roman" w:hAnsi="Times New Roman" w:cs="Times New Roman"/>
                <w:iCs/>
                <w:sz w:val="24"/>
                <w:szCs w:val="24"/>
              </w:rPr>
            </w:pPr>
            <w:r w:rsidRPr="00E1092C">
              <w:rPr>
                <w:rFonts w:ascii="Times New Roman" w:hAnsi="Times New Roman" w:cs="Times New Roman"/>
                <w:iCs/>
                <w:sz w:val="24"/>
                <w:szCs w:val="24"/>
              </w:rPr>
              <w:t>izmaiņas kārtējā gadā, salīdzi</w:t>
            </w:r>
          </w:p>
          <w:p w14:paraId="4F70E716" w14:textId="73CFFC0A" w:rsidR="005E782B" w:rsidRPr="00E1092C" w:rsidRDefault="005E782B" w:rsidP="009C6996">
            <w:pPr>
              <w:spacing w:before="100" w:beforeAutospacing="1" w:after="100" w:afterAutospacing="1" w:line="240" w:lineRule="auto"/>
              <w:ind w:right="-146"/>
              <w:contextualSpacing/>
              <w:rPr>
                <w:rFonts w:ascii="Times New Roman" w:hAnsi="Times New Roman" w:cs="Times New Roman"/>
                <w:iCs/>
                <w:sz w:val="24"/>
                <w:szCs w:val="24"/>
              </w:rPr>
            </w:pPr>
            <w:r w:rsidRPr="00E1092C">
              <w:rPr>
                <w:rFonts w:ascii="Times New Roman" w:hAnsi="Times New Roman" w:cs="Times New Roman"/>
                <w:iCs/>
                <w:sz w:val="24"/>
                <w:szCs w:val="24"/>
              </w:rPr>
              <w:t>not ar valsts budžetu kārtējam gadam</w:t>
            </w:r>
          </w:p>
        </w:tc>
        <w:tc>
          <w:tcPr>
            <w:tcW w:w="955" w:type="dxa"/>
            <w:hideMark/>
          </w:tcPr>
          <w:p w14:paraId="395E267C" w14:textId="77777777" w:rsidR="005E782B" w:rsidRPr="00E1092C" w:rsidRDefault="005E782B" w:rsidP="009C6996">
            <w:pPr>
              <w:spacing w:before="100" w:beforeAutospacing="1" w:after="100" w:afterAutospacing="1" w:line="240" w:lineRule="auto"/>
              <w:ind w:right="-148"/>
              <w:contextualSpacing/>
              <w:rPr>
                <w:rFonts w:ascii="Times New Roman" w:hAnsi="Times New Roman" w:cs="Times New Roman"/>
                <w:iCs/>
                <w:sz w:val="24"/>
                <w:szCs w:val="24"/>
              </w:rPr>
            </w:pPr>
            <w:r w:rsidRPr="00E1092C">
              <w:rPr>
                <w:rFonts w:ascii="Times New Roman" w:hAnsi="Times New Roman" w:cs="Times New Roman"/>
                <w:iCs/>
                <w:sz w:val="24"/>
                <w:szCs w:val="24"/>
              </w:rPr>
              <w:t>saskaņā ar vidēja termiņa budžeta ietvaru</w:t>
            </w:r>
          </w:p>
        </w:tc>
        <w:tc>
          <w:tcPr>
            <w:tcW w:w="1090" w:type="dxa"/>
            <w:hideMark/>
          </w:tcPr>
          <w:p w14:paraId="6BF747AC" w14:textId="280717A2" w:rsidR="005E782B" w:rsidRPr="00E1092C" w:rsidRDefault="005E782B" w:rsidP="009C6996">
            <w:pPr>
              <w:spacing w:before="100" w:beforeAutospacing="1" w:after="100" w:afterAutospacing="1" w:line="240" w:lineRule="auto"/>
              <w:ind w:right="-142"/>
              <w:contextualSpacing/>
              <w:rPr>
                <w:rFonts w:ascii="Times New Roman" w:hAnsi="Times New Roman" w:cs="Times New Roman"/>
                <w:iCs/>
                <w:sz w:val="24"/>
                <w:szCs w:val="24"/>
              </w:rPr>
            </w:pPr>
            <w:r w:rsidRPr="00E1092C">
              <w:rPr>
                <w:rFonts w:ascii="Times New Roman" w:hAnsi="Times New Roman" w:cs="Times New Roman"/>
                <w:iCs/>
                <w:sz w:val="24"/>
                <w:szCs w:val="24"/>
              </w:rPr>
              <w:t>izmaiņas, salīdzinot ar vidēja termiņa budžeta ietvaru 202</w:t>
            </w:r>
            <w:r w:rsidR="00A0158B" w:rsidRPr="00E1092C">
              <w:rPr>
                <w:rFonts w:ascii="Times New Roman" w:hAnsi="Times New Roman" w:cs="Times New Roman"/>
                <w:iCs/>
                <w:sz w:val="24"/>
                <w:szCs w:val="24"/>
              </w:rPr>
              <w:t>1</w:t>
            </w:r>
            <w:r w:rsidRPr="00E1092C">
              <w:rPr>
                <w:rFonts w:ascii="Times New Roman" w:hAnsi="Times New Roman" w:cs="Times New Roman"/>
                <w:iCs/>
                <w:sz w:val="24"/>
                <w:szCs w:val="24"/>
              </w:rPr>
              <w:t>.</w:t>
            </w:r>
          </w:p>
          <w:p w14:paraId="08858F84" w14:textId="77777777" w:rsidR="005E782B" w:rsidRPr="00E1092C" w:rsidRDefault="005E782B" w:rsidP="009C6996">
            <w:pPr>
              <w:spacing w:before="100" w:beforeAutospacing="1" w:after="100" w:afterAutospacing="1" w:line="240" w:lineRule="auto"/>
              <w:ind w:right="-142"/>
              <w:contextualSpacing/>
              <w:rPr>
                <w:rFonts w:ascii="Times New Roman" w:hAnsi="Times New Roman" w:cs="Times New Roman"/>
                <w:iCs/>
                <w:sz w:val="24"/>
                <w:szCs w:val="24"/>
              </w:rPr>
            </w:pPr>
            <w:r w:rsidRPr="00E1092C">
              <w:rPr>
                <w:rFonts w:ascii="Times New Roman" w:hAnsi="Times New Roman" w:cs="Times New Roman"/>
                <w:iCs/>
                <w:sz w:val="24"/>
                <w:szCs w:val="24"/>
              </w:rPr>
              <w:t>gadam</w:t>
            </w:r>
          </w:p>
        </w:tc>
        <w:tc>
          <w:tcPr>
            <w:tcW w:w="955" w:type="dxa"/>
            <w:hideMark/>
          </w:tcPr>
          <w:p w14:paraId="06DF8283" w14:textId="77777777" w:rsidR="005E782B" w:rsidRPr="00E1092C" w:rsidRDefault="005E782B" w:rsidP="009C6996">
            <w:pPr>
              <w:spacing w:before="100" w:beforeAutospacing="1" w:after="100" w:afterAutospacing="1" w:line="240" w:lineRule="auto"/>
              <w:ind w:right="-144"/>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saskaņā ar vidēja termiņa budžeta ietvaru</w:t>
            </w:r>
          </w:p>
        </w:tc>
        <w:tc>
          <w:tcPr>
            <w:tcW w:w="1118" w:type="dxa"/>
            <w:hideMark/>
          </w:tcPr>
          <w:p w14:paraId="479EA0F9" w14:textId="77777777" w:rsidR="005E782B" w:rsidRPr="00E1092C" w:rsidRDefault="005E782B" w:rsidP="009C6996">
            <w:pPr>
              <w:spacing w:before="100" w:beforeAutospacing="1" w:after="100" w:afterAutospacing="1" w:line="240" w:lineRule="auto"/>
              <w:ind w:right="-123"/>
              <w:contextualSpacing/>
              <w:rPr>
                <w:rFonts w:ascii="Times New Roman" w:hAnsi="Times New Roman" w:cs="Times New Roman"/>
                <w:iCs/>
                <w:sz w:val="24"/>
                <w:szCs w:val="24"/>
              </w:rPr>
            </w:pPr>
            <w:r w:rsidRPr="00E1092C">
              <w:rPr>
                <w:rFonts w:ascii="Times New Roman" w:hAnsi="Times New Roman" w:cs="Times New Roman"/>
                <w:iCs/>
                <w:sz w:val="24"/>
                <w:szCs w:val="24"/>
              </w:rPr>
              <w:t>izmaiņas, salīdzinot ar vidēja termiņa budžeta ietvaru 202</w:t>
            </w:r>
            <w:r w:rsidR="00A0158B" w:rsidRPr="00E1092C">
              <w:rPr>
                <w:rFonts w:ascii="Times New Roman" w:hAnsi="Times New Roman" w:cs="Times New Roman"/>
                <w:iCs/>
                <w:sz w:val="24"/>
                <w:szCs w:val="24"/>
              </w:rPr>
              <w:t>2</w:t>
            </w:r>
            <w:r w:rsidRPr="00E1092C">
              <w:rPr>
                <w:rFonts w:ascii="Times New Roman" w:hAnsi="Times New Roman" w:cs="Times New Roman"/>
                <w:iCs/>
                <w:sz w:val="24"/>
                <w:szCs w:val="24"/>
              </w:rPr>
              <w:t>.</w:t>
            </w:r>
          </w:p>
          <w:p w14:paraId="2B9251F1" w14:textId="77777777" w:rsidR="005E782B" w:rsidRPr="00E1092C" w:rsidRDefault="005E782B" w:rsidP="009C6996">
            <w:pPr>
              <w:spacing w:before="100" w:beforeAutospacing="1" w:after="100" w:afterAutospacing="1" w:line="240" w:lineRule="auto"/>
              <w:contextualSpacing/>
              <w:rPr>
                <w:rFonts w:ascii="Times New Roman" w:hAnsi="Times New Roman" w:cs="Times New Roman"/>
                <w:iCs/>
                <w:sz w:val="24"/>
                <w:szCs w:val="24"/>
              </w:rPr>
            </w:pPr>
            <w:r w:rsidRPr="00E1092C">
              <w:rPr>
                <w:rFonts w:ascii="Times New Roman" w:hAnsi="Times New Roman" w:cs="Times New Roman"/>
                <w:iCs/>
                <w:sz w:val="24"/>
                <w:szCs w:val="24"/>
              </w:rPr>
              <w:t>gadam</w:t>
            </w:r>
          </w:p>
        </w:tc>
        <w:tc>
          <w:tcPr>
            <w:tcW w:w="1053" w:type="dxa"/>
            <w:hideMark/>
          </w:tcPr>
          <w:p w14:paraId="275E4A18" w14:textId="77777777" w:rsidR="005E782B" w:rsidRPr="00E1092C" w:rsidRDefault="005E782B" w:rsidP="009C6996">
            <w:pPr>
              <w:spacing w:before="100" w:beforeAutospacing="1" w:after="100" w:afterAutospacing="1" w:line="240" w:lineRule="auto"/>
              <w:ind w:right="-161"/>
              <w:contextualSpacing/>
              <w:rPr>
                <w:rFonts w:ascii="Times New Roman" w:hAnsi="Times New Roman" w:cs="Times New Roman"/>
                <w:iCs/>
                <w:sz w:val="24"/>
                <w:szCs w:val="24"/>
              </w:rPr>
            </w:pPr>
            <w:r w:rsidRPr="00E1092C">
              <w:rPr>
                <w:rFonts w:ascii="Times New Roman" w:hAnsi="Times New Roman" w:cs="Times New Roman"/>
                <w:iCs/>
                <w:sz w:val="24"/>
                <w:szCs w:val="24"/>
              </w:rPr>
              <w:t>izmaiņas, salīdzinot ar vidēja termiņa budžeta ietvaru 202</w:t>
            </w:r>
            <w:r w:rsidR="00A0158B" w:rsidRPr="00E1092C">
              <w:rPr>
                <w:rFonts w:ascii="Times New Roman" w:hAnsi="Times New Roman" w:cs="Times New Roman"/>
                <w:iCs/>
                <w:sz w:val="24"/>
                <w:szCs w:val="24"/>
              </w:rPr>
              <w:t>2</w:t>
            </w:r>
            <w:r w:rsidRPr="00E1092C">
              <w:rPr>
                <w:rFonts w:ascii="Times New Roman" w:hAnsi="Times New Roman" w:cs="Times New Roman"/>
                <w:iCs/>
                <w:sz w:val="24"/>
                <w:szCs w:val="24"/>
              </w:rPr>
              <w:t>.</w:t>
            </w:r>
          </w:p>
          <w:p w14:paraId="674D2F64" w14:textId="77777777" w:rsidR="005E782B" w:rsidRPr="00E1092C" w:rsidRDefault="005E782B" w:rsidP="009C6996">
            <w:pPr>
              <w:spacing w:before="100" w:beforeAutospacing="1" w:after="100" w:afterAutospacing="1" w:line="240" w:lineRule="auto"/>
              <w:contextualSpacing/>
              <w:rPr>
                <w:rFonts w:ascii="Times New Roman" w:hAnsi="Times New Roman" w:cs="Times New Roman"/>
                <w:iCs/>
                <w:sz w:val="24"/>
                <w:szCs w:val="24"/>
              </w:rPr>
            </w:pPr>
            <w:r w:rsidRPr="00E1092C">
              <w:rPr>
                <w:rFonts w:ascii="Times New Roman" w:hAnsi="Times New Roman" w:cs="Times New Roman"/>
                <w:iCs/>
                <w:sz w:val="24"/>
                <w:szCs w:val="24"/>
              </w:rPr>
              <w:t>gadam</w:t>
            </w:r>
          </w:p>
        </w:tc>
      </w:tr>
      <w:tr w:rsidR="005E782B" w:rsidRPr="00E1092C" w14:paraId="2C097E23" w14:textId="77777777" w:rsidTr="009C6996">
        <w:trPr>
          <w:tblCellSpacing w:w="20" w:type="dxa"/>
        </w:trPr>
        <w:tc>
          <w:tcPr>
            <w:tcW w:w="1636" w:type="dxa"/>
            <w:hideMark/>
          </w:tcPr>
          <w:p w14:paraId="423D5A62" w14:textId="77777777" w:rsidR="005E782B" w:rsidRPr="00E1092C" w:rsidRDefault="005E782B" w:rsidP="009C6996">
            <w:pPr>
              <w:spacing w:before="100" w:beforeAutospacing="1" w:after="100" w:afterAutospacing="1" w:line="240" w:lineRule="auto"/>
              <w:contextualSpacing/>
              <w:rPr>
                <w:rFonts w:ascii="Times New Roman" w:hAnsi="Times New Roman" w:cs="Times New Roman"/>
                <w:iCs/>
                <w:sz w:val="24"/>
                <w:szCs w:val="24"/>
              </w:rPr>
            </w:pPr>
            <w:r w:rsidRPr="00E1092C">
              <w:rPr>
                <w:rFonts w:ascii="Times New Roman" w:hAnsi="Times New Roman" w:cs="Times New Roman"/>
                <w:iCs/>
                <w:sz w:val="24"/>
                <w:szCs w:val="24"/>
              </w:rPr>
              <w:t>1</w:t>
            </w:r>
          </w:p>
        </w:tc>
        <w:tc>
          <w:tcPr>
            <w:tcW w:w="950" w:type="dxa"/>
            <w:hideMark/>
          </w:tcPr>
          <w:p w14:paraId="46C135D2" w14:textId="77777777" w:rsidR="005E782B" w:rsidRPr="00E1092C" w:rsidRDefault="005E782B" w:rsidP="009C6996">
            <w:pPr>
              <w:spacing w:before="100" w:beforeAutospacing="1" w:after="100" w:afterAutospacing="1" w:line="240" w:lineRule="auto"/>
              <w:contextualSpacing/>
              <w:rPr>
                <w:rFonts w:ascii="Times New Roman" w:hAnsi="Times New Roman" w:cs="Times New Roman"/>
                <w:iCs/>
                <w:sz w:val="24"/>
                <w:szCs w:val="24"/>
              </w:rPr>
            </w:pPr>
            <w:r w:rsidRPr="00E1092C">
              <w:rPr>
                <w:rFonts w:ascii="Times New Roman" w:hAnsi="Times New Roman" w:cs="Times New Roman"/>
                <w:iCs/>
                <w:sz w:val="24"/>
                <w:szCs w:val="24"/>
              </w:rPr>
              <w:t>2</w:t>
            </w:r>
          </w:p>
        </w:tc>
        <w:tc>
          <w:tcPr>
            <w:tcW w:w="955" w:type="dxa"/>
            <w:hideMark/>
          </w:tcPr>
          <w:p w14:paraId="7D3A996B" w14:textId="77777777" w:rsidR="005E782B" w:rsidRPr="00E1092C" w:rsidRDefault="005E782B" w:rsidP="009C6996">
            <w:pPr>
              <w:spacing w:before="100" w:beforeAutospacing="1" w:after="100" w:afterAutospacing="1" w:line="240" w:lineRule="auto"/>
              <w:contextualSpacing/>
              <w:rPr>
                <w:rFonts w:ascii="Times New Roman" w:hAnsi="Times New Roman" w:cs="Times New Roman"/>
                <w:iCs/>
                <w:sz w:val="24"/>
                <w:szCs w:val="24"/>
              </w:rPr>
            </w:pPr>
            <w:r w:rsidRPr="00E1092C">
              <w:rPr>
                <w:rFonts w:ascii="Times New Roman" w:hAnsi="Times New Roman" w:cs="Times New Roman"/>
                <w:iCs/>
                <w:sz w:val="24"/>
                <w:szCs w:val="24"/>
              </w:rPr>
              <w:t>3</w:t>
            </w:r>
          </w:p>
        </w:tc>
        <w:tc>
          <w:tcPr>
            <w:tcW w:w="955" w:type="dxa"/>
            <w:hideMark/>
          </w:tcPr>
          <w:p w14:paraId="4C1C9FCC" w14:textId="77777777" w:rsidR="005E782B" w:rsidRPr="00E1092C" w:rsidRDefault="005E782B" w:rsidP="009C6996">
            <w:pPr>
              <w:spacing w:before="100" w:beforeAutospacing="1" w:after="100" w:afterAutospacing="1" w:line="240" w:lineRule="auto"/>
              <w:contextualSpacing/>
              <w:rPr>
                <w:rFonts w:ascii="Times New Roman" w:hAnsi="Times New Roman" w:cs="Times New Roman"/>
                <w:iCs/>
                <w:sz w:val="24"/>
                <w:szCs w:val="24"/>
              </w:rPr>
            </w:pPr>
            <w:r w:rsidRPr="00E1092C">
              <w:rPr>
                <w:rFonts w:ascii="Times New Roman" w:hAnsi="Times New Roman" w:cs="Times New Roman"/>
                <w:iCs/>
                <w:sz w:val="24"/>
                <w:szCs w:val="24"/>
              </w:rPr>
              <w:t>4</w:t>
            </w:r>
          </w:p>
        </w:tc>
        <w:tc>
          <w:tcPr>
            <w:tcW w:w="1090" w:type="dxa"/>
            <w:hideMark/>
          </w:tcPr>
          <w:p w14:paraId="012B2DC1" w14:textId="77777777" w:rsidR="005E782B" w:rsidRPr="00E1092C" w:rsidRDefault="005E782B" w:rsidP="009C6996">
            <w:pPr>
              <w:spacing w:before="100" w:beforeAutospacing="1" w:after="100" w:afterAutospacing="1" w:line="240" w:lineRule="auto"/>
              <w:contextualSpacing/>
              <w:rPr>
                <w:rFonts w:ascii="Times New Roman" w:hAnsi="Times New Roman" w:cs="Times New Roman"/>
                <w:iCs/>
                <w:sz w:val="24"/>
                <w:szCs w:val="24"/>
              </w:rPr>
            </w:pPr>
            <w:r w:rsidRPr="00E1092C">
              <w:rPr>
                <w:rFonts w:ascii="Times New Roman" w:hAnsi="Times New Roman" w:cs="Times New Roman"/>
                <w:iCs/>
                <w:sz w:val="24"/>
                <w:szCs w:val="24"/>
              </w:rPr>
              <w:t>5</w:t>
            </w:r>
          </w:p>
        </w:tc>
        <w:tc>
          <w:tcPr>
            <w:tcW w:w="955" w:type="dxa"/>
            <w:hideMark/>
          </w:tcPr>
          <w:p w14:paraId="7086F404" w14:textId="77777777" w:rsidR="005E782B" w:rsidRPr="00E1092C" w:rsidRDefault="005E782B" w:rsidP="009C6996">
            <w:pPr>
              <w:spacing w:before="100" w:beforeAutospacing="1" w:after="100" w:afterAutospacing="1" w:line="240" w:lineRule="auto"/>
              <w:contextualSpacing/>
              <w:rPr>
                <w:rFonts w:ascii="Times New Roman" w:hAnsi="Times New Roman" w:cs="Times New Roman"/>
                <w:iCs/>
                <w:sz w:val="24"/>
                <w:szCs w:val="24"/>
              </w:rPr>
            </w:pPr>
            <w:r w:rsidRPr="00E1092C">
              <w:rPr>
                <w:rFonts w:ascii="Times New Roman" w:hAnsi="Times New Roman" w:cs="Times New Roman"/>
                <w:iCs/>
                <w:sz w:val="24"/>
                <w:szCs w:val="24"/>
              </w:rPr>
              <w:t>6</w:t>
            </w:r>
          </w:p>
        </w:tc>
        <w:tc>
          <w:tcPr>
            <w:tcW w:w="1118" w:type="dxa"/>
            <w:hideMark/>
          </w:tcPr>
          <w:p w14:paraId="044C326C" w14:textId="77777777" w:rsidR="005E782B" w:rsidRPr="00E1092C" w:rsidRDefault="005E782B" w:rsidP="009C6996">
            <w:pPr>
              <w:spacing w:before="100" w:beforeAutospacing="1" w:after="100" w:afterAutospacing="1" w:line="240" w:lineRule="auto"/>
              <w:contextualSpacing/>
              <w:rPr>
                <w:rFonts w:ascii="Times New Roman" w:hAnsi="Times New Roman" w:cs="Times New Roman"/>
                <w:iCs/>
                <w:sz w:val="24"/>
                <w:szCs w:val="24"/>
              </w:rPr>
            </w:pPr>
            <w:r w:rsidRPr="00E1092C">
              <w:rPr>
                <w:rFonts w:ascii="Times New Roman" w:hAnsi="Times New Roman" w:cs="Times New Roman"/>
                <w:iCs/>
                <w:sz w:val="24"/>
                <w:szCs w:val="24"/>
              </w:rPr>
              <w:t>7</w:t>
            </w:r>
          </w:p>
        </w:tc>
        <w:tc>
          <w:tcPr>
            <w:tcW w:w="1053" w:type="dxa"/>
            <w:hideMark/>
          </w:tcPr>
          <w:p w14:paraId="7A3706B6" w14:textId="77777777" w:rsidR="005E782B" w:rsidRPr="00E1092C" w:rsidRDefault="005E782B" w:rsidP="009C6996">
            <w:pPr>
              <w:spacing w:before="100" w:beforeAutospacing="1" w:after="100" w:afterAutospacing="1" w:line="240" w:lineRule="auto"/>
              <w:contextualSpacing/>
              <w:rPr>
                <w:rFonts w:ascii="Times New Roman" w:hAnsi="Times New Roman" w:cs="Times New Roman"/>
                <w:iCs/>
                <w:sz w:val="24"/>
                <w:szCs w:val="24"/>
              </w:rPr>
            </w:pPr>
            <w:r w:rsidRPr="00E1092C">
              <w:rPr>
                <w:rFonts w:ascii="Times New Roman" w:hAnsi="Times New Roman" w:cs="Times New Roman"/>
                <w:iCs/>
                <w:sz w:val="24"/>
                <w:szCs w:val="24"/>
              </w:rPr>
              <w:t>8</w:t>
            </w:r>
          </w:p>
        </w:tc>
      </w:tr>
      <w:tr w:rsidR="000D5AA0" w:rsidRPr="00E1092C" w14:paraId="27A87ADF" w14:textId="77777777" w:rsidTr="009C6996">
        <w:trPr>
          <w:tblCellSpacing w:w="20" w:type="dxa"/>
        </w:trPr>
        <w:tc>
          <w:tcPr>
            <w:tcW w:w="1636" w:type="dxa"/>
            <w:hideMark/>
          </w:tcPr>
          <w:p w14:paraId="0338CEAC" w14:textId="77777777" w:rsidR="000D5AA0" w:rsidRPr="00E1092C" w:rsidRDefault="000D5AA0" w:rsidP="009C6996">
            <w:pPr>
              <w:spacing w:before="100" w:beforeAutospacing="1" w:after="100" w:afterAutospacing="1" w:line="240" w:lineRule="auto"/>
              <w:contextualSpacing/>
              <w:rPr>
                <w:rFonts w:ascii="Times New Roman" w:hAnsi="Times New Roman" w:cs="Times New Roman"/>
                <w:iCs/>
                <w:sz w:val="24"/>
                <w:szCs w:val="24"/>
              </w:rPr>
            </w:pPr>
            <w:r w:rsidRPr="00E1092C">
              <w:rPr>
                <w:rFonts w:ascii="Times New Roman" w:hAnsi="Times New Roman" w:cs="Times New Roman"/>
                <w:iCs/>
                <w:sz w:val="24"/>
                <w:szCs w:val="24"/>
              </w:rPr>
              <w:t>1. Budžeta ieņēmumi</w:t>
            </w:r>
          </w:p>
        </w:tc>
        <w:tc>
          <w:tcPr>
            <w:tcW w:w="950" w:type="dxa"/>
            <w:hideMark/>
          </w:tcPr>
          <w:p w14:paraId="355D5AAD" w14:textId="3E0D6C22" w:rsidR="000D5AA0" w:rsidRPr="00E1092C" w:rsidRDefault="000D5AA0" w:rsidP="00936D48">
            <w:pPr>
              <w:spacing w:before="100" w:beforeAutospacing="1" w:after="100" w:afterAutospacing="1" w:line="240" w:lineRule="auto"/>
              <w:contextualSpacing/>
              <w:jc w:val="center"/>
              <w:rPr>
                <w:rFonts w:ascii="Times New Roman" w:hAnsi="Times New Roman" w:cs="Times New Roman"/>
                <w:sz w:val="24"/>
                <w:szCs w:val="24"/>
              </w:rPr>
            </w:pPr>
            <w:r w:rsidRPr="00E1092C">
              <w:rPr>
                <w:rFonts w:ascii="Times New Roman" w:hAnsi="Times New Roman" w:cs="Times New Roman"/>
                <w:iCs/>
                <w:sz w:val="24"/>
                <w:szCs w:val="24"/>
              </w:rPr>
              <w:t>70</w:t>
            </w:r>
            <w:r w:rsidR="00936D48">
              <w:rPr>
                <w:rFonts w:ascii="Times New Roman" w:hAnsi="Times New Roman" w:cs="Times New Roman"/>
                <w:iCs/>
                <w:sz w:val="24"/>
                <w:szCs w:val="24"/>
              </w:rPr>
              <w:t> </w:t>
            </w:r>
            <w:r w:rsidRPr="00E1092C">
              <w:rPr>
                <w:rFonts w:ascii="Times New Roman" w:hAnsi="Times New Roman" w:cs="Times New Roman"/>
                <w:iCs/>
                <w:sz w:val="24"/>
                <w:szCs w:val="24"/>
              </w:rPr>
              <w:t>890</w:t>
            </w:r>
          </w:p>
        </w:tc>
        <w:tc>
          <w:tcPr>
            <w:tcW w:w="955" w:type="dxa"/>
            <w:hideMark/>
          </w:tcPr>
          <w:p w14:paraId="596C6F8C" w14:textId="77777777" w:rsidR="000D5AA0" w:rsidRPr="00E1092C" w:rsidRDefault="007D7ABD"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955" w:type="dxa"/>
            <w:hideMark/>
          </w:tcPr>
          <w:p w14:paraId="30003064" w14:textId="23FA2161" w:rsidR="000D5AA0" w:rsidRPr="00E1092C" w:rsidRDefault="000D5AA0" w:rsidP="00936D48">
            <w:pPr>
              <w:spacing w:before="100" w:beforeAutospacing="1" w:after="100" w:afterAutospacing="1" w:line="240" w:lineRule="auto"/>
              <w:contextualSpacing/>
              <w:jc w:val="center"/>
              <w:rPr>
                <w:rFonts w:ascii="Times New Roman" w:hAnsi="Times New Roman" w:cs="Times New Roman"/>
                <w:sz w:val="24"/>
                <w:szCs w:val="24"/>
              </w:rPr>
            </w:pPr>
            <w:r w:rsidRPr="00E1092C">
              <w:rPr>
                <w:rFonts w:ascii="Times New Roman" w:hAnsi="Times New Roman" w:cs="Times New Roman"/>
                <w:iCs/>
                <w:sz w:val="24"/>
                <w:szCs w:val="24"/>
              </w:rPr>
              <w:t>70</w:t>
            </w:r>
            <w:r w:rsidR="00936D48">
              <w:rPr>
                <w:rFonts w:ascii="Times New Roman" w:hAnsi="Times New Roman" w:cs="Times New Roman"/>
                <w:iCs/>
                <w:sz w:val="24"/>
                <w:szCs w:val="24"/>
              </w:rPr>
              <w:t> </w:t>
            </w:r>
            <w:r w:rsidRPr="00E1092C">
              <w:rPr>
                <w:rFonts w:ascii="Times New Roman" w:hAnsi="Times New Roman" w:cs="Times New Roman"/>
                <w:iCs/>
                <w:sz w:val="24"/>
                <w:szCs w:val="24"/>
              </w:rPr>
              <w:t>890</w:t>
            </w:r>
          </w:p>
        </w:tc>
        <w:tc>
          <w:tcPr>
            <w:tcW w:w="1090" w:type="dxa"/>
            <w:hideMark/>
          </w:tcPr>
          <w:p w14:paraId="124D40B3" w14:textId="77777777" w:rsidR="000D5AA0" w:rsidRPr="00E1092C" w:rsidRDefault="00E42555" w:rsidP="009C6996">
            <w:pPr>
              <w:spacing w:before="100" w:beforeAutospacing="1" w:after="100" w:afterAutospacing="1" w:line="240" w:lineRule="auto"/>
              <w:contextualSpacing/>
              <w:jc w:val="center"/>
              <w:rPr>
                <w:rFonts w:ascii="Times New Roman" w:hAnsi="Times New Roman" w:cs="Times New Roman"/>
                <w:sz w:val="24"/>
                <w:szCs w:val="24"/>
              </w:rPr>
            </w:pPr>
            <w:r w:rsidRPr="00E1092C">
              <w:rPr>
                <w:rFonts w:ascii="Times New Roman" w:hAnsi="Times New Roman" w:cs="Times New Roman"/>
                <w:iCs/>
                <w:sz w:val="24"/>
                <w:szCs w:val="24"/>
              </w:rPr>
              <w:t>13 230</w:t>
            </w:r>
          </w:p>
        </w:tc>
        <w:tc>
          <w:tcPr>
            <w:tcW w:w="955" w:type="dxa"/>
            <w:hideMark/>
          </w:tcPr>
          <w:p w14:paraId="38B7DABC" w14:textId="4DDF5596" w:rsidR="000D5AA0" w:rsidRPr="00E1092C" w:rsidRDefault="000D5AA0" w:rsidP="00936D48">
            <w:pPr>
              <w:spacing w:before="100" w:beforeAutospacing="1" w:after="100" w:afterAutospacing="1" w:line="240" w:lineRule="auto"/>
              <w:contextualSpacing/>
              <w:jc w:val="center"/>
              <w:rPr>
                <w:rFonts w:ascii="Times New Roman" w:hAnsi="Times New Roman" w:cs="Times New Roman"/>
                <w:sz w:val="24"/>
                <w:szCs w:val="24"/>
              </w:rPr>
            </w:pPr>
            <w:r w:rsidRPr="00E1092C">
              <w:rPr>
                <w:rFonts w:ascii="Times New Roman" w:hAnsi="Times New Roman" w:cs="Times New Roman"/>
                <w:iCs/>
                <w:sz w:val="24"/>
                <w:szCs w:val="24"/>
              </w:rPr>
              <w:t>70</w:t>
            </w:r>
            <w:r w:rsidR="00936D48">
              <w:rPr>
                <w:rFonts w:ascii="Times New Roman" w:hAnsi="Times New Roman" w:cs="Times New Roman"/>
                <w:iCs/>
                <w:sz w:val="24"/>
                <w:szCs w:val="24"/>
              </w:rPr>
              <w:t> </w:t>
            </w:r>
            <w:r w:rsidRPr="00E1092C">
              <w:rPr>
                <w:rFonts w:ascii="Times New Roman" w:hAnsi="Times New Roman" w:cs="Times New Roman"/>
                <w:iCs/>
                <w:sz w:val="24"/>
                <w:szCs w:val="24"/>
              </w:rPr>
              <w:t>890</w:t>
            </w:r>
          </w:p>
        </w:tc>
        <w:tc>
          <w:tcPr>
            <w:tcW w:w="1118" w:type="dxa"/>
            <w:hideMark/>
          </w:tcPr>
          <w:p w14:paraId="004F319F" w14:textId="0BE3430C" w:rsidR="000D5AA0" w:rsidRPr="00E1092C" w:rsidRDefault="00DB4F26" w:rsidP="00936D48">
            <w:pPr>
              <w:spacing w:before="100" w:beforeAutospacing="1" w:after="100" w:afterAutospacing="1" w:line="240" w:lineRule="auto"/>
              <w:contextualSpacing/>
              <w:jc w:val="center"/>
              <w:rPr>
                <w:rFonts w:ascii="Times New Roman" w:hAnsi="Times New Roman" w:cs="Times New Roman"/>
                <w:sz w:val="24"/>
                <w:szCs w:val="24"/>
              </w:rPr>
            </w:pPr>
            <w:r w:rsidRPr="00E1092C">
              <w:rPr>
                <w:rFonts w:ascii="Times New Roman" w:hAnsi="Times New Roman" w:cs="Times New Roman"/>
                <w:iCs/>
                <w:sz w:val="24"/>
                <w:szCs w:val="24"/>
              </w:rPr>
              <w:t>58</w:t>
            </w:r>
            <w:r w:rsidR="00936D48">
              <w:rPr>
                <w:rFonts w:ascii="Times New Roman" w:hAnsi="Times New Roman" w:cs="Times New Roman"/>
                <w:iCs/>
                <w:sz w:val="24"/>
                <w:szCs w:val="24"/>
              </w:rPr>
              <w:t> </w:t>
            </w:r>
            <w:r w:rsidRPr="00E1092C">
              <w:rPr>
                <w:rFonts w:ascii="Times New Roman" w:hAnsi="Times New Roman" w:cs="Times New Roman"/>
                <w:iCs/>
                <w:sz w:val="24"/>
                <w:szCs w:val="24"/>
              </w:rPr>
              <w:t>910</w:t>
            </w:r>
          </w:p>
        </w:tc>
        <w:tc>
          <w:tcPr>
            <w:tcW w:w="1053" w:type="dxa"/>
            <w:hideMark/>
          </w:tcPr>
          <w:p w14:paraId="792F53A3" w14:textId="288FD7E3" w:rsidR="000D5AA0" w:rsidRPr="00E1092C" w:rsidRDefault="00DB4F26" w:rsidP="00936D48">
            <w:pPr>
              <w:spacing w:before="100" w:beforeAutospacing="1" w:after="100" w:afterAutospacing="1" w:line="240" w:lineRule="auto"/>
              <w:contextualSpacing/>
              <w:jc w:val="center"/>
              <w:rPr>
                <w:rFonts w:ascii="Times New Roman" w:hAnsi="Times New Roman" w:cs="Times New Roman"/>
                <w:sz w:val="24"/>
                <w:szCs w:val="24"/>
              </w:rPr>
            </w:pPr>
            <w:r w:rsidRPr="00E1092C">
              <w:rPr>
                <w:rFonts w:ascii="Times New Roman" w:hAnsi="Times New Roman" w:cs="Times New Roman"/>
                <w:iCs/>
                <w:sz w:val="24"/>
                <w:szCs w:val="24"/>
              </w:rPr>
              <w:t>58</w:t>
            </w:r>
            <w:r w:rsidR="00936D48">
              <w:rPr>
                <w:rFonts w:ascii="Times New Roman" w:hAnsi="Times New Roman" w:cs="Times New Roman"/>
                <w:iCs/>
                <w:sz w:val="24"/>
                <w:szCs w:val="24"/>
              </w:rPr>
              <w:t> </w:t>
            </w:r>
            <w:r w:rsidRPr="00E1092C">
              <w:rPr>
                <w:rFonts w:ascii="Times New Roman" w:hAnsi="Times New Roman" w:cs="Times New Roman"/>
                <w:iCs/>
                <w:sz w:val="24"/>
                <w:szCs w:val="24"/>
              </w:rPr>
              <w:t>910</w:t>
            </w:r>
          </w:p>
        </w:tc>
      </w:tr>
      <w:tr w:rsidR="000D5AA0" w:rsidRPr="00E1092C" w14:paraId="131AD283" w14:textId="77777777" w:rsidTr="009C6996">
        <w:trPr>
          <w:tblCellSpacing w:w="20" w:type="dxa"/>
        </w:trPr>
        <w:tc>
          <w:tcPr>
            <w:tcW w:w="1636" w:type="dxa"/>
            <w:hideMark/>
          </w:tcPr>
          <w:p w14:paraId="057E7908" w14:textId="77777777" w:rsidR="000D5AA0" w:rsidRPr="00E1092C" w:rsidRDefault="000D5AA0" w:rsidP="009C6996">
            <w:pPr>
              <w:spacing w:before="100" w:beforeAutospacing="1" w:after="100" w:afterAutospacing="1" w:line="240" w:lineRule="auto"/>
              <w:contextualSpacing/>
              <w:rPr>
                <w:rFonts w:ascii="Times New Roman" w:hAnsi="Times New Roman" w:cs="Times New Roman"/>
                <w:iCs/>
                <w:sz w:val="24"/>
                <w:szCs w:val="24"/>
              </w:rPr>
            </w:pPr>
            <w:r w:rsidRPr="00E1092C">
              <w:rPr>
                <w:rFonts w:ascii="Times New Roman" w:hAnsi="Times New Roman" w:cs="Times New Roman"/>
                <w:iCs/>
                <w:sz w:val="24"/>
                <w:szCs w:val="24"/>
              </w:rPr>
              <w:t>1.1. valsts pamatbudžet</w:t>
            </w:r>
            <w:r w:rsidR="00542651" w:rsidRPr="00E1092C">
              <w:rPr>
                <w:rFonts w:ascii="Times New Roman" w:hAnsi="Times New Roman" w:cs="Times New Roman"/>
                <w:iCs/>
                <w:sz w:val="24"/>
                <w:szCs w:val="24"/>
              </w:rPr>
              <w:t>s</w:t>
            </w:r>
            <w:r w:rsidRPr="00E1092C">
              <w:rPr>
                <w:rFonts w:ascii="Times New Roman" w:hAnsi="Times New Roman" w:cs="Times New Roman"/>
                <w:iCs/>
                <w:sz w:val="24"/>
                <w:szCs w:val="24"/>
              </w:rPr>
              <w:t xml:space="preserve">, </w:t>
            </w:r>
            <w:r w:rsidRPr="00E1092C">
              <w:rPr>
                <w:rFonts w:ascii="Times New Roman" w:hAnsi="Times New Roman" w:cs="Times New Roman"/>
                <w:iCs/>
                <w:sz w:val="24"/>
                <w:szCs w:val="24"/>
              </w:rPr>
              <w:lastRenderedPageBreak/>
              <w:t>tai skaitā ieņēmumi no maksas pakalpojumiem un citi pašu ieņēmumi</w:t>
            </w:r>
          </w:p>
        </w:tc>
        <w:tc>
          <w:tcPr>
            <w:tcW w:w="950" w:type="dxa"/>
            <w:hideMark/>
          </w:tcPr>
          <w:p w14:paraId="5FF5EE56" w14:textId="3159DF9B" w:rsidR="000D5AA0" w:rsidRPr="00E1092C" w:rsidRDefault="000D5AA0" w:rsidP="00936D48">
            <w:pPr>
              <w:spacing w:before="100" w:beforeAutospacing="1" w:after="100" w:afterAutospacing="1" w:line="240" w:lineRule="auto"/>
              <w:contextualSpacing/>
              <w:jc w:val="center"/>
              <w:rPr>
                <w:rFonts w:ascii="Times New Roman" w:hAnsi="Times New Roman" w:cs="Times New Roman"/>
                <w:sz w:val="24"/>
                <w:szCs w:val="24"/>
              </w:rPr>
            </w:pPr>
            <w:r w:rsidRPr="00E1092C">
              <w:rPr>
                <w:rFonts w:ascii="Times New Roman" w:hAnsi="Times New Roman" w:cs="Times New Roman"/>
                <w:iCs/>
                <w:sz w:val="24"/>
                <w:szCs w:val="24"/>
              </w:rPr>
              <w:lastRenderedPageBreak/>
              <w:t>70</w:t>
            </w:r>
            <w:r w:rsidR="00936D48">
              <w:rPr>
                <w:rFonts w:ascii="Times New Roman" w:hAnsi="Times New Roman" w:cs="Times New Roman"/>
                <w:iCs/>
                <w:sz w:val="24"/>
                <w:szCs w:val="24"/>
              </w:rPr>
              <w:t> </w:t>
            </w:r>
            <w:r w:rsidRPr="00E1092C">
              <w:rPr>
                <w:rFonts w:ascii="Times New Roman" w:hAnsi="Times New Roman" w:cs="Times New Roman"/>
                <w:iCs/>
                <w:sz w:val="24"/>
                <w:szCs w:val="24"/>
              </w:rPr>
              <w:t>890</w:t>
            </w:r>
          </w:p>
        </w:tc>
        <w:tc>
          <w:tcPr>
            <w:tcW w:w="955" w:type="dxa"/>
            <w:hideMark/>
          </w:tcPr>
          <w:p w14:paraId="78C54F8D" w14:textId="77777777" w:rsidR="000D5AA0" w:rsidRPr="00E1092C" w:rsidRDefault="007D7ABD"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955" w:type="dxa"/>
            <w:hideMark/>
          </w:tcPr>
          <w:p w14:paraId="4489CD28" w14:textId="5FE4035D" w:rsidR="000D5AA0" w:rsidRPr="00E1092C" w:rsidRDefault="000D5AA0" w:rsidP="00936D48">
            <w:pPr>
              <w:spacing w:before="100" w:beforeAutospacing="1" w:after="100" w:afterAutospacing="1" w:line="240" w:lineRule="auto"/>
              <w:contextualSpacing/>
              <w:jc w:val="center"/>
              <w:rPr>
                <w:rFonts w:ascii="Times New Roman" w:hAnsi="Times New Roman" w:cs="Times New Roman"/>
                <w:sz w:val="24"/>
                <w:szCs w:val="24"/>
              </w:rPr>
            </w:pPr>
            <w:r w:rsidRPr="00E1092C">
              <w:rPr>
                <w:rFonts w:ascii="Times New Roman" w:hAnsi="Times New Roman" w:cs="Times New Roman"/>
                <w:iCs/>
                <w:sz w:val="24"/>
                <w:szCs w:val="24"/>
              </w:rPr>
              <w:t>70</w:t>
            </w:r>
            <w:r w:rsidR="00936D48">
              <w:rPr>
                <w:rFonts w:ascii="Times New Roman" w:hAnsi="Times New Roman" w:cs="Times New Roman"/>
                <w:iCs/>
                <w:sz w:val="24"/>
                <w:szCs w:val="24"/>
              </w:rPr>
              <w:t> </w:t>
            </w:r>
            <w:r w:rsidRPr="00E1092C">
              <w:rPr>
                <w:rFonts w:ascii="Times New Roman" w:hAnsi="Times New Roman" w:cs="Times New Roman"/>
                <w:iCs/>
                <w:sz w:val="24"/>
                <w:szCs w:val="24"/>
              </w:rPr>
              <w:t>890</w:t>
            </w:r>
          </w:p>
        </w:tc>
        <w:tc>
          <w:tcPr>
            <w:tcW w:w="1090" w:type="dxa"/>
            <w:hideMark/>
          </w:tcPr>
          <w:p w14:paraId="759057F6" w14:textId="77777777" w:rsidR="000D5AA0" w:rsidRPr="00E1092C" w:rsidRDefault="00E42555" w:rsidP="009C6996">
            <w:pPr>
              <w:spacing w:before="100" w:beforeAutospacing="1" w:after="100" w:afterAutospacing="1" w:line="240" w:lineRule="auto"/>
              <w:contextualSpacing/>
              <w:jc w:val="center"/>
              <w:rPr>
                <w:rFonts w:ascii="Times New Roman" w:hAnsi="Times New Roman" w:cs="Times New Roman"/>
                <w:sz w:val="24"/>
                <w:szCs w:val="24"/>
              </w:rPr>
            </w:pPr>
            <w:r w:rsidRPr="00E1092C">
              <w:rPr>
                <w:rFonts w:ascii="Times New Roman" w:hAnsi="Times New Roman" w:cs="Times New Roman"/>
                <w:iCs/>
                <w:sz w:val="24"/>
                <w:szCs w:val="24"/>
              </w:rPr>
              <w:t>13 230</w:t>
            </w:r>
          </w:p>
        </w:tc>
        <w:tc>
          <w:tcPr>
            <w:tcW w:w="955" w:type="dxa"/>
            <w:hideMark/>
          </w:tcPr>
          <w:p w14:paraId="3D8B6FCE" w14:textId="4962009E" w:rsidR="000D5AA0" w:rsidRPr="00E1092C" w:rsidRDefault="000D5AA0" w:rsidP="00936D48">
            <w:pPr>
              <w:spacing w:before="100" w:beforeAutospacing="1" w:after="100" w:afterAutospacing="1" w:line="240" w:lineRule="auto"/>
              <w:contextualSpacing/>
              <w:jc w:val="center"/>
              <w:rPr>
                <w:rFonts w:ascii="Times New Roman" w:hAnsi="Times New Roman" w:cs="Times New Roman"/>
                <w:sz w:val="24"/>
                <w:szCs w:val="24"/>
              </w:rPr>
            </w:pPr>
            <w:r w:rsidRPr="00E1092C">
              <w:rPr>
                <w:rFonts w:ascii="Times New Roman" w:hAnsi="Times New Roman" w:cs="Times New Roman"/>
                <w:iCs/>
                <w:sz w:val="24"/>
                <w:szCs w:val="24"/>
              </w:rPr>
              <w:t>70</w:t>
            </w:r>
            <w:r w:rsidR="00936D48">
              <w:rPr>
                <w:rFonts w:ascii="Times New Roman" w:hAnsi="Times New Roman" w:cs="Times New Roman"/>
                <w:iCs/>
                <w:sz w:val="24"/>
                <w:szCs w:val="24"/>
              </w:rPr>
              <w:t> </w:t>
            </w:r>
            <w:r w:rsidRPr="00E1092C">
              <w:rPr>
                <w:rFonts w:ascii="Times New Roman" w:hAnsi="Times New Roman" w:cs="Times New Roman"/>
                <w:iCs/>
                <w:sz w:val="24"/>
                <w:szCs w:val="24"/>
              </w:rPr>
              <w:t>890</w:t>
            </w:r>
          </w:p>
        </w:tc>
        <w:tc>
          <w:tcPr>
            <w:tcW w:w="1118" w:type="dxa"/>
            <w:hideMark/>
          </w:tcPr>
          <w:p w14:paraId="294CF9FE" w14:textId="4FBE9493" w:rsidR="000D5AA0" w:rsidRPr="00E1092C" w:rsidRDefault="00DB4F26" w:rsidP="00936D48">
            <w:pPr>
              <w:spacing w:before="100" w:beforeAutospacing="1" w:after="100" w:afterAutospacing="1" w:line="240" w:lineRule="auto"/>
              <w:contextualSpacing/>
              <w:jc w:val="center"/>
              <w:rPr>
                <w:rFonts w:ascii="Times New Roman" w:hAnsi="Times New Roman" w:cs="Times New Roman"/>
                <w:sz w:val="24"/>
                <w:szCs w:val="24"/>
              </w:rPr>
            </w:pPr>
            <w:r w:rsidRPr="00E1092C">
              <w:rPr>
                <w:rFonts w:ascii="Times New Roman" w:hAnsi="Times New Roman" w:cs="Times New Roman"/>
                <w:iCs/>
                <w:sz w:val="24"/>
                <w:szCs w:val="24"/>
              </w:rPr>
              <w:t>58</w:t>
            </w:r>
            <w:r w:rsidR="00936D48">
              <w:rPr>
                <w:rFonts w:ascii="Times New Roman" w:hAnsi="Times New Roman" w:cs="Times New Roman"/>
                <w:iCs/>
                <w:sz w:val="24"/>
                <w:szCs w:val="24"/>
              </w:rPr>
              <w:t> </w:t>
            </w:r>
            <w:r w:rsidRPr="00E1092C">
              <w:rPr>
                <w:rFonts w:ascii="Times New Roman" w:hAnsi="Times New Roman" w:cs="Times New Roman"/>
                <w:iCs/>
                <w:sz w:val="24"/>
                <w:szCs w:val="24"/>
              </w:rPr>
              <w:t>910</w:t>
            </w:r>
          </w:p>
        </w:tc>
        <w:tc>
          <w:tcPr>
            <w:tcW w:w="1053" w:type="dxa"/>
            <w:hideMark/>
          </w:tcPr>
          <w:p w14:paraId="091F5C0B" w14:textId="5D56A9CF" w:rsidR="000D5AA0" w:rsidRPr="00E1092C" w:rsidRDefault="00DB4F26" w:rsidP="00936D48">
            <w:pPr>
              <w:spacing w:before="100" w:beforeAutospacing="1" w:after="100" w:afterAutospacing="1" w:line="240" w:lineRule="auto"/>
              <w:contextualSpacing/>
              <w:jc w:val="center"/>
              <w:rPr>
                <w:rFonts w:ascii="Times New Roman" w:hAnsi="Times New Roman" w:cs="Times New Roman"/>
                <w:sz w:val="24"/>
                <w:szCs w:val="24"/>
              </w:rPr>
            </w:pPr>
            <w:r w:rsidRPr="00E1092C">
              <w:rPr>
                <w:rFonts w:ascii="Times New Roman" w:hAnsi="Times New Roman" w:cs="Times New Roman"/>
                <w:iCs/>
                <w:sz w:val="24"/>
                <w:szCs w:val="24"/>
              </w:rPr>
              <w:t>58</w:t>
            </w:r>
            <w:r w:rsidR="00936D48">
              <w:rPr>
                <w:rFonts w:ascii="Times New Roman" w:hAnsi="Times New Roman" w:cs="Times New Roman"/>
                <w:iCs/>
                <w:sz w:val="24"/>
                <w:szCs w:val="24"/>
              </w:rPr>
              <w:t> </w:t>
            </w:r>
            <w:r w:rsidRPr="00E1092C">
              <w:rPr>
                <w:rFonts w:ascii="Times New Roman" w:hAnsi="Times New Roman" w:cs="Times New Roman"/>
                <w:iCs/>
                <w:sz w:val="24"/>
                <w:szCs w:val="24"/>
              </w:rPr>
              <w:t>910</w:t>
            </w:r>
          </w:p>
        </w:tc>
      </w:tr>
      <w:tr w:rsidR="000D5AA0" w:rsidRPr="00E1092C" w14:paraId="4ECE5338" w14:textId="77777777" w:rsidTr="009C6996">
        <w:trPr>
          <w:tblCellSpacing w:w="20" w:type="dxa"/>
        </w:trPr>
        <w:tc>
          <w:tcPr>
            <w:tcW w:w="1636" w:type="dxa"/>
            <w:hideMark/>
          </w:tcPr>
          <w:p w14:paraId="070AAE21" w14:textId="77777777" w:rsidR="000D5AA0" w:rsidRPr="00E1092C" w:rsidRDefault="000D5AA0" w:rsidP="009C6996">
            <w:pPr>
              <w:spacing w:before="100" w:beforeAutospacing="1" w:after="100" w:afterAutospacing="1" w:line="240" w:lineRule="auto"/>
              <w:contextualSpacing/>
              <w:rPr>
                <w:rFonts w:ascii="Times New Roman" w:hAnsi="Times New Roman" w:cs="Times New Roman"/>
                <w:iCs/>
                <w:sz w:val="24"/>
                <w:szCs w:val="24"/>
              </w:rPr>
            </w:pPr>
            <w:r w:rsidRPr="00E1092C">
              <w:rPr>
                <w:rFonts w:ascii="Times New Roman" w:hAnsi="Times New Roman" w:cs="Times New Roman"/>
                <w:iCs/>
                <w:sz w:val="24"/>
                <w:szCs w:val="24"/>
              </w:rPr>
              <w:t>1.2. valsts speciālais budžets</w:t>
            </w:r>
          </w:p>
        </w:tc>
        <w:tc>
          <w:tcPr>
            <w:tcW w:w="950" w:type="dxa"/>
            <w:hideMark/>
          </w:tcPr>
          <w:p w14:paraId="3FC6E6DA" w14:textId="77777777" w:rsidR="000D5AA0" w:rsidRPr="00E1092C" w:rsidRDefault="000D5AA0"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955" w:type="dxa"/>
            <w:hideMark/>
          </w:tcPr>
          <w:p w14:paraId="4C93223F" w14:textId="77777777" w:rsidR="000D5AA0" w:rsidRPr="00E1092C" w:rsidRDefault="000D5AA0"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955" w:type="dxa"/>
            <w:hideMark/>
          </w:tcPr>
          <w:p w14:paraId="439597B0" w14:textId="77777777" w:rsidR="000D5AA0" w:rsidRPr="00E1092C" w:rsidRDefault="000D5AA0"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1090" w:type="dxa"/>
            <w:hideMark/>
          </w:tcPr>
          <w:p w14:paraId="5CE91BBE" w14:textId="77777777" w:rsidR="000D5AA0" w:rsidRPr="00E1092C" w:rsidRDefault="000D5AA0"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955" w:type="dxa"/>
            <w:hideMark/>
          </w:tcPr>
          <w:p w14:paraId="75DA3BEF" w14:textId="77777777" w:rsidR="000D5AA0" w:rsidRPr="00E1092C" w:rsidRDefault="000D5AA0"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1118" w:type="dxa"/>
            <w:hideMark/>
          </w:tcPr>
          <w:p w14:paraId="503A3FF3" w14:textId="77777777" w:rsidR="000D5AA0" w:rsidRPr="00E1092C" w:rsidRDefault="000D5AA0"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1053" w:type="dxa"/>
            <w:hideMark/>
          </w:tcPr>
          <w:p w14:paraId="65B43E7E" w14:textId="77777777" w:rsidR="000D5AA0" w:rsidRPr="00E1092C" w:rsidRDefault="000D5AA0"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r>
      <w:tr w:rsidR="000D5AA0" w:rsidRPr="00E1092C" w14:paraId="144EF8CC" w14:textId="77777777" w:rsidTr="009C6996">
        <w:trPr>
          <w:tblCellSpacing w:w="20" w:type="dxa"/>
        </w:trPr>
        <w:tc>
          <w:tcPr>
            <w:tcW w:w="1636" w:type="dxa"/>
            <w:hideMark/>
          </w:tcPr>
          <w:p w14:paraId="5C5B7750" w14:textId="77777777" w:rsidR="000D5AA0" w:rsidRPr="00E1092C" w:rsidRDefault="000D5AA0" w:rsidP="009C6996">
            <w:pPr>
              <w:spacing w:before="100" w:beforeAutospacing="1" w:after="100" w:afterAutospacing="1" w:line="240" w:lineRule="auto"/>
              <w:contextualSpacing/>
              <w:rPr>
                <w:rFonts w:ascii="Times New Roman" w:hAnsi="Times New Roman" w:cs="Times New Roman"/>
                <w:iCs/>
                <w:sz w:val="24"/>
                <w:szCs w:val="24"/>
              </w:rPr>
            </w:pPr>
            <w:r w:rsidRPr="00E1092C">
              <w:rPr>
                <w:rFonts w:ascii="Times New Roman" w:hAnsi="Times New Roman" w:cs="Times New Roman"/>
                <w:iCs/>
                <w:sz w:val="24"/>
                <w:szCs w:val="24"/>
              </w:rPr>
              <w:t>1.3. pašvaldību budžets</w:t>
            </w:r>
          </w:p>
        </w:tc>
        <w:tc>
          <w:tcPr>
            <w:tcW w:w="950" w:type="dxa"/>
            <w:hideMark/>
          </w:tcPr>
          <w:p w14:paraId="3BFD2E73" w14:textId="77777777" w:rsidR="000D5AA0" w:rsidRPr="00E1092C" w:rsidRDefault="000D5AA0"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955" w:type="dxa"/>
            <w:hideMark/>
          </w:tcPr>
          <w:p w14:paraId="7AEBCB50" w14:textId="77777777" w:rsidR="000D5AA0" w:rsidRPr="00E1092C" w:rsidRDefault="000D5AA0"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955" w:type="dxa"/>
            <w:hideMark/>
          </w:tcPr>
          <w:p w14:paraId="42E3BE96" w14:textId="77777777" w:rsidR="000D5AA0" w:rsidRPr="00E1092C" w:rsidRDefault="000D5AA0"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1090" w:type="dxa"/>
            <w:hideMark/>
          </w:tcPr>
          <w:p w14:paraId="36136A84" w14:textId="77777777" w:rsidR="000D5AA0" w:rsidRPr="00E1092C" w:rsidRDefault="000D5AA0"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955" w:type="dxa"/>
            <w:hideMark/>
          </w:tcPr>
          <w:p w14:paraId="21EA249E" w14:textId="77777777" w:rsidR="000D5AA0" w:rsidRPr="00E1092C" w:rsidRDefault="000D5AA0"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1118" w:type="dxa"/>
            <w:hideMark/>
          </w:tcPr>
          <w:p w14:paraId="2E8B92FF" w14:textId="77777777" w:rsidR="000D5AA0" w:rsidRPr="00E1092C" w:rsidRDefault="000D5AA0"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1053" w:type="dxa"/>
            <w:hideMark/>
          </w:tcPr>
          <w:p w14:paraId="3B93130F" w14:textId="77777777" w:rsidR="000D5AA0" w:rsidRPr="00E1092C" w:rsidRDefault="000D5AA0"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r>
      <w:tr w:rsidR="000D5AA0" w:rsidRPr="00E1092C" w14:paraId="33AF8945" w14:textId="77777777" w:rsidTr="009C6996">
        <w:trPr>
          <w:tblCellSpacing w:w="20" w:type="dxa"/>
        </w:trPr>
        <w:tc>
          <w:tcPr>
            <w:tcW w:w="1636" w:type="dxa"/>
            <w:hideMark/>
          </w:tcPr>
          <w:p w14:paraId="34AB757D" w14:textId="77777777" w:rsidR="000D5AA0" w:rsidRPr="00E1092C" w:rsidRDefault="000D5AA0" w:rsidP="009C6996">
            <w:pPr>
              <w:spacing w:before="100" w:beforeAutospacing="1" w:after="100" w:afterAutospacing="1" w:line="240" w:lineRule="auto"/>
              <w:contextualSpacing/>
              <w:rPr>
                <w:rFonts w:ascii="Times New Roman" w:hAnsi="Times New Roman" w:cs="Times New Roman"/>
                <w:iCs/>
                <w:sz w:val="24"/>
                <w:szCs w:val="24"/>
              </w:rPr>
            </w:pPr>
            <w:r w:rsidRPr="00E1092C">
              <w:rPr>
                <w:rFonts w:ascii="Times New Roman" w:hAnsi="Times New Roman" w:cs="Times New Roman"/>
                <w:iCs/>
                <w:sz w:val="24"/>
                <w:szCs w:val="24"/>
              </w:rPr>
              <w:t>2. Budžeta izdevumi</w:t>
            </w:r>
          </w:p>
        </w:tc>
        <w:tc>
          <w:tcPr>
            <w:tcW w:w="950" w:type="dxa"/>
            <w:hideMark/>
          </w:tcPr>
          <w:p w14:paraId="30C70BE9" w14:textId="60BD654E" w:rsidR="000D5AA0" w:rsidRPr="00E1092C" w:rsidRDefault="000D5AA0" w:rsidP="00936D48">
            <w:pPr>
              <w:spacing w:before="100" w:beforeAutospacing="1" w:after="100" w:afterAutospacing="1" w:line="240" w:lineRule="auto"/>
              <w:contextualSpacing/>
              <w:jc w:val="center"/>
              <w:rPr>
                <w:rFonts w:ascii="Times New Roman" w:hAnsi="Times New Roman" w:cs="Times New Roman"/>
                <w:sz w:val="24"/>
                <w:szCs w:val="24"/>
              </w:rPr>
            </w:pPr>
            <w:r w:rsidRPr="00E1092C">
              <w:rPr>
                <w:rFonts w:ascii="Times New Roman" w:hAnsi="Times New Roman" w:cs="Times New Roman"/>
                <w:iCs/>
                <w:sz w:val="24"/>
                <w:szCs w:val="24"/>
              </w:rPr>
              <w:t>70</w:t>
            </w:r>
            <w:r w:rsidR="00936D48">
              <w:rPr>
                <w:rFonts w:ascii="Times New Roman" w:hAnsi="Times New Roman" w:cs="Times New Roman"/>
                <w:iCs/>
                <w:sz w:val="24"/>
                <w:szCs w:val="24"/>
              </w:rPr>
              <w:t> </w:t>
            </w:r>
            <w:r w:rsidRPr="00E1092C">
              <w:rPr>
                <w:rFonts w:ascii="Times New Roman" w:hAnsi="Times New Roman" w:cs="Times New Roman"/>
                <w:iCs/>
                <w:sz w:val="24"/>
                <w:szCs w:val="24"/>
              </w:rPr>
              <w:t>890</w:t>
            </w:r>
          </w:p>
        </w:tc>
        <w:tc>
          <w:tcPr>
            <w:tcW w:w="955" w:type="dxa"/>
            <w:hideMark/>
          </w:tcPr>
          <w:p w14:paraId="5F20B8C4" w14:textId="77777777" w:rsidR="000D5AA0" w:rsidRPr="00E1092C" w:rsidRDefault="007D7ABD"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955" w:type="dxa"/>
            <w:hideMark/>
          </w:tcPr>
          <w:p w14:paraId="055D3037" w14:textId="5CE44BE2" w:rsidR="000D5AA0" w:rsidRPr="00E1092C" w:rsidRDefault="000D5AA0" w:rsidP="00936D48">
            <w:pPr>
              <w:spacing w:before="100" w:beforeAutospacing="1" w:after="100" w:afterAutospacing="1" w:line="240" w:lineRule="auto"/>
              <w:contextualSpacing/>
              <w:jc w:val="center"/>
              <w:rPr>
                <w:rFonts w:ascii="Times New Roman" w:hAnsi="Times New Roman" w:cs="Times New Roman"/>
                <w:sz w:val="24"/>
                <w:szCs w:val="24"/>
              </w:rPr>
            </w:pPr>
            <w:r w:rsidRPr="00E1092C">
              <w:rPr>
                <w:rFonts w:ascii="Times New Roman" w:hAnsi="Times New Roman" w:cs="Times New Roman"/>
                <w:iCs/>
                <w:sz w:val="24"/>
                <w:szCs w:val="24"/>
              </w:rPr>
              <w:t>70</w:t>
            </w:r>
            <w:r w:rsidR="00936D48">
              <w:rPr>
                <w:rFonts w:ascii="Times New Roman" w:hAnsi="Times New Roman" w:cs="Times New Roman"/>
                <w:iCs/>
                <w:sz w:val="24"/>
                <w:szCs w:val="24"/>
              </w:rPr>
              <w:t> </w:t>
            </w:r>
            <w:r w:rsidRPr="00E1092C">
              <w:rPr>
                <w:rFonts w:ascii="Times New Roman" w:hAnsi="Times New Roman" w:cs="Times New Roman"/>
                <w:iCs/>
                <w:sz w:val="24"/>
                <w:szCs w:val="24"/>
              </w:rPr>
              <w:t>890</w:t>
            </w:r>
          </w:p>
        </w:tc>
        <w:tc>
          <w:tcPr>
            <w:tcW w:w="1090" w:type="dxa"/>
            <w:hideMark/>
          </w:tcPr>
          <w:p w14:paraId="630F6EDE" w14:textId="2907343A" w:rsidR="000D5AA0" w:rsidRPr="00E1092C" w:rsidRDefault="009D4058" w:rsidP="009C6996">
            <w:pPr>
              <w:spacing w:before="100" w:beforeAutospacing="1" w:after="100" w:afterAutospacing="1" w:line="240" w:lineRule="auto"/>
              <w:contextualSpacing/>
              <w:jc w:val="center"/>
              <w:rPr>
                <w:rFonts w:ascii="Times New Roman" w:hAnsi="Times New Roman" w:cs="Times New Roman"/>
                <w:sz w:val="24"/>
                <w:szCs w:val="24"/>
              </w:rPr>
            </w:pPr>
            <w:r w:rsidRPr="00E1092C">
              <w:rPr>
                <w:rFonts w:ascii="Times New Roman" w:hAnsi="Times New Roman" w:cs="Times New Roman"/>
                <w:iCs/>
                <w:sz w:val="24"/>
                <w:szCs w:val="24"/>
              </w:rPr>
              <w:t>95 673</w:t>
            </w:r>
          </w:p>
        </w:tc>
        <w:tc>
          <w:tcPr>
            <w:tcW w:w="955" w:type="dxa"/>
            <w:hideMark/>
          </w:tcPr>
          <w:p w14:paraId="621D2006" w14:textId="3D40022E" w:rsidR="000D5AA0" w:rsidRPr="00E1092C" w:rsidRDefault="000D5AA0" w:rsidP="00936D48">
            <w:pPr>
              <w:spacing w:before="100" w:beforeAutospacing="1" w:after="100" w:afterAutospacing="1" w:line="240" w:lineRule="auto"/>
              <w:contextualSpacing/>
              <w:jc w:val="center"/>
              <w:rPr>
                <w:rFonts w:ascii="Times New Roman" w:hAnsi="Times New Roman" w:cs="Times New Roman"/>
                <w:sz w:val="24"/>
                <w:szCs w:val="24"/>
              </w:rPr>
            </w:pPr>
            <w:r w:rsidRPr="00E1092C">
              <w:rPr>
                <w:rFonts w:ascii="Times New Roman" w:hAnsi="Times New Roman" w:cs="Times New Roman"/>
                <w:iCs/>
                <w:sz w:val="24"/>
                <w:szCs w:val="24"/>
              </w:rPr>
              <w:t>70</w:t>
            </w:r>
            <w:r w:rsidR="00936D48">
              <w:rPr>
                <w:rFonts w:ascii="Times New Roman" w:hAnsi="Times New Roman" w:cs="Times New Roman"/>
                <w:iCs/>
                <w:sz w:val="24"/>
                <w:szCs w:val="24"/>
              </w:rPr>
              <w:t> </w:t>
            </w:r>
            <w:r w:rsidRPr="00E1092C">
              <w:rPr>
                <w:rFonts w:ascii="Times New Roman" w:hAnsi="Times New Roman" w:cs="Times New Roman"/>
                <w:iCs/>
                <w:sz w:val="24"/>
                <w:szCs w:val="24"/>
              </w:rPr>
              <w:t>890</w:t>
            </w:r>
          </w:p>
        </w:tc>
        <w:tc>
          <w:tcPr>
            <w:tcW w:w="1118" w:type="dxa"/>
            <w:hideMark/>
          </w:tcPr>
          <w:p w14:paraId="12627D2B" w14:textId="5BA079D3" w:rsidR="000D5AA0" w:rsidRPr="00E1092C" w:rsidRDefault="00DB4F26" w:rsidP="009C6996">
            <w:pPr>
              <w:spacing w:before="100" w:beforeAutospacing="1" w:after="100" w:afterAutospacing="1" w:line="240" w:lineRule="auto"/>
              <w:contextualSpacing/>
              <w:jc w:val="center"/>
              <w:rPr>
                <w:rFonts w:ascii="Times New Roman" w:hAnsi="Times New Roman" w:cs="Times New Roman"/>
                <w:sz w:val="24"/>
                <w:szCs w:val="24"/>
              </w:rPr>
            </w:pPr>
            <w:r w:rsidRPr="00E1092C">
              <w:rPr>
                <w:rFonts w:ascii="Times New Roman" w:hAnsi="Times New Roman" w:cs="Times New Roman"/>
                <w:iCs/>
                <w:sz w:val="24"/>
                <w:szCs w:val="24"/>
              </w:rPr>
              <w:t>58</w:t>
            </w:r>
            <w:r w:rsidR="00936D48">
              <w:rPr>
                <w:rFonts w:ascii="Times New Roman" w:hAnsi="Times New Roman" w:cs="Times New Roman"/>
                <w:iCs/>
                <w:sz w:val="24"/>
                <w:szCs w:val="24"/>
              </w:rPr>
              <w:t> </w:t>
            </w:r>
            <w:r w:rsidRPr="00E1092C">
              <w:rPr>
                <w:rFonts w:ascii="Times New Roman" w:hAnsi="Times New Roman" w:cs="Times New Roman"/>
                <w:iCs/>
                <w:sz w:val="24"/>
                <w:szCs w:val="24"/>
              </w:rPr>
              <w:t>910</w:t>
            </w:r>
          </w:p>
        </w:tc>
        <w:tc>
          <w:tcPr>
            <w:tcW w:w="1053" w:type="dxa"/>
            <w:hideMark/>
          </w:tcPr>
          <w:p w14:paraId="67689F2E" w14:textId="366E68B2" w:rsidR="000D5AA0" w:rsidRPr="00E1092C" w:rsidRDefault="00DB4F26" w:rsidP="009C6996">
            <w:pPr>
              <w:spacing w:before="100" w:beforeAutospacing="1" w:after="100" w:afterAutospacing="1" w:line="240" w:lineRule="auto"/>
              <w:contextualSpacing/>
              <w:jc w:val="center"/>
              <w:rPr>
                <w:rFonts w:ascii="Times New Roman" w:hAnsi="Times New Roman" w:cs="Times New Roman"/>
                <w:sz w:val="24"/>
                <w:szCs w:val="24"/>
              </w:rPr>
            </w:pPr>
            <w:r w:rsidRPr="00E1092C">
              <w:rPr>
                <w:rFonts w:ascii="Times New Roman" w:hAnsi="Times New Roman" w:cs="Times New Roman"/>
                <w:iCs/>
                <w:sz w:val="24"/>
                <w:szCs w:val="24"/>
              </w:rPr>
              <w:t>58</w:t>
            </w:r>
            <w:r w:rsidR="00936D48">
              <w:rPr>
                <w:rFonts w:ascii="Times New Roman" w:hAnsi="Times New Roman" w:cs="Times New Roman"/>
                <w:iCs/>
                <w:sz w:val="24"/>
                <w:szCs w:val="24"/>
              </w:rPr>
              <w:t> </w:t>
            </w:r>
            <w:r w:rsidRPr="00E1092C">
              <w:rPr>
                <w:rFonts w:ascii="Times New Roman" w:hAnsi="Times New Roman" w:cs="Times New Roman"/>
                <w:iCs/>
                <w:sz w:val="24"/>
                <w:szCs w:val="24"/>
              </w:rPr>
              <w:t>910</w:t>
            </w:r>
          </w:p>
        </w:tc>
      </w:tr>
      <w:tr w:rsidR="000D5AA0" w:rsidRPr="00E1092C" w14:paraId="2CFA9EF5" w14:textId="77777777" w:rsidTr="009C6996">
        <w:trPr>
          <w:tblCellSpacing w:w="20" w:type="dxa"/>
        </w:trPr>
        <w:tc>
          <w:tcPr>
            <w:tcW w:w="1636" w:type="dxa"/>
            <w:hideMark/>
          </w:tcPr>
          <w:p w14:paraId="7031E292" w14:textId="77777777" w:rsidR="000D5AA0" w:rsidRPr="00E1092C" w:rsidRDefault="000D5AA0" w:rsidP="009C6996">
            <w:pPr>
              <w:spacing w:before="100" w:beforeAutospacing="1" w:after="100" w:afterAutospacing="1" w:line="240" w:lineRule="auto"/>
              <w:contextualSpacing/>
              <w:rPr>
                <w:rFonts w:ascii="Times New Roman" w:hAnsi="Times New Roman" w:cs="Times New Roman"/>
                <w:iCs/>
                <w:sz w:val="24"/>
                <w:szCs w:val="24"/>
              </w:rPr>
            </w:pPr>
            <w:r w:rsidRPr="00E1092C">
              <w:rPr>
                <w:rFonts w:ascii="Times New Roman" w:hAnsi="Times New Roman" w:cs="Times New Roman"/>
                <w:iCs/>
                <w:sz w:val="24"/>
                <w:szCs w:val="24"/>
              </w:rPr>
              <w:t>2.1. valsts pamatbudžets</w:t>
            </w:r>
          </w:p>
        </w:tc>
        <w:tc>
          <w:tcPr>
            <w:tcW w:w="950" w:type="dxa"/>
            <w:hideMark/>
          </w:tcPr>
          <w:p w14:paraId="44CDF852" w14:textId="44B354B9" w:rsidR="000D5AA0" w:rsidRPr="00E1092C" w:rsidRDefault="000D5AA0" w:rsidP="00936D48">
            <w:pPr>
              <w:spacing w:before="100" w:beforeAutospacing="1" w:after="100" w:afterAutospacing="1" w:line="240" w:lineRule="auto"/>
              <w:contextualSpacing/>
              <w:jc w:val="center"/>
              <w:rPr>
                <w:rFonts w:ascii="Times New Roman" w:hAnsi="Times New Roman" w:cs="Times New Roman"/>
                <w:sz w:val="24"/>
                <w:szCs w:val="24"/>
              </w:rPr>
            </w:pPr>
            <w:r w:rsidRPr="00E1092C">
              <w:rPr>
                <w:rFonts w:ascii="Times New Roman" w:hAnsi="Times New Roman" w:cs="Times New Roman"/>
                <w:iCs/>
                <w:sz w:val="24"/>
                <w:szCs w:val="24"/>
              </w:rPr>
              <w:t>70</w:t>
            </w:r>
            <w:r w:rsidR="00936D48">
              <w:rPr>
                <w:rFonts w:ascii="Times New Roman" w:hAnsi="Times New Roman" w:cs="Times New Roman"/>
                <w:iCs/>
                <w:sz w:val="24"/>
                <w:szCs w:val="24"/>
              </w:rPr>
              <w:t> </w:t>
            </w:r>
            <w:r w:rsidRPr="00E1092C">
              <w:rPr>
                <w:rFonts w:ascii="Times New Roman" w:hAnsi="Times New Roman" w:cs="Times New Roman"/>
                <w:iCs/>
                <w:sz w:val="24"/>
                <w:szCs w:val="24"/>
              </w:rPr>
              <w:t>890</w:t>
            </w:r>
          </w:p>
        </w:tc>
        <w:tc>
          <w:tcPr>
            <w:tcW w:w="955" w:type="dxa"/>
            <w:hideMark/>
          </w:tcPr>
          <w:p w14:paraId="2CBC303E" w14:textId="77777777" w:rsidR="000D5AA0" w:rsidRPr="00E1092C" w:rsidRDefault="007D7ABD"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955" w:type="dxa"/>
            <w:hideMark/>
          </w:tcPr>
          <w:p w14:paraId="4A9374D1" w14:textId="2EC611CD" w:rsidR="000D5AA0" w:rsidRPr="00E1092C" w:rsidRDefault="000D5AA0" w:rsidP="00936D48">
            <w:pPr>
              <w:spacing w:before="100" w:beforeAutospacing="1" w:after="100" w:afterAutospacing="1" w:line="240" w:lineRule="auto"/>
              <w:contextualSpacing/>
              <w:jc w:val="center"/>
              <w:rPr>
                <w:rFonts w:ascii="Times New Roman" w:hAnsi="Times New Roman" w:cs="Times New Roman"/>
                <w:sz w:val="24"/>
                <w:szCs w:val="24"/>
              </w:rPr>
            </w:pPr>
            <w:r w:rsidRPr="00E1092C">
              <w:rPr>
                <w:rFonts w:ascii="Times New Roman" w:hAnsi="Times New Roman" w:cs="Times New Roman"/>
                <w:iCs/>
                <w:sz w:val="24"/>
                <w:szCs w:val="24"/>
              </w:rPr>
              <w:t>70</w:t>
            </w:r>
            <w:r w:rsidR="00936D48">
              <w:rPr>
                <w:rFonts w:ascii="Times New Roman" w:hAnsi="Times New Roman" w:cs="Times New Roman"/>
                <w:iCs/>
                <w:sz w:val="24"/>
                <w:szCs w:val="24"/>
              </w:rPr>
              <w:t> </w:t>
            </w:r>
            <w:r w:rsidRPr="00E1092C">
              <w:rPr>
                <w:rFonts w:ascii="Times New Roman" w:hAnsi="Times New Roman" w:cs="Times New Roman"/>
                <w:iCs/>
                <w:sz w:val="24"/>
                <w:szCs w:val="24"/>
              </w:rPr>
              <w:t>890</w:t>
            </w:r>
          </w:p>
        </w:tc>
        <w:tc>
          <w:tcPr>
            <w:tcW w:w="1090" w:type="dxa"/>
            <w:hideMark/>
          </w:tcPr>
          <w:p w14:paraId="15F55BE8" w14:textId="146B5CEE" w:rsidR="000D5AA0" w:rsidRPr="00E1092C" w:rsidRDefault="009D4058" w:rsidP="009C6996">
            <w:pPr>
              <w:spacing w:before="100" w:beforeAutospacing="1" w:after="100" w:afterAutospacing="1" w:line="240" w:lineRule="auto"/>
              <w:contextualSpacing/>
              <w:jc w:val="center"/>
              <w:rPr>
                <w:rFonts w:ascii="Times New Roman" w:hAnsi="Times New Roman" w:cs="Times New Roman"/>
                <w:sz w:val="24"/>
                <w:szCs w:val="24"/>
              </w:rPr>
            </w:pPr>
            <w:r w:rsidRPr="00E1092C">
              <w:rPr>
                <w:rFonts w:ascii="Times New Roman" w:hAnsi="Times New Roman" w:cs="Times New Roman"/>
                <w:iCs/>
                <w:sz w:val="24"/>
                <w:szCs w:val="24"/>
              </w:rPr>
              <w:t>95 673</w:t>
            </w:r>
          </w:p>
        </w:tc>
        <w:tc>
          <w:tcPr>
            <w:tcW w:w="955" w:type="dxa"/>
            <w:hideMark/>
          </w:tcPr>
          <w:p w14:paraId="00D38EEE" w14:textId="7FA5C215" w:rsidR="000D5AA0" w:rsidRPr="00E1092C" w:rsidRDefault="000D5AA0" w:rsidP="00936D48">
            <w:pPr>
              <w:spacing w:before="100" w:beforeAutospacing="1" w:after="100" w:afterAutospacing="1" w:line="240" w:lineRule="auto"/>
              <w:contextualSpacing/>
              <w:jc w:val="center"/>
              <w:rPr>
                <w:rFonts w:ascii="Times New Roman" w:hAnsi="Times New Roman" w:cs="Times New Roman"/>
                <w:sz w:val="24"/>
                <w:szCs w:val="24"/>
              </w:rPr>
            </w:pPr>
            <w:r w:rsidRPr="00E1092C">
              <w:rPr>
                <w:rFonts w:ascii="Times New Roman" w:hAnsi="Times New Roman" w:cs="Times New Roman"/>
                <w:iCs/>
                <w:sz w:val="24"/>
                <w:szCs w:val="24"/>
              </w:rPr>
              <w:t>70</w:t>
            </w:r>
            <w:r w:rsidR="00936D48">
              <w:rPr>
                <w:rFonts w:ascii="Times New Roman" w:hAnsi="Times New Roman" w:cs="Times New Roman"/>
                <w:iCs/>
                <w:sz w:val="24"/>
                <w:szCs w:val="24"/>
              </w:rPr>
              <w:t> </w:t>
            </w:r>
            <w:r w:rsidRPr="00E1092C">
              <w:rPr>
                <w:rFonts w:ascii="Times New Roman" w:hAnsi="Times New Roman" w:cs="Times New Roman"/>
                <w:iCs/>
                <w:sz w:val="24"/>
                <w:szCs w:val="24"/>
              </w:rPr>
              <w:t>890</w:t>
            </w:r>
          </w:p>
        </w:tc>
        <w:tc>
          <w:tcPr>
            <w:tcW w:w="1118" w:type="dxa"/>
            <w:hideMark/>
          </w:tcPr>
          <w:p w14:paraId="4F1EE40D" w14:textId="15138CF4" w:rsidR="000D5AA0" w:rsidRPr="00E1092C" w:rsidRDefault="00DB4F26" w:rsidP="00936D48">
            <w:pPr>
              <w:spacing w:before="100" w:beforeAutospacing="1" w:after="100" w:afterAutospacing="1" w:line="240" w:lineRule="auto"/>
              <w:contextualSpacing/>
              <w:jc w:val="center"/>
              <w:rPr>
                <w:rFonts w:ascii="Times New Roman" w:hAnsi="Times New Roman" w:cs="Times New Roman"/>
                <w:sz w:val="24"/>
                <w:szCs w:val="24"/>
              </w:rPr>
            </w:pPr>
            <w:r w:rsidRPr="00E1092C">
              <w:rPr>
                <w:rFonts w:ascii="Times New Roman" w:hAnsi="Times New Roman" w:cs="Times New Roman"/>
                <w:iCs/>
                <w:sz w:val="24"/>
                <w:szCs w:val="24"/>
              </w:rPr>
              <w:t>58</w:t>
            </w:r>
            <w:r w:rsidR="00936D48">
              <w:rPr>
                <w:rFonts w:ascii="Times New Roman" w:hAnsi="Times New Roman" w:cs="Times New Roman"/>
                <w:iCs/>
                <w:sz w:val="24"/>
                <w:szCs w:val="24"/>
              </w:rPr>
              <w:t> </w:t>
            </w:r>
            <w:r w:rsidRPr="00E1092C">
              <w:rPr>
                <w:rFonts w:ascii="Times New Roman" w:hAnsi="Times New Roman" w:cs="Times New Roman"/>
                <w:iCs/>
                <w:sz w:val="24"/>
                <w:szCs w:val="24"/>
              </w:rPr>
              <w:t>910</w:t>
            </w:r>
          </w:p>
        </w:tc>
        <w:tc>
          <w:tcPr>
            <w:tcW w:w="1053" w:type="dxa"/>
            <w:hideMark/>
          </w:tcPr>
          <w:p w14:paraId="6F1FAB46" w14:textId="2A1320B8" w:rsidR="000D5AA0" w:rsidRPr="00E1092C" w:rsidRDefault="00E42555" w:rsidP="00936D48">
            <w:pPr>
              <w:spacing w:before="100" w:beforeAutospacing="1" w:after="100" w:afterAutospacing="1" w:line="240" w:lineRule="auto"/>
              <w:contextualSpacing/>
              <w:jc w:val="center"/>
              <w:rPr>
                <w:rFonts w:ascii="Times New Roman" w:hAnsi="Times New Roman" w:cs="Times New Roman"/>
                <w:sz w:val="24"/>
                <w:szCs w:val="24"/>
              </w:rPr>
            </w:pPr>
            <w:r w:rsidRPr="00E1092C">
              <w:rPr>
                <w:rFonts w:ascii="Times New Roman" w:hAnsi="Times New Roman" w:cs="Times New Roman"/>
                <w:iCs/>
                <w:sz w:val="24"/>
                <w:szCs w:val="24"/>
              </w:rPr>
              <w:t>58</w:t>
            </w:r>
            <w:r w:rsidR="00936D48">
              <w:rPr>
                <w:rFonts w:ascii="Times New Roman" w:hAnsi="Times New Roman" w:cs="Times New Roman"/>
                <w:iCs/>
                <w:sz w:val="24"/>
                <w:szCs w:val="24"/>
              </w:rPr>
              <w:t> </w:t>
            </w:r>
            <w:r w:rsidRPr="00E1092C">
              <w:rPr>
                <w:rFonts w:ascii="Times New Roman" w:hAnsi="Times New Roman" w:cs="Times New Roman"/>
                <w:iCs/>
                <w:sz w:val="24"/>
                <w:szCs w:val="24"/>
              </w:rPr>
              <w:t>910</w:t>
            </w:r>
          </w:p>
        </w:tc>
      </w:tr>
      <w:tr w:rsidR="005E782B" w:rsidRPr="00E1092C" w14:paraId="1CD761E5" w14:textId="77777777" w:rsidTr="009C6996">
        <w:trPr>
          <w:tblCellSpacing w:w="20" w:type="dxa"/>
        </w:trPr>
        <w:tc>
          <w:tcPr>
            <w:tcW w:w="1636" w:type="dxa"/>
            <w:hideMark/>
          </w:tcPr>
          <w:p w14:paraId="25B0E0AB" w14:textId="77777777" w:rsidR="005E782B" w:rsidRPr="00E1092C" w:rsidRDefault="005E782B" w:rsidP="009C6996">
            <w:pPr>
              <w:spacing w:before="100" w:beforeAutospacing="1" w:after="100" w:afterAutospacing="1" w:line="240" w:lineRule="auto"/>
              <w:contextualSpacing/>
              <w:rPr>
                <w:rFonts w:ascii="Times New Roman" w:hAnsi="Times New Roman" w:cs="Times New Roman"/>
                <w:iCs/>
                <w:sz w:val="24"/>
                <w:szCs w:val="24"/>
              </w:rPr>
            </w:pPr>
            <w:r w:rsidRPr="00E1092C">
              <w:rPr>
                <w:rFonts w:ascii="Times New Roman" w:hAnsi="Times New Roman" w:cs="Times New Roman"/>
                <w:iCs/>
                <w:sz w:val="24"/>
                <w:szCs w:val="24"/>
              </w:rPr>
              <w:t>2.2. valsts speciālais budžets</w:t>
            </w:r>
          </w:p>
        </w:tc>
        <w:tc>
          <w:tcPr>
            <w:tcW w:w="950" w:type="dxa"/>
            <w:hideMark/>
          </w:tcPr>
          <w:p w14:paraId="0DA7B46D"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955" w:type="dxa"/>
            <w:hideMark/>
          </w:tcPr>
          <w:p w14:paraId="75C164D4"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955" w:type="dxa"/>
            <w:hideMark/>
          </w:tcPr>
          <w:p w14:paraId="174611CE"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1090" w:type="dxa"/>
            <w:hideMark/>
          </w:tcPr>
          <w:p w14:paraId="7625B7D1"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955" w:type="dxa"/>
            <w:hideMark/>
          </w:tcPr>
          <w:p w14:paraId="2009BEAB"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1118" w:type="dxa"/>
            <w:hideMark/>
          </w:tcPr>
          <w:p w14:paraId="30E475C5"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1053" w:type="dxa"/>
            <w:hideMark/>
          </w:tcPr>
          <w:p w14:paraId="4786E3A1"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r>
      <w:tr w:rsidR="005E782B" w:rsidRPr="00E1092C" w14:paraId="762486A4" w14:textId="77777777" w:rsidTr="009C6996">
        <w:trPr>
          <w:tblCellSpacing w:w="20" w:type="dxa"/>
        </w:trPr>
        <w:tc>
          <w:tcPr>
            <w:tcW w:w="1636" w:type="dxa"/>
            <w:hideMark/>
          </w:tcPr>
          <w:p w14:paraId="0DD34FD5" w14:textId="77777777" w:rsidR="005E782B" w:rsidRPr="00E1092C" w:rsidRDefault="005E782B" w:rsidP="009C6996">
            <w:pPr>
              <w:spacing w:before="100" w:beforeAutospacing="1" w:after="100" w:afterAutospacing="1" w:line="240" w:lineRule="auto"/>
              <w:contextualSpacing/>
              <w:rPr>
                <w:rFonts w:ascii="Times New Roman" w:hAnsi="Times New Roman" w:cs="Times New Roman"/>
                <w:iCs/>
                <w:sz w:val="24"/>
                <w:szCs w:val="24"/>
              </w:rPr>
            </w:pPr>
            <w:r w:rsidRPr="00E1092C">
              <w:rPr>
                <w:rFonts w:ascii="Times New Roman" w:hAnsi="Times New Roman" w:cs="Times New Roman"/>
                <w:iCs/>
                <w:sz w:val="24"/>
                <w:szCs w:val="24"/>
              </w:rPr>
              <w:t>2.3. pašvaldību budžets</w:t>
            </w:r>
          </w:p>
        </w:tc>
        <w:tc>
          <w:tcPr>
            <w:tcW w:w="950" w:type="dxa"/>
            <w:hideMark/>
          </w:tcPr>
          <w:p w14:paraId="7EAA5659"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955" w:type="dxa"/>
            <w:hideMark/>
          </w:tcPr>
          <w:p w14:paraId="67BF8878"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955" w:type="dxa"/>
            <w:hideMark/>
          </w:tcPr>
          <w:p w14:paraId="39E3526A"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1090" w:type="dxa"/>
            <w:hideMark/>
          </w:tcPr>
          <w:p w14:paraId="60DD78C8"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955" w:type="dxa"/>
            <w:hideMark/>
          </w:tcPr>
          <w:p w14:paraId="2B6F8D6A"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1118" w:type="dxa"/>
            <w:hideMark/>
          </w:tcPr>
          <w:p w14:paraId="7190DF8A"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1053" w:type="dxa"/>
            <w:hideMark/>
          </w:tcPr>
          <w:p w14:paraId="5DDCAEA3"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r>
      <w:tr w:rsidR="005E782B" w:rsidRPr="00E1092C" w14:paraId="4F640B5D" w14:textId="77777777" w:rsidTr="009C6996">
        <w:trPr>
          <w:tblCellSpacing w:w="20" w:type="dxa"/>
        </w:trPr>
        <w:tc>
          <w:tcPr>
            <w:tcW w:w="1636" w:type="dxa"/>
            <w:hideMark/>
          </w:tcPr>
          <w:p w14:paraId="724E4334" w14:textId="77777777" w:rsidR="005E782B" w:rsidRPr="00E1092C" w:rsidRDefault="005E782B" w:rsidP="009C6996">
            <w:pPr>
              <w:spacing w:before="100" w:beforeAutospacing="1" w:after="100" w:afterAutospacing="1" w:line="240" w:lineRule="auto"/>
              <w:contextualSpacing/>
              <w:rPr>
                <w:rFonts w:ascii="Times New Roman" w:hAnsi="Times New Roman" w:cs="Times New Roman"/>
                <w:iCs/>
                <w:sz w:val="24"/>
                <w:szCs w:val="24"/>
              </w:rPr>
            </w:pPr>
            <w:r w:rsidRPr="00E1092C">
              <w:rPr>
                <w:rFonts w:ascii="Times New Roman" w:hAnsi="Times New Roman" w:cs="Times New Roman"/>
                <w:iCs/>
                <w:sz w:val="24"/>
                <w:szCs w:val="24"/>
              </w:rPr>
              <w:t>3. Finansiālā ietekme</w:t>
            </w:r>
          </w:p>
        </w:tc>
        <w:tc>
          <w:tcPr>
            <w:tcW w:w="950" w:type="dxa"/>
            <w:hideMark/>
          </w:tcPr>
          <w:p w14:paraId="3F750505"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955" w:type="dxa"/>
            <w:hideMark/>
          </w:tcPr>
          <w:p w14:paraId="074E76A6"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955" w:type="dxa"/>
            <w:hideMark/>
          </w:tcPr>
          <w:p w14:paraId="682A6C02"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1090" w:type="dxa"/>
            <w:hideMark/>
          </w:tcPr>
          <w:p w14:paraId="3E7E8149" w14:textId="3ADAEF89" w:rsidR="005E782B" w:rsidRPr="00E1092C" w:rsidRDefault="00936D48" w:rsidP="009C6996">
            <w:pPr>
              <w:spacing w:before="100" w:beforeAutospacing="1" w:after="100" w:afterAutospacing="1" w:line="240" w:lineRule="auto"/>
              <w:contextualSpacing/>
              <w:jc w:val="center"/>
              <w:rPr>
                <w:rFonts w:ascii="Times New Roman" w:hAnsi="Times New Roman" w:cs="Times New Roman"/>
                <w:iCs/>
                <w:sz w:val="24"/>
                <w:szCs w:val="24"/>
              </w:rPr>
            </w:pPr>
            <w:r>
              <w:rPr>
                <w:rFonts w:ascii="Times New Roman" w:hAnsi="Times New Roman" w:cs="Times New Roman"/>
                <w:iCs/>
                <w:sz w:val="24"/>
                <w:szCs w:val="24"/>
              </w:rPr>
              <w:t xml:space="preserve">– </w:t>
            </w:r>
            <w:r w:rsidR="009D4058" w:rsidRPr="00E1092C">
              <w:rPr>
                <w:rFonts w:ascii="Times New Roman" w:hAnsi="Times New Roman" w:cs="Times New Roman"/>
                <w:iCs/>
                <w:sz w:val="24"/>
                <w:szCs w:val="24"/>
              </w:rPr>
              <w:t>82 443</w:t>
            </w:r>
          </w:p>
        </w:tc>
        <w:tc>
          <w:tcPr>
            <w:tcW w:w="955" w:type="dxa"/>
            <w:hideMark/>
          </w:tcPr>
          <w:p w14:paraId="1632B154"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1118" w:type="dxa"/>
            <w:hideMark/>
          </w:tcPr>
          <w:p w14:paraId="31C994E5"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1053" w:type="dxa"/>
            <w:hideMark/>
          </w:tcPr>
          <w:p w14:paraId="1D61E392"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r>
      <w:tr w:rsidR="005E782B" w:rsidRPr="00E1092C" w14:paraId="16C87AEC" w14:textId="77777777" w:rsidTr="009C6996">
        <w:trPr>
          <w:tblCellSpacing w:w="20" w:type="dxa"/>
        </w:trPr>
        <w:tc>
          <w:tcPr>
            <w:tcW w:w="1636" w:type="dxa"/>
            <w:hideMark/>
          </w:tcPr>
          <w:p w14:paraId="4C14D8E2" w14:textId="77777777" w:rsidR="005E782B" w:rsidRPr="00E1092C" w:rsidRDefault="005E782B" w:rsidP="009C6996">
            <w:pPr>
              <w:spacing w:before="100" w:beforeAutospacing="1" w:after="100" w:afterAutospacing="1" w:line="240" w:lineRule="auto"/>
              <w:contextualSpacing/>
              <w:rPr>
                <w:rFonts w:ascii="Times New Roman" w:hAnsi="Times New Roman" w:cs="Times New Roman"/>
                <w:iCs/>
                <w:sz w:val="24"/>
                <w:szCs w:val="24"/>
              </w:rPr>
            </w:pPr>
            <w:r w:rsidRPr="00E1092C">
              <w:rPr>
                <w:rFonts w:ascii="Times New Roman" w:hAnsi="Times New Roman" w:cs="Times New Roman"/>
                <w:iCs/>
                <w:sz w:val="24"/>
                <w:szCs w:val="24"/>
              </w:rPr>
              <w:t>3.1. valsts pamatbudžets</w:t>
            </w:r>
          </w:p>
        </w:tc>
        <w:tc>
          <w:tcPr>
            <w:tcW w:w="950" w:type="dxa"/>
            <w:hideMark/>
          </w:tcPr>
          <w:p w14:paraId="56D137BB"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955" w:type="dxa"/>
            <w:hideMark/>
          </w:tcPr>
          <w:p w14:paraId="3353F4C6"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955" w:type="dxa"/>
            <w:hideMark/>
          </w:tcPr>
          <w:p w14:paraId="36E222BA"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1090" w:type="dxa"/>
            <w:hideMark/>
          </w:tcPr>
          <w:p w14:paraId="1C5B0866" w14:textId="7C24398D" w:rsidR="005E782B" w:rsidRPr="00E1092C" w:rsidRDefault="00936D48" w:rsidP="009C6996">
            <w:pPr>
              <w:spacing w:before="100" w:beforeAutospacing="1" w:after="100" w:afterAutospacing="1" w:line="240" w:lineRule="auto"/>
              <w:contextualSpacing/>
              <w:jc w:val="center"/>
              <w:rPr>
                <w:rFonts w:ascii="Times New Roman" w:hAnsi="Times New Roman" w:cs="Times New Roman"/>
                <w:iCs/>
                <w:sz w:val="24"/>
                <w:szCs w:val="24"/>
              </w:rPr>
            </w:pPr>
            <w:r>
              <w:rPr>
                <w:rFonts w:ascii="Times New Roman" w:hAnsi="Times New Roman" w:cs="Times New Roman"/>
                <w:iCs/>
                <w:sz w:val="24"/>
                <w:szCs w:val="24"/>
              </w:rPr>
              <w:t xml:space="preserve">– </w:t>
            </w:r>
            <w:r w:rsidR="009D4058" w:rsidRPr="00E1092C">
              <w:rPr>
                <w:rFonts w:ascii="Times New Roman" w:hAnsi="Times New Roman" w:cs="Times New Roman"/>
                <w:iCs/>
                <w:sz w:val="24"/>
                <w:szCs w:val="24"/>
              </w:rPr>
              <w:t>82 443</w:t>
            </w:r>
          </w:p>
        </w:tc>
        <w:tc>
          <w:tcPr>
            <w:tcW w:w="955" w:type="dxa"/>
            <w:hideMark/>
          </w:tcPr>
          <w:p w14:paraId="6B5DE7D3"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1118" w:type="dxa"/>
            <w:hideMark/>
          </w:tcPr>
          <w:p w14:paraId="0C938164"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1053" w:type="dxa"/>
            <w:hideMark/>
          </w:tcPr>
          <w:p w14:paraId="11D796FF"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r>
      <w:tr w:rsidR="005E782B" w:rsidRPr="00E1092C" w14:paraId="784ADE29" w14:textId="77777777" w:rsidTr="009C6996">
        <w:trPr>
          <w:tblCellSpacing w:w="20" w:type="dxa"/>
        </w:trPr>
        <w:tc>
          <w:tcPr>
            <w:tcW w:w="1636" w:type="dxa"/>
            <w:hideMark/>
          </w:tcPr>
          <w:p w14:paraId="242071C0" w14:textId="77777777" w:rsidR="005E782B" w:rsidRPr="00E1092C" w:rsidRDefault="005E782B" w:rsidP="009C6996">
            <w:pPr>
              <w:spacing w:before="100" w:beforeAutospacing="1" w:after="100" w:afterAutospacing="1" w:line="240" w:lineRule="auto"/>
              <w:contextualSpacing/>
              <w:rPr>
                <w:rFonts w:ascii="Times New Roman" w:hAnsi="Times New Roman" w:cs="Times New Roman"/>
                <w:iCs/>
                <w:sz w:val="24"/>
                <w:szCs w:val="24"/>
              </w:rPr>
            </w:pPr>
            <w:r w:rsidRPr="00E1092C">
              <w:rPr>
                <w:rFonts w:ascii="Times New Roman" w:hAnsi="Times New Roman" w:cs="Times New Roman"/>
                <w:iCs/>
                <w:sz w:val="24"/>
                <w:szCs w:val="24"/>
              </w:rPr>
              <w:t>3.2. speciālais budžets</w:t>
            </w:r>
          </w:p>
        </w:tc>
        <w:tc>
          <w:tcPr>
            <w:tcW w:w="950" w:type="dxa"/>
            <w:hideMark/>
          </w:tcPr>
          <w:p w14:paraId="0BB88734"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955" w:type="dxa"/>
            <w:hideMark/>
          </w:tcPr>
          <w:p w14:paraId="41278F10"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955" w:type="dxa"/>
            <w:hideMark/>
          </w:tcPr>
          <w:p w14:paraId="25A822FE"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1090" w:type="dxa"/>
            <w:hideMark/>
          </w:tcPr>
          <w:p w14:paraId="3E533D5F"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955" w:type="dxa"/>
            <w:hideMark/>
          </w:tcPr>
          <w:p w14:paraId="1A6629D9"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1118" w:type="dxa"/>
            <w:hideMark/>
          </w:tcPr>
          <w:p w14:paraId="5C60367B"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1053" w:type="dxa"/>
            <w:hideMark/>
          </w:tcPr>
          <w:p w14:paraId="721705EA"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r>
      <w:tr w:rsidR="005E782B" w:rsidRPr="00E1092C" w14:paraId="19415A74" w14:textId="77777777" w:rsidTr="009C6996">
        <w:trPr>
          <w:tblCellSpacing w:w="20" w:type="dxa"/>
        </w:trPr>
        <w:tc>
          <w:tcPr>
            <w:tcW w:w="1636" w:type="dxa"/>
            <w:hideMark/>
          </w:tcPr>
          <w:p w14:paraId="6B39CA58" w14:textId="77777777" w:rsidR="005E782B" w:rsidRPr="00E1092C" w:rsidRDefault="005E782B" w:rsidP="009C6996">
            <w:pPr>
              <w:spacing w:before="100" w:beforeAutospacing="1" w:after="100" w:afterAutospacing="1" w:line="240" w:lineRule="auto"/>
              <w:contextualSpacing/>
              <w:rPr>
                <w:rFonts w:ascii="Times New Roman" w:hAnsi="Times New Roman" w:cs="Times New Roman"/>
                <w:iCs/>
                <w:sz w:val="24"/>
                <w:szCs w:val="24"/>
              </w:rPr>
            </w:pPr>
            <w:r w:rsidRPr="00E1092C">
              <w:rPr>
                <w:rFonts w:ascii="Times New Roman" w:hAnsi="Times New Roman" w:cs="Times New Roman"/>
                <w:iCs/>
                <w:sz w:val="24"/>
                <w:szCs w:val="24"/>
              </w:rPr>
              <w:t>3.3. pašvaldību budžets</w:t>
            </w:r>
          </w:p>
        </w:tc>
        <w:tc>
          <w:tcPr>
            <w:tcW w:w="950" w:type="dxa"/>
            <w:hideMark/>
          </w:tcPr>
          <w:p w14:paraId="23149120"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955" w:type="dxa"/>
            <w:hideMark/>
          </w:tcPr>
          <w:p w14:paraId="6710358A"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955" w:type="dxa"/>
            <w:hideMark/>
          </w:tcPr>
          <w:p w14:paraId="73E2E2D2"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1090" w:type="dxa"/>
            <w:hideMark/>
          </w:tcPr>
          <w:p w14:paraId="62247D82"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955" w:type="dxa"/>
            <w:hideMark/>
          </w:tcPr>
          <w:p w14:paraId="2CEFE1BC"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1118" w:type="dxa"/>
            <w:hideMark/>
          </w:tcPr>
          <w:p w14:paraId="09B3A64B"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1053" w:type="dxa"/>
            <w:hideMark/>
          </w:tcPr>
          <w:p w14:paraId="4BFF392D"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r>
      <w:tr w:rsidR="005E782B" w:rsidRPr="00E1092C" w14:paraId="7C49144E" w14:textId="77777777" w:rsidTr="009C6996">
        <w:trPr>
          <w:tblCellSpacing w:w="20" w:type="dxa"/>
        </w:trPr>
        <w:tc>
          <w:tcPr>
            <w:tcW w:w="1636" w:type="dxa"/>
            <w:hideMark/>
          </w:tcPr>
          <w:p w14:paraId="7B37C537" w14:textId="77777777" w:rsidR="005E782B" w:rsidRPr="00E1092C" w:rsidRDefault="005E782B" w:rsidP="009C6996">
            <w:pPr>
              <w:spacing w:before="100" w:beforeAutospacing="1" w:after="100" w:afterAutospacing="1" w:line="240" w:lineRule="auto"/>
              <w:contextualSpacing/>
              <w:rPr>
                <w:rFonts w:ascii="Times New Roman" w:hAnsi="Times New Roman" w:cs="Times New Roman"/>
                <w:iCs/>
                <w:sz w:val="24"/>
                <w:szCs w:val="24"/>
              </w:rPr>
            </w:pPr>
            <w:r w:rsidRPr="00E1092C">
              <w:rPr>
                <w:rFonts w:ascii="Times New Roman" w:hAnsi="Times New Roman" w:cs="Times New Roman"/>
                <w:iCs/>
                <w:sz w:val="24"/>
                <w:szCs w:val="24"/>
              </w:rPr>
              <w:t>4. Finanšu līdzekļi papildu izdevumu finansēšanai (kompensējošu izdevumu samazinājumu norāda ar "+" zīmi)</w:t>
            </w:r>
          </w:p>
        </w:tc>
        <w:tc>
          <w:tcPr>
            <w:tcW w:w="950" w:type="dxa"/>
            <w:hideMark/>
          </w:tcPr>
          <w:p w14:paraId="2595CE36"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X</w:t>
            </w:r>
          </w:p>
        </w:tc>
        <w:tc>
          <w:tcPr>
            <w:tcW w:w="955" w:type="dxa"/>
            <w:hideMark/>
          </w:tcPr>
          <w:p w14:paraId="7F14B193"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955" w:type="dxa"/>
            <w:hideMark/>
          </w:tcPr>
          <w:p w14:paraId="57ED4AF0"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X</w:t>
            </w:r>
          </w:p>
        </w:tc>
        <w:tc>
          <w:tcPr>
            <w:tcW w:w="1090" w:type="dxa"/>
            <w:hideMark/>
          </w:tcPr>
          <w:p w14:paraId="4560C0D0" w14:textId="696C3D8F" w:rsidR="005E782B" w:rsidRPr="00E1092C" w:rsidRDefault="009D4058"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82 443</w:t>
            </w:r>
          </w:p>
        </w:tc>
        <w:tc>
          <w:tcPr>
            <w:tcW w:w="955" w:type="dxa"/>
            <w:hideMark/>
          </w:tcPr>
          <w:p w14:paraId="2BD1CD6C"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X</w:t>
            </w:r>
          </w:p>
        </w:tc>
        <w:tc>
          <w:tcPr>
            <w:tcW w:w="1118" w:type="dxa"/>
            <w:hideMark/>
          </w:tcPr>
          <w:p w14:paraId="2AC26441"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1053" w:type="dxa"/>
            <w:hideMark/>
          </w:tcPr>
          <w:p w14:paraId="7E8CD80B"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r>
      <w:tr w:rsidR="005E782B" w:rsidRPr="00E1092C" w14:paraId="5467FF08" w14:textId="77777777" w:rsidTr="009C6996">
        <w:trPr>
          <w:tblCellSpacing w:w="20" w:type="dxa"/>
        </w:trPr>
        <w:tc>
          <w:tcPr>
            <w:tcW w:w="1636" w:type="dxa"/>
            <w:hideMark/>
          </w:tcPr>
          <w:p w14:paraId="1A9CED59" w14:textId="77777777" w:rsidR="005E782B" w:rsidRPr="00E1092C" w:rsidRDefault="005E782B" w:rsidP="009C6996">
            <w:pPr>
              <w:spacing w:before="100" w:beforeAutospacing="1" w:after="100" w:afterAutospacing="1" w:line="240" w:lineRule="auto"/>
              <w:contextualSpacing/>
              <w:rPr>
                <w:rFonts w:ascii="Times New Roman" w:hAnsi="Times New Roman" w:cs="Times New Roman"/>
                <w:iCs/>
                <w:sz w:val="24"/>
                <w:szCs w:val="24"/>
              </w:rPr>
            </w:pPr>
            <w:r w:rsidRPr="00E1092C">
              <w:rPr>
                <w:rFonts w:ascii="Times New Roman" w:hAnsi="Times New Roman" w:cs="Times New Roman"/>
                <w:iCs/>
                <w:sz w:val="24"/>
                <w:szCs w:val="24"/>
              </w:rPr>
              <w:t>5. Precizēta finansiālā ietekme</w:t>
            </w:r>
          </w:p>
        </w:tc>
        <w:tc>
          <w:tcPr>
            <w:tcW w:w="950" w:type="dxa"/>
            <w:vMerge w:val="restart"/>
          </w:tcPr>
          <w:p w14:paraId="114A304C"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p>
          <w:p w14:paraId="662B9997"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p>
          <w:p w14:paraId="4E170624" w14:textId="35DE84BA" w:rsidR="005E782B"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p>
          <w:p w14:paraId="3496997B" w14:textId="77777777" w:rsidR="003947C9" w:rsidRPr="00E1092C" w:rsidRDefault="003947C9" w:rsidP="009C6996">
            <w:pPr>
              <w:spacing w:before="100" w:beforeAutospacing="1" w:after="100" w:afterAutospacing="1" w:line="240" w:lineRule="auto"/>
              <w:contextualSpacing/>
              <w:jc w:val="center"/>
              <w:rPr>
                <w:rFonts w:ascii="Times New Roman" w:hAnsi="Times New Roman" w:cs="Times New Roman"/>
                <w:iCs/>
                <w:sz w:val="24"/>
                <w:szCs w:val="24"/>
              </w:rPr>
            </w:pPr>
          </w:p>
          <w:p w14:paraId="6453711C"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p>
          <w:p w14:paraId="70273DCC"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X</w:t>
            </w:r>
          </w:p>
        </w:tc>
        <w:tc>
          <w:tcPr>
            <w:tcW w:w="955" w:type="dxa"/>
            <w:hideMark/>
          </w:tcPr>
          <w:p w14:paraId="2C7ABA44"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955" w:type="dxa"/>
            <w:vMerge w:val="restart"/>
          </w:tcPr>
          <w:p w14:paraId="7B487F9E"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p>
          <w:p w14:paraId="2754C417"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p>
          <w:p w14:paraId="79F36B36"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p>
          <w:p w14:paraId="0A64F40D"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p>
          <w:p w14:paraId="5DF34CE5"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p>
          <w:p w14:paraId="59D9D38B"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X</w:t>
            </w:r>
          </w:p>
        </w:tc>
        <w:tc>
          <w:tcPr>
            <w:tcW w:w="1090" w:type="dxa"/>
            <w:hideMark/>
          </w:tcPr>
          <w:p w14:paraId="149559FC"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955" w:type="dxa"/>
            <w:vMerge w:val="restart"/>
          </w:tcPr>
          <w:p w14:paraId="40A9CDE5"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p>
          <w:p w14:paraId="4D4CB09E"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p>
          <w:p w14:paraId="0448BCCA" w14:textId="5C1C5BD8" w:rsidR="005E782B"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p>
          <w:p w14:paraId="46FC4C54" w14:textId="77777777" w:rsidR="003947C9" w:rsidRPr="00E1092C" w:rsidRDefault="003947C9" w:rsidP="009C6996">
            <w:pPr>
              <w:spacing w:before="100" w:beforeAutospacing="1" w:after="100" w:afterAutospacing="1" w:line="240" w:lineRule="auto"/>
              <w:contextualSpacing/>
              <w:jc w:val="center"/>
              <w:rPr>
                <w:rFonts w:ascii="Times New Roman" w:hAnsi="Times New Roman" w:cs="Times New Roman"/>
                <w:iCs/>
                <w:sz w:val="24"/>
                <w:szCs w:val="24"/>
              </w:rPr>
            </w:pPr>
          </w:p>
          <w:p w14:paraId="757F51D1"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p>
          <w:p w14:paraId="3072C739"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X</w:t>
            </w:r>
          </w:p>
        </w:tc>
        <w:tc>
          <w:tcPr>
            <w:tcW w:w="1118" w:type="dxa"/>
            <w:hideMark/>
          </w:tcPr>
          <w:p w14:paraId="3E5198C5"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1053" w:type="dxa"/>
            <w:hideMark/>
          </w:tcPr>
          <w:p w14:paraId="5B5E86D8"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r>
      <w:tr w:rsidR="005E782B" w:rsidRPr="00E1092C" w14:paraId="0D341D82" w14:textId="77777777" w:rsidTr="009C6996">
        <w:trPr>
          <w:tblCellSpacing w:w="20" w:type="dxa"/>
        </w:trPr>
        <w:tc>
          <w:tcPr>
            <w:tcW w:w="1636" w:type="dxa"/>
            <w:hideMark/>
          </w:tcPr>
          <w:p w14:paraId="34AFCBB2" w14:textId="77777777" w:rsidR="005E782B" w:rsidRPr="00E1092C" w:rsidRDefault="005E782B" w:rsidP="009C6996">
            <w:pPr>
              <w:spacing w:before="100" w:beforeAutospacing="1" w:after="100" w:afterAutospacing="1" w:line="240" w:lineRule="auto"/>
              <w:contextualSpacing/>
              <w:rPr>
                <w:rFonts w:ascii="Times New Roman" w:hAnsi="Times New Roman" w:cs="Times New Roman"/>
                <w:iCs/>
                <w:sz w:val="24"/>
                <w:szCs w:val="24"/>
              </w:rPr>
            </w:pPr>
            <w:r w:rsidRPr="00E1092C">
              <w:rPr>
                <w:rFonts w:ascii="Times New Roman" w:hAnsi="Times New Roman" w:cs="Times New Roman"/>
                <w:iCs/>
                <w:sz w:val="24"/>
                <w:szCs w:val="24"/>
              </w:rPr>
              <w:t>5.1. valsts pamatbudžets</w:t>
            </w:r>
          </w:p>
        </w:tc>
        <w:tc>
          <w:tcPr>
            <w:tcW w:w="950" w:type="dxa"/>
            <w:vMerge/>
            <w:vAlign w:val="center"/>
            <w:hideMark/>
          </w:tcPr>
          <w:p w14:paraId="572633D2" w14:textId="77777777" w:rsidR="005E782B" w:rsidRPr="00E1092C" w:rsidRDefault="005E782B" w:rsidP="009C6996">
            <w:pPr>
              <w:spacing w:before="100" w:beforeAutospacing="1" w:after="100" w:afterAutospacing="1" w:line="240" w:lineRule="auto"/>
              <w:contextualSpacing/>
              <w:rPr>
                <w:rFonts w:ascii="Times New Roman" w:hAnsi="Times New Roman" w:cs="Times New Roman"/>
                <w:iCs/>
                <w:sz w:val="24"/>
                <w:szCs w:val="24"/>
              </w:rPr>
            </w:pPr>
          </w:p>
        </w:tc>
        <w:tc>
          <w:tcPr>
            <w:tcW w:w="955" w:type="dxa"/>
            <w:hideMark/>
          </w:tcPr>
          <w:p w14:paraId="6F9ED60E"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955" w:type="dxa"/>
            <w:vMerge/>
            <w:vAlign w:val="center"/>
            <w:hideMark/>
          </w:tcPr>
          <w:p w14:paraId="3B86BDF7" w14:textId="77777777" w:rsidR="005E782B" w:rsidRPr="00E1092C" w:rsidRDefault="005E782B" w:rsidP="009C6996">
            <w:pPr>
              <w:spacing w:before="100" w:beforeAutospacing="1" w:after="100" w:afterAutospacing="1" w:line="240" w:lineRule="auto"/>
              <w:contextualSpacing/>
              <w:rPr>
                <w:rFonts w:ascii="Times New Roman" w:hAnsi="Times New Roman" w:cs="Times New Roman"/>
                <w:iCs/>
                <w:sz w:val="24"/>
                <w:szCs w:val="24"/>
              </w:rPr>
            </w:pPr>
          </w:p>
        </w:tc>
        <w:tc>
          <w:tcPr>
            <w:tcW w:w="1090" w:type="dxa"/>
            <w:hideMark/>
          </w:tcPr>
          <w:p w14:paraId="3B326F58"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955" w:type="dxa"/>
            <w:vMerge/>
            <w:vAlign w:val="center"/>
            <w:hideMark/>
          </w:tcPr>
          <w:p w14:paraId="18E648CE" w14:textId="77777777" w:rsidR="005E782B" w:rsidRPr="00E1092C" w:rsidRDefault="005E782B" w:rsidP="009C6996">
            <w:pPr>
              <w:spacing w:before="100" w:beforeAutospacing="1" w:after="100" w:afterAutospacing="1" w:line="240" w:lineRule="auto"/>
              <w:contextualSpacing/>
              <w:rPr>
                <w:rFonts w:ascii="Times New Roman" w:hAnsi="Times New Roman" w:cs="Times New Roman"/>
                <w:iCs/>
                <w:sz w:val="24"/>
                <w:szCs w:val="24"/>
              </w:rPr>
            </w:pPr>
          </w:p>
        </w:tc>
        <w:tc>
          <w:tcPr>
            <w:tcW w:w="1118" w:type="dxa"/>
            <w:hideMark/>
          </w:tcPr>
          <w:p w14:paraId="5583C566"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1053" w:type="dxa"/>
            <w:hideMark/>
          </w:tcPr>
          <w:p w14:paraId="3B38CD98"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r>
      <w:tr w:rsidR="005E782B" w:rsidRPr="00E1092C" w14:paraId="026BB3F3" w14:textId="77777777" w:rsidTr="009C6996">
        <w:trPr>
          <w:tblCellSpacing w:w="20" w:type="dxa"/>
        </w:trPr>
        <w:tc>
          <w:tcPr>
            <w:tcW w:w="1636" w:type="dxa"/>
            <w:hideMark/>
          </w:tcPr>
          <w:p w14:paraId="235CBD2D" w14:textId="77777777" w:rsidR="005E782B" w:rsidRPr="00E1092C" w:rsidRDefault="005E782B" w:rsidP="009C6996">
            <w:pPr>
              <w:spacing w:before="100" w:beforeAutospacing="1" w:after="100" w:afterAutospacing="1" w:line="240" w:lineRule="auto"/>
              <w:contextualSpacing/>
              <w:rPr>
                <w:rFonts w:ascii="Times New Roman" w:hAnsi="Times New Roman" w:cs="Times New Roman"/>
                <w:iCs/>
                <w:sz w:val="24"/>
                <w:szCs w:val="24"/>
              </w:rPr>
            </w:pPr>
            <w:r w:rsidRPr="00E1092C">
              <w:rPr>
                <w:rFonts w:ascii="Times New Roman" w:hAnsi="Times New Roman" w:cs="Times New Roman"/>
                <w:iCs/>
                <w:sz w:val="24"/>
                <w:szCs w:val="24"/>
              </w:rPr>
              <w:t>5.2. speciālais budžets</w:t>
            </w:r>
          </w:p>
        </w:tc>
        <w:tc>
          <w:tcPr>
            <w:tcW w:w="950" w:type="dxa"/>
            <w:vMerge/>
            <w:vAlign w:val="center"/>
            <w:hideMark/>
          </w:tcPr>
          <w:p w14:paraId="37D21C9F" w14:textId="77777777" w:rsidR="005E782B" w:rsidRPr="00E1092C" w:rsidRDefault="005E782B" w:rsidP="009C6996">
            <w:pPr>
              <w:spacing w:before="100" w:beforeAutospacing="1" w:after="100" w:afterAutospacing="1" w:line="240" w:lineRule="auto"/>
              <w:contextualSpacing/>
              <w:rPr>
                <w:rFonts w:ascii="Times New Roman" w:hAnsi="Times New Roman" w:cs="Times New Roman"/>
                <w:iCs/>
                <w:sz w:val="24"/>
                <w:szCs w:val="24"/>
              </w:rPr>
            </w:pPr>
          </w:p>
        </w:tc>
        <w:tc>
          <w:tcPr>
            <w:tcW w:w="955" w:type="dxa"/>
            <w:hideMark/>
          </w:tcPr>
          <w:p w14:paraId="12A0DF39"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955" w:type="dxa"/>
            <w:vMerge/>
            <w:vAlign w:val="center"/>
            <w:hideMark/>
          </w:tcPr>
          <w:p w14:paraId="40A050EB" w14:textId="77777777" w:rsidR="005E782B" w:rsidRPr="00E1092C" w:rsidRDefault="005E782B" w:rsidP="009C6996">
            <w:pPr>
              <w:spacing w:before="100" w:beforeAutospacing="1" w:after="100" w:afterAutospacing="1" w:line="240" w:lineRule="auto"/>
              <w:contextualSpacing/>
              <w:rPr>
                <w:rFonts w:ascii="Times New Roman" w:hAnsi="Times New Roman" w:cs="Times New Roman"/>
                <w:iCs/>
                <w:sz w:val="24"/>
                <w:szCs w:val="24"/>
              </w:rPr>
            </w:pPr>
          </w:p>
        </w:tc>
        <w:tc>
          <w:tcPr>
            <w:tcW w:w="1090" w:type="dxa"/>
            <w:hideMark/>
          </w:tcPr>
          <w:p w14:paraId="614D1E96"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955" w:type="dxa"/>
            <w:vMerge/>
            <w:vAlign w:val="center"/>
            <w:hideMark/>
          </w:tcPr>
          <w:p w14:paraId="669B4AD0" w14:textId="77777777" w:rsidR="005E782B" w:rsidRPr="00E1092C" w:rsidRDefault="005E782B" w:rsidP="009C6996">
            <w:pPr>
              <w:spacing w:before="100" w:beforeAutospacing="1" w:after="100" w:afterAutospacing="1" w:line="240" w:lineRule="auto"/>
              <w:contextualSpacing/>
              <w:rPr>
                <w:rFonts w:ascii="Times New Roman" w:hAnsi="Times New Roman" w:cs="Times New Roman"/>
                <w:iCs/>
                <w:sz w:val="24"/>
                <w:szCs w:val="24"/>
              </w:rPr>
            </w:pPr>
          </w:p>
        </w:tc>
        <w:tc>
          <w:tcPr>
            <w:tcW w:w="1118" w:type="dxa"/>
            <w:hideMark/>
          </w:tcPr>
          <w:p w14:paraId="6E920419"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1053" w:type="dxa"/>
            <w:hideMark/>
          </w:tcPr>
          <w:p w14:paraId="72B41A8E"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r>
      <w:tr w:rsidR="005E782B" w:rsidRPr="00E1092C" w14:paraId="0D492AED" w14:textId="77777777" w:rsidTr="009C6996">
        <w:trPr>
          <w:tblCellSpacing w:w="20" w:type="dxa"/>
        </w:trPr>
        <w:tc>
          <w:tcPr>
            <w:tcW w:w="1636" w:type="dxa"/>
            <w:hideMark/>
          </w:tcPr>
          <w:p w14:paraId="78E31637" w14:textId="77777777" w:rsidR="005E782B" w:rsidRPr="00E1092C" w:rsidRDefault="005E782B" w:rsidP="009C6996">
            <w:pPr>
              <w:spacing w:before="100" w:beforeAutospacing="1" w:after="100" w:afterAutospacing="1" w:line="240" w:lineRule="auto"/>
              <w:contextualSpacing/>
              <w:rPr>
                <w:rFonts w:ascii="Times New Roman" w:hAnsi="Times New Roman" w:cs="Times New Roman"/>
                <w:iCs/>
                <w:sz w:val="24"/>
                <w:szCs w:val="24"/>
              </w:rPr>
            </w:pPr>
            <w:r w:rsidRPr="00E1092C">
              <w:rPr>
                <w:rFonts w:ascii="Times New Roman" w:hAnsi="Times New Roman" w:cs="Times New Roman"/>
                <w:iCs/>
                <w:sz w:val="24"/>
                <w:szCs w:val="24"/>
              </w:rPr>
              <w:lastRenderedPageBreak/>
              <w:t>5.3. pašvaldību budžets</w:t>
            </w:r>
          </w:p>
        </w:tc>
        <w:tc>
          <w:tcPr>
            <w:tcW w:w="950" w:type="dxa"/>
            <w:vMerge/>
            <w:vAlign w:val="center"/>
            <w:hideMark/>
          </w:tcPr>
          <w:p w14:paraId="3AD82AE1" w14:textId="77777777" w:rsidR="005E782B" w:rsidRPr="00E1092C" w:rsidRDefault="005E782B" w:rsidP="009C6996">
            <w:pPr>
              <w:spacing w:before="100" w:beforeAutospacing="1" w:after="100" w:afterAutospacing="1" w:line="240" w:lineRule="auto"/>
              <w:contextualSpacing/>
              <w:rPr>
                <w:rFonts w:ascii="Times New Roman" w:hAnsi="Times New Roman" w:cs="Times New Roman"/>
                <w:iCs/>
                <w:sz w:val="24"/>
                <w:szCs w:val="24"/>
              </w:rPr>
            </w:pPr>
          </w:p>
        </w:tc>
        <w:tc>
          <w:tcPr>
            <w:tcW w:w="955" w:type="dxa"/>
            <w:hideMark/>
          </w:tcPr>
          <w:p w14:paraId="11F1BDB4"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955" w:type="dxa"/>
            <w:vMerge/>
            <w:vAlign w:val="center"/>
            <w:hideMark/>
          </w:tcPr>
          <w:p w14:paraId="02074C34" w14:textId="77777777" w:rsidR="005E782B" w:rsidRPr="00E1092C" w:rsidRDefault="005E782B" w:rsidP="009C6996">
            <w:pPr>
              <w:spacing w:before="100" w:beforeAutospacing="1" w:after="100" w:afterAutospacing="1" w:line="240" w:lineRule="auto"/>
              <w:contextualSpacing/>
              <w:rPr>
                <w:rFonts w:ascii="Times New Roman" w:hAnsi="Times New Roman" w:cs="Times New Roman"/>
                <w:iCs/>
                <w:sz w:val="24"/>
                <w:szCs w:val="24"/>
              </w:rPr>
            </w:pPr>
          </w:p>
        </w:tc>
        <w:tc>
          <w:tcPr>
            <w:tcW w:w="1090" w:type="dxa"/>
            <w:hideMark/>
          </w:tcPr>
          <w:p w14:paraId="6D032800"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955" w:type="dxa"/>
            <w:vMerge/>
            <w:vAlign w:val="center"/>
            <w:hideMark/>
          </w:tcPr>
          <w:p w14:paraId="2D228249" w14:textId="77777777" w:rsidR="005E782B" w:rsidRPr="00E1092C" w:rsidRDefault="005E782B" w:rsidP="009C6996">
            <w:pPr>
              <w:spacing w:before="100" w:beforeAutospacing="1" w:after="100" w:afterAutospacing="1" w:line="240" w:lineRule="auto"/>
              <w:contextualSpacing/>
              <w:rPr>
                <w:rFonts w:ascii="Times New Roman" w:hAnsi="Times New Roman" w:cs="Times New Roman"/>
                <w:iCs/>
                <w:sz w:val="24"/>
                <w:szCs w:val="24"/>
              </w:rPr>
            </w:pPr>
          </w:p>
        </w:tc>
        <w:tc>
          <w:tcPr>
            <w:tcW w:w="1118" w:type="dxa"/>
            <w:hideMark/>
          </w:tcPr>
          <w:p w14:paraId="1FED05DC"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c>
          <w:tcPr>
            <w:tcW w:w="1053" w:type="dxa"/>
            <w:hideMark/>
          </w:tcPr>
          <w:p w14:paraId="63068C81" w14:textId="77777777" w:rsidR="005E782B" w:rsidRPr="00E1092C" w:rsidRDefault="005E782B" w:rsidP="009C6996">
            <w:pPr>
              <w:spacing w:before="100" w:beforeAutospacing="1" w:after="100" w:afterAutospacing="1" w:line="240" w:lineRule="auto"/>
              <w:contextualSpacing/>
              <w:jc w:val="center"/>
              <w:rPr>
                <w:rFonts w:ascii="Times New Roman" w:hAnsi="Times New Roman" w:cs="Times New Roman"/>
                <w:iCs/>
                <w:sz w:val="24"/>
                <w:szCs w:val="24"/>
              </w:rPr>
            </w:pPr>
            <w:r w:rsidRPr="00E1092C">
              <w:rPr>
                <w:rFonts w:ascii="Times New Roman" w:hAnsi="Times New Roman" w:cs="Times New Roman"/>
                <w:iCs/>
                <w:sz w:val="24"/>
                <w:szCs w:val="24"/>
              </w:rPr>
              <w:t>0</w:t>
            </w:r>
          </w:p>
        </w:tc>
      </w:tr>
      <w:tr w:rsidR="005E782B" w:rsidRPr="00E1092C" w14:paraId="79D55235" w14:textId="77777777" w:rsidTr="009C6996">
        <w:trPr>
          <w:tblCellSpacing w:w="20" w:type="dxa"/>
        </w:trPr>
        <w:tc>
          <w:tcPr>
            <w:tcW w:w="1636" w:type="dxa"/>
            <w:hideMark/>
          </w:tcPr>
          <w:p w14:paraId="4B007574" w14:textId="77777777" w:rsidR="005E782B" w:rsidRPr="00E1092C" w:rsidRDefault="005E782B" w:rsidP="009C6996">
            <w:pPr>
              <w:spacing w:before="100" w:beforeAutospacing="1" w:after="100" w:afterAutospacing="1" w:line="240" w:lineRule="auto"/>
              <w:contextualSpacing/>
              <w:rPr>
                <w:rFonts w:ascii="Times New Roman" w:hAnsi="Times New Roman" w:cs="Times New Roman"/>
                <w:iCs/>
                <w:sz w:val="24"/>
                <w:szCs w:val="24"/>
              </w:rPr>
            </w:pPr>
            <w:r w:rsidRPr="00E1092C">
              <w:rPr>
                <w:rFonts w:ascii="Times New Roman" w:hAnsi="Times New Roman" w:cs="Times New Roman"/>
                <w:iCs/>
                <w:sz w:val="24"/>
                <w:szCs w:val="24"/>
              </w:rPr>
              <w:t>6. Detalizēts ieņēmumu un izdevumu aprēķins (ja nepieciešams, detalizētu ieņēmumu un izdevumu aprēķinu var pievienot anotācijas pielikumā)</w:t>
            </w:r>
          </w:p>
        </w:tc>
        <w:tc>
          <w:tcPr>
            <w:tcW w:w="7316" w:type="dxa"/>
            <w:gridSpan w:val="7"/>
            <w:vMerge w:val="restart"/>
          </w:tcPr>
          <w:p w14:paraId="1A889C10" w14:textId="14C0CDD0" w:rsidR="003514EF" w:rsidRPr="00E1092C" w:rsidRDefault="003514EF" w:rsidP="009C6996">
            <w:pPr>
              <w:spacing w:before="100" w:beforeAutospacing="1" w:after="100" w:afterAutospacing="1" w:line="240" w:lineRule="auto"/>
              <w:contextualSpacing/>
              <w:jc w:val="both"/>
              <w:rPr>
                <w:rFonts w:ascii="Times New Roman" w:hAnsi="Times New Roman" w:cs="Times New Roman"/>
                <w:iCs/>
                <w:sz w:val="24"/>
                <w:szCs w:val="24"/>
              </w:rPr>
            </w:pPr>
            <w:r w:rsidRPr="00E1092C">
              <w:rPr>
                <w:rFonts w:ascii="Times New Roman" w:hAnsi="Times New Roman" w:cs="Times New Roman"/>
                <w:iCs/>
                <w:sz w:val="24"/>
                <w:szCs w:val="24"/>
              </w:rPr>
              <w:t>1.</w:t>
            </w:r>
            <w:r w:rsidR="00936D48">
              <w:rPr>
                <w:rFonts w:ascii="Times New Roman" w:hAnsi="Times New Roman" w:cs="Times New Roman"/>
                <w:iCs/>
                <w:sz w:val="24"/>
                <w:szCs w:val="24"/>
              </w:rPr>
              <w:t> </w:t>
            </w:r>
            <w:r w:rsidRPr="00E1092C">
              <w:rPr>
                <w:rFonts w:ascii="Times New Roman" w:hAnsi="Times New Roman" w:cs="Times New Roman"/>
                <w:iCs/>
                <w:sz w:val="24"/>
                <w:szCs w:val="24"/>
              </w:rPr>
              <w:t>Ieņēmumu aprēķins</w:t>
            </w:r>
          </w:p>
          <w:p w14:paraId="05D7CD29" w14:textId="77777777" w:rsidR="003514EF" w:rsidRPr="00E1092C" w:rsidRDefault="003514EF" w:rsidP="009C6996">
            <w:pPr>
              <w:spacing w:before="100" w:beforeAutospacing="1" w:after="100" w:afterAutospacing="1" w:line="240" w:lineRule="auto"/>
              <w:ind w:left="23" w:firstLine="170"/>
              <w:contextualSpacing/>
              <w:jc w:val="both"/>
              <w:rPr>
                <w:rFonts w:ascii="Times New Roman" w:hAnsi="Times New Roman" w:cs="Times New Roman"/>
                <w:iCs/>
                <w:sz w:val="24"/>
                <w:szCs w:val="24"/>
              </w:rPr>
            </w:pPr>
          </w:p>
          <w:p w14:paraId="42E64BFA" w14:textId="69E87940" w:rsidR="00310C65" w:rsidRPr="00E1092C" w:rsidRDefault="00310C65" w:rsidP="0014306F">
            <w:pPr>
              <w:spacing w:before="100" w:beforeAutospacing="1" w:after="100" w:afterAutospacing="1" w:line="240" w:lineRule="auto"/>
              <w:contextualSpacing/>
              <w:jc w:val="both"/>
              <w:rPr>
                <w:rFonts w:ascii="Times New Roman" w:hAnsi="Times New Roman" w:cs="Times New Roman"/>
                <w:iCs/>
                <w:sz w:val="24"/>
                <w:szCs w:val="24"/>
              </w:rPr>
            </w:pPr>
            <w:r w:rsidRPr="00E1092C">
              <w:rPr>
                <w:rFonts w:ascii="Times New Roman" w:hAnsi="Times New Roman" w:cs="Times New Roman"/>
                <w:iCs/>
                <w:sz w:val="24"/>
                <w:szCs w:val="24"/>
              </w:rPr>
              <w:t xml:space="preserve">Maksas pakalpojuma </w:t>
            </w:r>
            <w:r w:rsidR="00013951" w:rsidRPr="00E1092C">
              <w:rPr>
                <w:rFonts w:ascii="Times New Roman" w:hAnsi="Times New Roman" w:cs="Times New Roman"/>
                <w:iCs/>
                <w:sz w:val="24"/>
                <w:szCs w:val="24"/>
              </w:rPr>
              <w:t xml:space="preserve">ietvaros plānotais sniegto pieprasījumu </w:t>
            </w:r>
            <w:r w:rsidRPr="00E1092C">
              <w:rPr>
                <w:rFonts w:ascii="Times New Roman" w:hAnsi="Times New Roman" w:cs="Times New Roman"/>
                <w:iCs/>
                <w:sz w:val="24"/>
                <w:szCs w:val="24"/>
              </w:rPr>
              <w:t xml:space="preserve">skaits </w:t>
            </w:r>
            <w:r w:rsidR="008013EE" w:rsidRPr="00E1092C">
              <w:rPr>
                <w:rFonts w:ascii="Times New Roman" w:hAnsi="Times New Roman" w:cs="Times New Roman"/>
                <w:iCs/>
                <w:sz w:val="24"/>
                <w:szCs w:val="24"/>
              </w:rPr>
              <w:t>gadā</w:t>
            </w:r>
            <w:r w:rsidR="00936D48">
              <w:rPr>
                <w:rFonts w:ascii="Times New Roman" w:hAnsi="Times New Roman" w:cs="Times New Roman"/>
                <w:iCs/>
                <w:sz w:val="24"/>
                <w:szCs w:val="24"/>
              </w:rPr>
              <w:t> </w:t>
            </w:r>
            <w:r w:rsidRPr="00E1092C">
              <w:rPr>
                <w:rFonts w:ascii="Times New Roman" w:hAnsi="Times New Roman" w:cs="Times New Roman"/>
                <w:iCs/>
                <w:sz w:val="24"/>
                <w:szCs w:val="24"/>
              </w:rPr>
              <w:t xml:space="preserve">– </w:t>
            </w:r>
            <w:r w:rsidR="00020779" w:rsidRPr="00E1092C">
              <w:rPr>
                <w:rFonts w:ascii="Times New Roman" w:hAnsi="Times New Roman" w:cs="Times New Roman"/>
                <w:iCs/>
                <w:sz w:val="24"/>
                <w:szCs w:val="24"/>
              </w:rPr>
              <w:t>2</w:t>
            </w:r>
            <w:r w:rsidR="009E02B4" w:rsidRPr="00E1092C">
              <w:rPr>
                <w:rFonts w:ascii="Times New Roman" w:hAnsi="Times New Roman" w:cs="Times New Roman"/>
                <w:iCs/>
                <w:sz w:val="24"/>
                <w:szCs w:val="24"/>
              </w:rPr>
              <w:t> </w:t>
            </w:r>
            <w:r w:rsidRPr="00E1092C">
              <w:rPr>
                <w:rFonts w:ascii="Times New Roman" w:hAnsi="Times New Roman" w:cs="Times New Roman"/>
                <w:iCs/>
                <w:sz w:val="24"/>
                <w:szCs w:val="24"/>
              </w:rPr>
              <w:t>000</w:t>
            </w:r>
            <w:r w:rsidR="009E02B4" w:rsidRPr="00E1092C">
              <w:rPr>
                <w:rFonts w:ascii="Times New Roman" w:hAnsi="Times New Roman" w:cs="Times New Roman"/>
                <w:iCs/>
                <w:sz w:val="24"/>
                <w:szCs w:val="24"/>
              </w:rPr>
              <w:t> </w:t>
            </w:r>
            <w:r w:rsidRPr="00E1092C">
              <w:rPr>
                <w:rFonts w:ascii="Times New Roman" w:hAnsi="Times New Roman" w:cs="Times New Roman"/>
                <w:iCs/>
                <w:sz w:val="24"/>
                <w:szCs w:val="24"/>
              </w:rPr>
              <w:t>000</w:t>
            </w:r>
            <w:r w:rsidR="00544D11">
              <w:rPr>
                <w:rFonts w:ascii="Times New Roman" w:hAnsi="Times New Roman" w:cs="Times New Roman"/>
                <w:iCs/>
                <w:sz w:val="24"/>
                <w:szCs w:val="24"/>
              </w:rPr>
              <w:t> </w:t>
            </w:r>
            <w:r w:rsidRPr="00E1092C">
              <w:rPr>
                <w:rFonts w:ascii="Times New Roman" w:hAnsi="Times New Roman" w:cs="Times New Roman"/>
                <w:iCs/>
                <w:sz w:val="24"/>
                <w:szCs w:val="24"/>
              </w:rPr>
              <w:t>pieprasījumi</w:t>
            </w:r>
            <w:r w:rsidR="009E02B4" w:rsidRPr="00E1092C">
              <w:rPr>
                <w:rFonts w:ascii="Times New Roman" w:hAnsi="Times New Roman" w:cs="Times New Roman"/>
                <w:iCs/>
                <w:sz w:val="24"/>
                <w:szCs w:val="24"/>
              </w:rPr>
              <w:t xml:space="preserve"> (divi uzņēmumi </w:t>
            </w:r>
            <w:r w:rsidR="00936D48">
              <w:rPr>
                <w:rFonts w:ascii="Times New Roman" w:hAnsi="Times New Roman" w:cs="Times New Roman"/>
                <w:iCs/>
                <w:sz w:val="24"/>
                <w:szCs w:val="24"/>
              </w:rPr>
              <w:t xml:space="preserve">– </w:t>
            </w:r>
            <w:r w:rsidR="009E02B4" w:rsidRPr="00E1092C">
              <w:rPr>
                <w:rFonts w:ascii="Times New Roman" w:hAnsi="Times New Roman" w:cs="Times New Roman"/>
                <w:iCs/>
                <w:sz w:val="24"/>
                <w:szCs w:val="24"/>
              </w:rPr>
              <w:t>1 000 000</w:t>
            </w:r>
            <w:r w:rsidR="00544D11">
              <w:rPr>
                <w:rFonts w:ascii="Times New Roman" w:hAnsi="Times New Roman" w:cs="Times New Roman"/>
                <w:iCs/>
                <w:sz w:val="24"/>
                <w:szCs w:val="24"/>
              </w:rPr>
              <w:t> </w:t>
            </w:r>
            <w:r w:rsidR="009E02B4" w:rsidRPr="00E1092C">
              <w:rPr>
                <w:rFonts w:ascii="Times New Roman" w:hAnsi="Times New Roman" w:cs="Times New Roman"/>
                <w:iCs/>
                <w:sz w:val="24"/>
                <w:szCs w:val="24"/>
              </w:rPr>
              <w:t>pieprasījumi katram).</w:t>
            </w:r>
          </w:p>
          <w:p w14:paraId="17FD847F" w14:textId="0149E53B" w:rsidR="00310C65" w:rsidRPr="00E1092C" w:rsidRDefault="00310C65" w:rsidP="0014306F">
            <w:pPr>
              <w:spacing w:before="100" w:beforeAutospacing="1" w:after="100" w:afterAutospacing="1" w:line="240" w:lineRule="auto"/>
              <w:contextualSpacing/>
              <w:jc w:val="both"/>
              <w:rPr>
                <w:rFonts w:ascii="Times New Roman" w:hAnsi="Times New Roman" w:cs="Times New Roman"/>
                <w:iCs/>
                <w:sz w:val="24"/>
                <w:szCs w:val="24"/>
              </w:rPr>
            </w:pPr>
            <w:r w:rsidRPr="00E1092C">
              <w:rPr>
                <w:rFonts w:ascii="Times New Roman" w:hAnsi="Times New Roman" w:cs="Times New Roman"/>
                <w:iCs/>
                <w:sz w:val="24"/>
                <w:szCs w:val="24"/>
              </w:rPr>
              <w:t>Maksas pakalpojuma</w:t>
            </w:r>
            <w:r w:rsidR="00013951" w:rsidRPr="00E1092C">
              <w:rPr>
                <w:rFonts w:ascii="Times New Roman" w:hAnsi="Times New Roman" w:cs="Times New Roman"/>
                <w:iCs/>
                <w:sz w:val="24"/>
                <w:szCs w:val="24"/>
              </w:rPr>
              <w:t xml:space="preserve"> ietvaros izpildītā viena pieprasījuma</w:t>
            </w:r>
            <w:r w:rsidRPr="00E1092C">
              <w:rPr>
                <w:rFonts w:ascii="Times New Roman" w:hAnsi="Times New Roman" w:cs="Times New Roman"/>
                <w:iCs/>
                <w:sz w:val="24"/>
                <w:szCs w:val="24"/>
              </w:rPr>
              <w:t xml:space="preserve"> izcenojums (maksas pakalpojuma izmaksas </w:t>
            </w:r>
            <w:r w:rsidR="00560272" w:rsidRPr="00E1092C">
              <w:rPr>
                <w:rFonts w:ascii="Times New Roman" w:hAnsi="Times New Roman" w:cs="Times New Roman"/>
                <w:iCs/>
                <w:sz w:val="24"/>
                <w:szCs w:val="24"/>
              </w:rPr>
              <w:t xml:space="preserve">gadā </w:t>
            </w:r>
            <w:r w:rsidRPr="00E1092C">
              <w:rPr>
                <w:rFonts w:ascii="Times New Roman" w:hAnsi="Times New Roman" w:cs="Times New Roman"/>
                <w:iCs/>
                <w:sz w:val="24"/>
                <w:szCs w:val="24"/>
              </w:rPr>
              <w:t>kopā, dalītas ar maksas pakalpojuma vienību skaitu gad</w:t>
            </w:r>
            <w:r w:rsidR="00560272" w:rsidRPr="00E1092C">
              <w:rPr>
                <w:rFonts w:ascii="Times New Roman" w:hAnsi="Times New Roman" w:cs="Times New Roman"/>
                <w:iCs/>
                <w:sz w:val="24"/>
                <w:szCs w:val="24"/>
              </w:rPr>
              <w:t>ā</w:t>
            </w:r>
            <w:r w:rsidRPr="00E1092C">
              <w:rPr>
                <w:rFonts w:ascii="Times New Roman" w:hAnsi="Times New Roman" w:cs="Times New Roman"/>
                <w:iCs/>
                <w:sz w:val="24"/>
                <w:szCs w:val="24"/>
              </w:rPr>
              <w:t xml:space="preserve">) – </w:t>
            </w:r>
            <w:r w:rsidR="00D431F5" w:rsidRPr="00E1092C">
              <w:rPr>
                <w:rFonts w:ascii="Times New Roman" w:hAnsi="Times New Roman" w:cs="Times New Roman"/>
                <w:iCs/>
                <w:sz w:val="24"/>
                <w:szCs w:val="24"/>
              </w:rPr>
              <w:t>129 </w:t>
            </w:r>
            <w:r w:rsidR="00560272" w:rsidRPr="00E1092C">
              <w:rPr>
                <w:rFonts w:ascii="Times New Roman" w:hAnsi="Times New Roman" w:cs="Times New Roman"/>
                <w:iCs/>
                <w:sz w:val="24"/>
                <w:szCs w:val="24"/>
              </w:rPr>
              <w:t>828,84</w:t>
            </w:r>
            <w:r w:rsidR="00936D48">
              <w:rPr>
                <w:rFonts w:ascii="Times New Roman" w:hAnsi="Times New Roman" w:cs="Times New Roman"/>
                <w:iCs/>
                <w:sz w:val="24"/>
                <w:szCs w:val="24"/>
              </w:rPr>
              <w:t> </w:t>
            </w:r>
            <w:proofErr w:type="spellStart"/>
            <w:r w:rsidRPr="00E1092C">
              <w:rPr>
                <w:rFonts w:ascii="Times New Roman" w:hAnsi="Times New Roman" w:cs="Times New Roman"/>
                <w:i/>
                <w:iCs/>
                <w:sz w:val="24"/>
                <w:szCs w:val="24"/>
              </w:rPr>
              <w:t>euro</w:t>
            </w:r>
            <w:proofErr w:type="spellEnd"/>
            <w:r w:rsidRPr="00E1092C">
              <w:rPr>
                <w:rFonts w:ascii="Times New Roman" w:hAnsi="Times New Roman" w:cs="Times New Roman"/>
                <w:iCs/>
                <w:sz w:val="24"/>
                <w:szCs w:val="24"/>
              </w:rPr>
              <w:t xml:space="preserve"> / </w:t>
            </w:r>
            <w:r w:rsidR="00560272" w:rsidRPr="00E1092C">
              <w:rPr>
                <w:rFonts w:ascii="Times New Roman" w:hAnsi="Times New Roman" w:cs="Times New Roman"/>
                <w:iCs/>
                <w:sz w:val="24"/>
                <w:szCs w:val="24"/>
              </w:rPr>
              <w:t>2</w:t>
            </w:r>
            <w:r w:rsidR="00D431F5" w:rsidRPr="00E1092C">
              <w:rPr>
                <w:rFonts w:ascii="Times New Roman" w:hAnsi="Times New Roman" w:cs="Times New Roman"/>
                <w:iCs/>
                <w:sz w:val="24"/>
                <w:szCs w:val="24"/>
              </w:rPr>
              <w:t> </w:t>
            </w:r>
            <w:r w:rsidRPr="00E1092C">
              <w:rPr>
                <w:rFonts w:ascii="Times New Roman" w:hAnsi="Times New Roman" w:cs="Times New Roman"/>
                <w:iCs/>
                <w:sz w:val="24"/>
                <w:szCs w:val="24"/>
              </w:rPr>
              <w:t>000</w:t>
            </w:r>
            <w:r w:rsidR="00544D11">
              <w:rPr>
                <w:rFonts w:ascii="Times New Roman" w:hAnsi="Times New Roman" w:cs="Times New Roman"/>
                <w:iCs/>
                <w:sz w:val="24"/>
                <w:szCs w:val="24"/>
              </w:rPr>
              <w:t> </w:t>
            </w:r>
            <w:r w:rsidRPr="00E1092C">
              <w:rPr>
                <w:rFonts w:ascii="Times New Roman" w:hAnsi="Times New Roman" w:cs="Times New Roman"/>
                <w:iCs/>
                <w:sz w:val="24"/>
                <w:szCs w:val="24"/>
              </w:rPr>
              <w:t>000</w:t>
            </w:r>
            <w:r w:rsidR="00544D11">
              <w:rPr>
                <w:rFonts w:ascii="Times New Roman" w:hAnsi="Times New Roman" w:cs="Times New Roman"/>
                <w:iCs/>
                <w:sz w:val="24"/>
                <w:szCs w:val="24"/>
              </w:rPr>
              <w:t> </w:t>
            </w:r>
            <w:r w:rsidRPr="00E1092C">
              <w:rPr>
                <w:rFonts w:ascii="Times New Roman" w:hAnsi="Times New Roman" w:cs="Times New Roman"/>
                <w:iCs/>
                <w:sz w:val="24"/>
                <w:szCs w:val="24"/>
              </w:rPr>
              <w:t xml:space="preserve">pieprasījumu skaits = </w:t>
            </w:r>
            <w:r w:rsidR="00560272" w:rsidRPr="00E1092C">
              <w:rPr>
                <w:rFonts w:ascii="Times New Roman" w:hAnsi="Times New Roman" w:cs="Times New Roman"/>
                <w:iCs/>
                <w:sz w:val="24"/>
                <w:szCs w:val="24"/>
              </w:rPr>
              <w:t>0,0649</w:t>
            </w:r>
            <w:r w:rsidR="00936D48">
              <w:rPr>
                <w:rFonts w:ascii="Times New Roman" w:hAnsi="Times New Roman" w:cs="Times New Roman"/>
                <w:iCs/>
                <w:sz w:val="24"/>
                <w:szCs w:val="24"/>
              </w:rPr>
              <w:t> </w:t>
            </w:r>
            <w:proofErr w:type="spellStart"/>
            <w:r w:rsidRPr="00E1092C">
              <w:rPr>
                <w:rFonts w:ascii="Times New Roman" w:hAnsi="Times New Roman" w:cs="Times New Roman"/>
                <w:i/>
                <w:iCs/>
                <w:sz w:val="24"/>
                <w:szCs w:val="24"/>
              </w:rPr>
              <w:t>euro</w:t>
            </w:r>
            <w:proofErr w:type="spellEnd"/>
            <w:r w:rsidRPr="00E1092C">
              <w:rPr>
                <w:rFonts w:ascii="Times New Roman" w:hAnsi="Times New Roman" w:cs="Times New Roman"/>
                <w:iCs/>
                <w:sz w:val="24"/>
                <w:szCs w:val="24"/>
              </w:rPr>
              <w:t xml:space="preserve"> (viena pieprasījuma cena).</w:t>
            </w:r>
          </w:p>
          <w:p w14:paraId="73D0CB55" w14:textId="777C9BB0" w:rsidR="00310C65" w:rsidRPr="00E1092C" w:rsidRDefault="00310C65" w:rsidP="0014306F">
            <w:pPr>
              <w:spacing w:before="100" w:beforeAutospacing="1" w:after="100" w:afterAutospacing="1" w:line="240" w:lineRule="auto"/>
              <w:contextualSpacing/>
              <w:jc w:val="both"/>
              <w:rPr>
                <w:rFonts w:ascii="Times New Roman" w:hAnsi="Times New Roman" w:cs="Times New Roman"/>
                <w:iCs/>
                <w:sz w:val="24"/>
                <w:szCs w:val="24"/>
              </w:rPr>
            </w:pPr>
            <w:r w:rsidRPr="00E1092C">
              <w:rPr>
                <w:rFonts w:ascii="Times New Roman" w:hAnsi="Times New Roman" w:cs="Times New Roman"/>
                <w:iCs/>
                <w:sz w:val="24"/>
                <w:szCs w:val="24"/>
              </w:rPr>
              <w:t xml:space="preserve">Prognozētie ieņēmumi (prognozētais maksas pakalpojuma </w:t>
            </w:r>
            <w:r w:rsidR="00013951" w:rsidRPr="00E1092C">
              <w:rPr>
                <w:rFonts w:ascii="Times New Roman" w:hAnsi="Times New Roman" w:cs="Times New Roman"/>
                <w:iCs/>
                <w:sz w:val="24"/>
                <w:szCs w:val="24"/>
              </w:rPr>
              <w:t xml:space="preserve">ietvaros izpildīto pieprasījumu </w:t>
            </w:r>
            <w:r w:rsidRPr="00E1092C">
              <w:rPr>
                <w:rFonts w:ascii="Times New Roman" w:hAnsi="Times New Roman" w:cs="Times New Roman"/>
                <w:iCs/>
                <w:sz w:val="24"/>
                <w:szCs w:val="24"/>
              </w:rPr>
              <w:t xml:space="preserve">skaits, reizināts ar </w:t>
            </w:r>
            <w:r w:rsidR="00013951" w:rsidRPr="00E1092C">
              <w:rPr>
                <w:rFonts w:ascii="Times New Roman" w:hAnsi="Times New Roman" w:cs="Times New Roman"/>
                <w:iCs/>
                <w:sz w:val="24"/>
                <w:szCs w:val="24"/>
              </w:rPr>
              <w:t xml:space="preserve">viena pieprasījuma </w:t>
            </w:r>
            <w:r w:rsidRPr="00E1092C">
              <w:rPr>
                <w:rFonts w:ascii="Times New Roman" w:hAnsi="Times New Roman" w:cs="Times New Roman"/>
                <w:iCs/>
                <w:sz w:val="24"/>
                <w:szCs w:val="24"/>
              </w:rPr>
              <w:t xml:space="preserve">pakalpojuma izcenojumu): </w:t>
            </w:r>
            <w:r w:rsidR="00013951" w:rsidRPr="00E1092C">
              <w:rPr>
                <w:rFonts w:ascii="Times New Roman" w:hAnsi="Times New Roman" w:cs="Times New Roman"/>
                <w:iCs/>
                <w:sz w:val="24"/>
                <w:szCs w:val="24"/>
              </w:rPr>
              <w:t>2 </w:t>
            </w:r>
            <w:r w:rsidRPr="00E1092C">
              <w:rPr>
                <w:rFonts w:ascii="Times New Roman" w:hAnsi="Times New Roman" w:cs="Times New Roman"/>
                <w:iCs/>
                <w:sz w:val="24"/>
                <w:szCs w:val="24"/>
              </w:rPr>
              <w:t>000</w:t>
            </w:r>
            <w:r w:rsidR="009E02B4" w:rsidRPr="00E1092C">
              <w:rPr>
                <w:rFonts w:ascii="Times New Roman" w:hAnsi="Times New Roman" w:cs="Times New Roman"/>
                <w:iCs/>
                <w:sz w:val="24"/>
                <w:szCs w:val="24"/>
              </w:rPr>
              <w:t> </w:t>
            </w:r>
            <w:r w:rsidRPr="00E1092C">
              <w:rPr>
                <w:rFonts w:ascii="Times New Roman" w:hAnsi="Times New Roman" w:cs="Times New Roman"/>
                <w:iCs/>
                <w:sz w:val="24"/>
                <w:szCs w:val="24"/>
              </w:rPr>
              <w:t>000 * 0,0</w:t>
            </w:r>
            <w:r w:rsidR="00993518" w:rsidRPr="00E1092C">
              <w:rPr>
                <w:rFonts w:ascii="Times New Roman" w:hAnsi="Times New Roman" w:cs="Times New Roman"/>
                <w:iCs/>
                <w:sz w:val="24"/>
                <w:szCs w:val="24"/>
              </w:rPr>
              <w:t>649</w:t>
            </w:r>
            <w:r w:rsidR="00936D48">
              <w:rPr>
                <w:rFonts w:ascii="Times New Roman" w:hAnsi="Times New Roman" w:cs="Times New Roman"/>
                <w:iCs/>
                <w:sz w:val="24"/>
                <w:szCs w:val="24"/>
              </w:rPr>
              <w:t> </w:t>
            </w:r>
            <w:proofErr w:type="spellStart"/>
            <w:r w:rsidRPr="00E1092C">
              <w:rPr>
                <w:rFonts w:ascii="Times New Roman" w:hAnsi="Times New Roman" w:cs="Times New Roman"/>
                <w:i/>
                <w:iCs/>
                <w:sz w:val="24"/>
                <w:szCs w:val="24"/>
              </w:rPr>
              <w:t>euro</w:t>
            </w:r>
            <w:proofErr w:type="spellEnd"/>
            <w:r w:rsidRPr="00E1092C">
              <w:rPr>
                <w:rFonts w:ascii="Times New Roman" w:hAnsi="Times New Roman" w:cs="Times New Roman"/>
                <w:iCs/>
                <w:sz w:val="24"/>
                <w:szCs w:val="24"/>
              </w:rPr>
              <w:t xml:space="preserve"> = </w:t>
            </w:r>
            <w:r w:rsidR="00013951" w:rsidRPr="00E1092C">
              <w:rPr>
                <w:rFonts w:ascii="Times New Roman" w:hAnsi="Times New Roman" w:cs="Times New Roman"/>
                <w:iCs/>
                <w:sz w:val="24"/>
                <w:szCs w:val="24"/>
              </w:rPr>
              <w:t>129</w:t>
            </w:r>
            <w:r w:rsidR="00936D48">
              <w:rPr>
                <w:rFonts w:ascii="Times New Roman" w:hAnsi="Times New Roman" w:cs="Times New Roman"/>
                <w:iCs/>
                <w:sz w:val="24"/>
                <w:szCs w:val="24"/>
              </w:rPr>
              <w:t> </w:t>
            </w:r>
            <w:r w:rsidR="00013951" w:rsidRPr="00E1092C">
              <w:rPr>
                <w:rFonts w:ascii="Times New Roman" w:hAnsi="Times New Roman" w:cs="Times New Roman"/>
                <w:iCs/>
                <w:sz w:val="24"/>
                <w:szCs w:val="24"/>
              </w:rPr>
              <w:t>8</w:t>
            </w:r>
            <w:r w:rsidR="00993518" w:rsidRPr="00E1092C">
              <w:rPr>
                <w:rFonts w:ascii="Times New Roman" w:hAnsi="Times New Roman" w:cs="Times New Roman"/>
                <w:iCs/>
                <w:sz w:val="24"/>
                <w:szCs w:val="24"/>
              </w:rPr>
              <w:t>00</w:t>
            </w:r>
            <w:r w:rsidR="00936D48">
              <w:rPr>
                <w:rFonts w:ascii="Times New Roman" w:hAnsi="Times New Roman" w:cs="Times New Roman"/>
                <w:iCs/>
                <w:sz w:val="24"/>
                <w:szCs w:val="24"/>
              </w:rPr>
              <w:t> </w:t>
            </w:r>
            <w:proofErr w:type="spellStart"/>
            <w:r w:rsidRPr="00E1092C">
              <w:rPr>
                <w:rFonts w:ascii="Times New Roman" w:hAnsi="Times New Roman" w:cs="Times New Roman"/>
                <w:i/>
                <w:iCs/>
                <w:sz w:val="24"/>
                <w:szCs w:val="24"/>
              </w:rPr>
              <w:t>euro</w:t>
            </w:r>
            <w:proofErr w:type="spellEnd"/>
            <w:r w:rsidRPr="00E1092C">
              <w:rPr>
                <w:rFonts w:ascii="Times New Roman" w:hAnsi="Times New Roman" w:cs="Times New Roman"/>
                <w:iCs/>
                <w:sz w:val="24"/>
                <w:szCs w:val="24"/>
              </w:rPr>
              <w:t>.</w:t>
            </w:r>
          </w:p>
          <w:p w14:paraId="4F3D63B0" w14:textId="77009D40" w:rsidR="003514EF" w:rsidRPr="00E1092C" w:rsidRDefault="0030029C" w:rsidP="0014306F">
            <w:pPr>
              <w:spacing w:before="100" w:beforeAutospacing="1" w:after="100" w:afterAutospacing="1" w:line="240" w:lineRule="auto"/>
              <w:contextualSpacing/>
              <w:jc w:val="both"/>
              <w:rPr>
                <w:rFonts w:ascii="Times New Roman" w:hAnsi="Times New Roman" w:cs="Times New Roman"/>
                <w:iCs/>
                <w:sz w:val="24"/>
                <w:szCs w:val="24"/>
              </w:rPr>
            </w:pPr>
            <w:r w:rsidRPr="00E1092C">
              <w:rPr>
                <w:rFonts w:ascii="Times New Roman" w:hAnsi="Times New Roman" w:cs="Times New Roman"/>
                <w:iCs/>
                <w:sz w:val="24"/>
                <w:szCs w:val="24"/>
              </w:rPr>
              <w:t xml:space="preserve">Plānots, ka </w:t>
            </w:r>
            <w:r w:rsidR="00CB2D8B" w:rsidRPr="00E1092C">
              <w:rPr>
                <w:rFonts w:ascii="Times New Roman" w:hAnsi="Times New Roman" w:cs="Times New Roman"/>
                <w:iCs/>
                <w:sz w:val="24"/>
                <w:szCs w:val="24"/>
              </w:rPr>
              <w:t>līdz 2021.</w:t>
            </w:r>
            <w:r w:rsidR="00936D48">
              <w:rPr>
                <w:rFonts w:ascii="Times New Roman" w:hAnsi="Times New Roman" w:cs="Times New Roman"/>
                <w:iCs/>
                <w:sz w:val="24"/>
                <w:szCs w:val="24"/>
              </w:rPr>
              <w:t> </w:t>
            </w:r>
            <w:r w:rsidR="00CB2D8B" w:rsidRPr="00E1092C">
              <w:rPr>
                <w:rFonts w:ascii="Times New Roman" w:hAnsi="Times New Roman" w:cs="Times New Roman"/>
                <w:iCs/>
                <w:sz w:val="24"/>
                <w:szCs w:val="24"/>
              </w:rPr>
              <w:t>gada 1.</w:t>
            </w:r>
            <w:r w:rsidR="00936D48">
              <w:rPr>
                <w:rFonts w:ascii="Times New Roman" w:hAnsi="Times New Roman" w:cs="Times New Roman"/>
                <w:iCs/>
                <w:sz w:val="24"/>
                <w:szCs w:val="24"/>
              </w:rPr>
              <w:t> </w:t>
            </w:r>
            <w:r w:rsidR="0014306F">
              <w:rPr>
                <w:rFonts w:ascii="Times New Roman" w:hAnsi="Times New Roman" w:cs="Times New Roman"/>
                <w:iCs/>
                <w:sz w:val="24"/>
                <w:szCs w:val="24"/>
              </w:rPr>
              <w:t>augustam</w:t>
            </w:r>
            <w:r w:rsidR="0014306F" w:rsidRPr="00E1092C">
              <w:rPr>
                <w:rFonts w:ascii="Times New Roman" w:hAnsi="Times New Roman" w:cs="Times New Roman"/>
                <w:iCs/>
                <w:sz w:val="24"/>
                <w:szCs w:val="24"/>
              </w:rPr>
              <w:t xml:space="preserve"> </w:t>
            </w:r>
            <w:r w:rsidR="000B1416" w:rsidRPr="00E1092C">
              <w:rPr>
                <w:rFonts w:ascii="Times New Roman" w:hAnsi="Times New Roman" w:cs="Times New Roman"/>
                <w:iCs/>
                <w:sz w:val="24"/>
                <w:szCs w:val="24"/>
              </w:rPr>
              <w:t xml:space="preserve">kredītinformācijas biroji </w:t>
            </w:r>
            <w:r w:rsidRPr="00E1092C">
              <w:rPr>
                <w:rFonts w:ascii="Times New Roman" w:hAnsi="Times New Roman" w:cs="Times New Roman"/>
                <w:iCs/>
                <w:sz w:val="24"/>
                <w:szCs w:val="24"/>
              </w:rPr>
              <w:t xml:space="preserve">pakalpojumu iegādāsies </w:t>
            </w:r>
            <w:r w:rsidR="000B1416" w:rsidRPr="00E1092C">
              <w:rPr>
                <w:rFonts w:ascii="Times New Roman" w:hAnsi="Times New Roman" w:cs="Times New Roman"/>
                <w:iCs/>
                <w:sz w:val="24"/>
                <w:szCs w:val="24"/>
              </w:rPr>
              <w:t xml:space="preserve">par iepriekš noteikto maksu </w:t>
            </w:r>
            <w:r w:rsidR="000B1416" w:rsidRPr="00E1092C">
              <w:rPr>
                <w:rFonts w:ascii="Times New Roman" w:hAnsi="Times New Roman" w:cs="Times New Roman"/>
                <w:i/>
                <w:iCs/>
                <w:sz w:val="24"/>
                <w:szCs w:val="24"/>
              </w:rPr>
              <w:t>(17 722,50</w:t>
            </w:r>
            <w:r w:rsidR="00936D48">
              <w:rPr>
                <w:rFonts w:ascii="Times New Roman" w:hAnsi="Times New Roman" w:cs="Times New Roman"/>
                <w:i/>
                <w:iCs/>
                <w:sz w:val="24"/>
                <w:szCs w:val="24"/>
              </w:rPr>
              <w:t> </w:t>
            </w:r>
            <w:proofErr w:type="spellStart"/>
            <w:r w:rsidR="000B1416" w:rsidRPr="00E1092C">
              <w:rPr>
                <w:rFonts w:ascii="Times New Roman" w:hAnsi="Times New Roman" w:cs="Times New Roman"/>
                <w:i/>
                <w:iCs/>
                <w:sz w:val="24"/>
                <w:szCs w:val="24"/>
              </w:rPr>
              <w:t>euro</w:t>
            </w:r>
            <w:proofErr w:type="spellEnd"/>
            <w:r w:rsidR="000B1416" w:rsidRPr="00E1092C">
              <w:rPr>
                <w:rFonts w:ascii="Times New Roman" w:hAnsi="Times New Roman" w:cs="Times New Roman"/>
                <w:i/>
                <w:iCs/>
                <w:sz w:val="24"/>
                <w:szCs w:val="24"/>
              </w:rPr>
              <w:t xml:space="preserve"> * </w:t>
            </w:r>
            <w:r w:rsidR="00CF7A0E" w:rsidRPr="00E1092C">
              <w:rPr>
                <w:rFonts w:ascii="Times New Roman" w:hAnsi="Times New Roman" w:cs="Times New Roman"/>
                <w:i/>
                <w:iCs/>
                <w:sz w:val="24"/>
                <w:szCs w:val="24"/>
              </w:rPr>
              <w:t xml:space="preserve">1 maksājums </w:t>
            </w:r>
            <w:r w:rsidR="000B1416" w:rsidRPr="00E1092C">
              <w:rPr>
                <w:rFonts w:ascii="Times New Roman" w:hAnsi="Times New Roman" w:cs="Times New Roman"/>
                <w:i/>
                <w:iCs/>
                <w:sz w:val="24"/>
                <w:szCs w:val="24"/>
              </w:rPr>
              <w:t xml:space="preserve">* </w:t>
            </w:r>
            <w:r w:rsidR="00CF7A0E" w:rsidRPr="00E1092C">
              <w:rPr>
                <w:rFonts w:ascii="Times New Roman" w:hAnsi="Times New Roman" w:cs="Times New Roman"/>
                <w:i/>
                <w:iCs/>
                <w:sz w:val="24"/>
                <w:szCs w:val="24"/>
              </w:rPr>
              <w:t>2 uzņēmumi</w:t>
            </w:r>
            <w:r w:rsidR="000B1416" w:rsidRPr="00E1092C">
              <w:rPr>
                <w:rFonts w:ascii="Times New Roman" w:hAnsi="Times New Roman" w:cs="Times New Roman"/>
                <w:i/>
                <w:iCs/>
                <w:sz w:val="24"/>
                <w:szCs w:val="24"/>
              </w:rPr>
              <w:t>)</w:t>
            </w:r>
            <w:r w:rsidR="008112F1" w:rsidRPr="00E1092C">
              <w:rPr>
                <w:rFonts w:ascii="Times New Roman" w:hAnsi="Times New Roman" w:cs="Times New Roman"/>
                <w:iCs/>
                <w:sz w:val="24"/>
                <w:szCs w:val="24"/>
              </w:rPr>
              <w:t>,</w:t>
            </w:r>
            <w:r w:rsidRPr="00E1092C">
              <w:rPr>
                <w:rFonts w:ascii="Times New Roman" w:hAnsi="Times New Roman" w:cs="Times New Roman"/>
                <w:iCs/>
                <w:sz w:val="24"/>
                <w:szCs w:val="24"/>
              </w:rPr>
              <w:t xml:space="preserve"> </w:t>
            </w:r>
            <w:r w:rsidR="000B1416" w:rsidRPr="00E1092C">
              <w:rPr>
                <w:rFonts w:ascii="Times New Roman" w:hAnsi="Times New Roman" w:cs="Times New Roman"/>
                <w:iCs/>
                <w:sz w:val="24"/>
                <w:szCs w:val="24"/>
              </w:rPr>
              <w:t>savukārt</w:t>
            </w:r>
            <w:r w:rsidR="008112F1" w:rsidRPr="00E1092C">
              <w:rPr>
                <w:rFonts w:ascii="Times New Roman" w:hAnsi="Times New Roman" w:cs="Times New Roman"/>
                <w:iCs/>
                <w:sz w:val="24"/>
                <w:szCs w:val="24"/>
              </w:rPr>
              <w:t xml:space="preserve"> no 2021.</w:t>
            </w:r>
            <w:r w:rsidR="00936D48">
              <w:rPr>
                <w:rFonts w:ascii="Times New Roman" w:hAnsi="Times New Roman" w:cs="Times New Roman"/>
                <w:iCs/>
                <w:sz w:val="24"/>
                <w:szCs w:val="24"/>
              </w:rPr>
              <w:t> </w:t>
            </w:r>
            <w:r w:rsidR="008112F1" w:rsidRPr="00E1092C">
              <w:rPr>
                <w:rFonts w:ascii="Times New Roman" w:hAnsi="Times New Roman" w:cs="Times New Roman"/>
                <w:iCs/>
                <w:sz w:val="24"/>
                <w:szCs w:val="24"/>
              </w:rPr>
              <w:t>gada 1.</w:t>
            </w:r>
            <w:r w:rsidR="00936D48">
              <w:rPr>
                <w:rFonts w:ascii="Times New Roman" w:hAnsi="Times New Roman" w:cs="Times New Roman"/>
                <w:iCs/>
                <w:sz w:val="24"/>
                <w:szCs w:val="24"/>
              </w:rPr>
              <w:t> </w:t>
            </w:r>
            <w:r w:rsidR="0014306F">
              <w:rPr>
                <w:rFonts w:ascii="Times New Roman" w:hAnsi="Times New Roman" w:cs="Times New Roman"/>
                <w:iCs/>
                <w:sz w:val="24"/>
                <w:szCs w:val="24"/>
              </w:rPr>
              <w:t>augusta</w:t>
            </w:r>
            <w:r w:rsidR="000B1416" w:rsidRPr="00E1092C">
              <w:rPr>
                <w:rFonts w:ascii="Times New Roman" w:hAnsi="Times New Roman" w:cs="Times New Roman"/>
                <w:iCs/>
                <w:sz w:val="24"/>
                <w:szCs w:val="24"/>
              </w:rPr>
              <w:t xml:space="preserve"> pakalpojumu iegādāsies par jauno maksu (16 225</w:t>
            </w:r>
            <w:r w:rsidR="00936D48">
              <w:rPr>
                <w:rFonts w:ascii="Times New Roman" w:hAnsi="Times New Roman" w:cs="Times New Roman"/>
                <w:iCs/>
                <w:sz w:val="24"/>
                <w:szCs w:val="24"/>
              </w:rPr>
              <w:t> </w:t>
            </w:r>
            <w:proofErr w:type="spellStart"/>
            <w:r w:rsidR="000B1416" w:rsidRPr="00E1092C">
              <w:rPr>
                <w:rFonts w:ascii="Times New Roman" w:hAnsi="Times New Roman" w:cs="Times New Roman"/>
                <w:i/>
                <w:iCs/>
                <w:sz w:val="24"/>
                <w:szCs w:val="24"/>
              </w:rPr>
              <w:t>euro</w:t>
            </w:r>
            <w:proofErr w:type="spellEnd"/>
            <w:r w:rsidR="000B1416" w:rsidRPr="00E1092C">
              <w:rPr>
                <w:rFonts w:ascii="Times New Roman" w:hAnsi="Times New Roman" w:cs="Times New Roman"/>
                <w:iCs/>
                <w:sz w:val="24"/>
                <w:szCs w:val="24"/>
              </w:rPr>
              <w:t xml:space="preserve"> * </w:t>
            </w:r>
            <w:r w:rsidR="00CF7A0E" w:rsidRPr="00E1092C">
              <w:rPr>
                <w:rFonts w:ascii="Times New Roman" w:hAnsi="Times New Roman" w:cs="Times New Roman"/>
                <w:iCs/>
                <w:sz w:val="24"/>
                <w:szCs w:val="24"/>
              </w:rPr>
              <w:t xml:space="preserve">1 maksājums * </w:t>
            </w:r>
            <w:r w:rsidR="000B1416" w:rsidRPr="00E1092C">
              <w:rPr>
                <w:rFonts w:ascii="Times New Roman" w:hAnsi="Times New Roman" w:cs="Times New Roman"/>
                <w:iCs/>
                <w:sz w:val="24"/>
                <w:szCs w:val="24"/>
              </w:rPr>
              <w:t>2 uzņēmumi</w:t>
            </w:r>
            <w:r w:rsidR="00CF7A0E" w:rsidRPr="00E1092C">
              <w:rPr>
                <w:rFonts w:ascii="Times New Roman" w:hAnsi="Times New Roman" w:cs="Times New Roman"/>
                <w:iCs/>
                <w:sz w:val="24"/>
                <w:szCs w:val="24"/>
              </w:rPr>
              <w:t xml:space="preserve"> un papildus </w:t>
            </w:r>
            <w:r w:rsidR="001E3EC4" w:rsidRPr="00E1092C">
              <w:rPr>
                <w:rFonts w:ascii="Times New Roman" w:hAnsi="Times New Roman" w:cs="Times New Roman"/>
                <w:iCs/>
                <w:sz w:val="24"/>
                <w:szCs w:val="24"/>
              </w:rPr>
              <w:t xml:space="preserve">ieplānots </w:t>
            </w:r>
            <w:r w:rsidR="00CF7A0E" w:rsidRPr="00E1092C">
              <w:rPr>
                <w:rFonts w:ascii="Times New Roman" w:hAnsi="Times New Roman" w:cs="Times New Roman"/>
                <w:iCs/>
                <w:sz w:val="24"/>
                <w:szCs w:val="24"/>
              </w:rPr>
              <w:t>1 maksājums, ja uzņēmum</w:t>
            </w:r>
            <w:r w:rsidR="001E3EC4" w:rsidRPr="00E1092C">
              <w:rPr>
                <w:rFonts w:ascii="Times New Roman" w:hAnsi="Times New Roman" w:cs="Times New Roman"/>
                <w:iCs/>
                <w:sz w:val="24"/>
                <w:szCs w:val="24"/>
              </w:rPr>
              <w:t>s ir izlietojis sniegto 250 000</w:t>
            </w:r>
            <w:r w:rsidR="00936D48">
              <w:rPr>
                <w:rFonts w:ascii="Times New Roman" w:hAnsi="Times New Roman" w:cs="Times New Roman"/>
                <w:iCs/>
                <w:sz w:val="24"/>
                <w:szCs w:val="24"/>
              </w:rPr>
              <w:t> </w:t>
            </w:r>
            <w:r w:rsidR="001E3EC4" w:rsidRPr="00E1092C">
              <w:rPr>
                <w:rFonts w:ascii="Times New Roman" w:hAnsi="Times New Roman" w:cs="Times New Roman"/>
                <w:iCs/>
                <w:sz w:val="24"/>
                <w:szCs w:val="24"/>
              </w:rPr>
              <w:t>pieprasījumu skaitu</w:t>
            </w:r>
            <w:r w:rsidR="000B1416" w:rsidRPr="00E1092C">
              <w:rPr>
                <w:rFonts w:ascii="Times New Roman" w:hAnsi="Times New Roman" w:cs="Times New Roman"/>
                <w:iCs/>
                <w:sz w:val="24"/>
                <w:szCs w:val="24"/>
              </w:rPr>
              <w:t>), kā rezultātā 2021.</w:t>
            </w:r>
            <w:r w:rsidR="00936D48">
              <w:rPr>
                <w:rFonts w:ascii="Times New Roman" w:hAnsi="Times New Roman" w:cs="Times New Roman"/>
                <w:iCs/>
                <w:sz w:val="24"/>
                <w:szCs w:val="24"/>
              </w:rPr>
              <w:t> </w:t>
            </w:r>
            <w:r w:rsidR="000B1416" w:rsidRPr="00E1092C">
              <w:rPr>
                <w:rFonts w:ascii="Times New Roman" w:hAnsi="Times New Roman" w:cs="Times New Roman"/>
                <w:iCs/>
                <w:sz w:val="24"/>
                <w:szCs w:val="24"/>
              </w:rPr>
              <w:t xml:space="preserve">gadā </w:t>
            </w:r>
            <w:r w:rsidR="008112F1" w:rsidRPr="00E1092C">
              <w:rPr>
                <w:rFonts w:ascii="Times New Roman" w:hAnsi="Times New Roman" w:cs="Times New Roman"/>
                <w:iCs/>
                <w:sz w:val="24"/>
                <w:szCs w:val="24"/>
              </w:rPr>
              <w:t>plānoti pašu ieņēmumi</w:t>
            </w:r>
            <w:r w:rsidR="000B1416" w:rsidRPr="00E1092C">
              <w:rPr>
                <w:rFonts w:ascii="Times New Roman" w:hAnsi="Times New Roman" w:cs="Times New Roman"/>
                <w:iCs/>
                <w:sz w:val="24"/>
                <w:szCs w:val="24"/>
              </w:rPr>
              <w:t xml:space="preserve"> </w:t>
            </w:r>
            <w:r w:rsidR="001E3EC4" w:rsidRPr="00E1092C">
              <w:rPr>
                <w:rFonts w:ascii="Times New Roman" w:hAnsi="Times New Roman" w:cs="Times New Roman"/>
                <w:iCs/>
                <w:sz w:val="24"/>
                <w:szCs w:val="24"/>
              </w:rPr>
              <w:t>84 120</w:t>
            </w:r>
            <w:r w:rsidR="00936D48">
              <w:rPr>
                <w:rFonts w:ascii="Times New Roman" w:hAnsi="Times New Roman" w:cs="Times New Roman"/>
                <w:iCs/>
                <w:sz w:val="24"/>
                <w:szCs w:val="24"/>
              </w:rPr>
              <w:t> </w:t>
            </w:r>
            <w:proofErr w:type="spellStart"/>
            <w:r w:rsidR="000B1416" w:rsidRPr="00E1092C">
              <w:rPr>
                <w:rFonts w:ascii="Times New Roman" w:hAnsi="Times New Roman" w:cs="Times New Roman"/>
                <w:i/>
                <w:iCs/>
                <w:sz w:val="24"/>
                <w:szCs w:val="24"/>
              </w:rPr>
              <w:t>euro</w:t>
            </w:r>
            <w:proofErr w:type="spellEnd"/>
            <w:r w:rsidR="000B1416" w:rsidRPr="00E1092C">
              <w:rPr>
                <w:rFonts w:ascii="Times New Roman" w:hAnsi="Times New Roman" w:cs="Times New Roman"/>
                <w:iCs/>
                <w:sz w:val="24"/>
                <w:szCs w:val="24"/>
              </w:rPr>
              <w:t xml:space="preserve"> apmērā,</w:t>
            </w:r>
            <w:r w:rsidR="00724060" w:rsidRPr="00E1092C">
              <w:rPr>
                <w:rFonts w:ascii="Times New Roman" w:hAnsi="Times New Roman" w:cs="Times New Roman"/>
                <w:iCs/>
                <w:sz w:val="24"/>
                <w:szCs w:val="24"/>
              </w:rPr>
              <w:t xml:space="preserve"> savukārt 2022.</w:t>
            </w:r>
            <w:r w:rsidR="00936D48">
              <w:rPr>
                <w:rFonts w:ascii="Times New Roman" w:hAnsi="Times New Roman" w:cs="Times New Roman"/>
                <w:iCs/>
                <w:sz w:val="24"/>
                <w:szCs w:val="24"/>
              </w:rPr>
              <w:t> </w:t>
            </w:r>
            <w:r w:rsidR="00724060" w:rsidRPr="00E1092C">
              <w:rPr>
                <w:rFonts w:ascii="Times New Roman" w:hAnsi="Times New Roman" w:cs="Times New Roman"/>
                <w:iCs/>
                <w:sz w:val="24"/>
                <w:szCs w:val="24"/>
              </w:rPr>
              <w:t xml:space="preserve">gadā </w:t>
            </w:r>
            <w:r w:rsidR="00D431F5" w:rsidRPr="00E1092C">
              <w:rPr>
                <w:rFonts w:ascii="Times New Roman" w:hAnsi="Times New Roman" w:cs="Times New Roman"/>
                <w:iCs/>
                <w:sz w:val="24"/>
                <w:szCs w:val="24"/>
              </w:rPr>
              <w:t>129</w:t>
            </w:r>
            <w:r w:rsidR="00936D48">
              <w:rPr>
                <w:rFonts w:ascii="Times New Roman" w:hAnsi="Times New Roman" w:cs="Times New Roman"/>
                <w:iCs/>
                <w:sz w:val="24"/>
                <w:szCs w:val="24"/>
              </w:rPr>
              <w:t> </w:t>
            </w:r>
            <w:r w:rsidR="00D431F5" w:rsidRPr="00E1092C">
              <w:rPr>
                <w:rFonts w:ascii="Times New Roman" w:hAnsi="Times New Roman" w:cs="Times New Roman"/>
                <w:iCs/>
                <w:sz w:val="24"/>
                <w:szCs w:val="24"/>
              </w:rPr>
              <w:t>800</w:t>
            </w:r>
            <w:r w:rsidR="00936D48">
              <w:rPr>
                <w:rFonts w:ascii="Times New Roman" w:hAnsi="Times New Roman" w:cs="Times New Roman"/>
                <w:iCs/>
                <w:sz w:val="24"/>
                <w:szCs w:val="24"/>
              </w:rPr>
              <w:t> </w:t>
            </w:r>
            <w:proofErr w:type="spellStart"/>
            <w:r w:rsidR="00C80D12" w:rsidRPr="00E1092C">
              <w:rPr>
                <w:rFonts w:ascii="Times New Roman" w:hAnsi="Times New Roman" w:cs="Times New Roman"/>
                <w:i/>
                <w:iCs/>
                <w:sz w:val="24"/>
                <w:szCs w:val="24"/>
              </w:rPr>
              <w:t>euro</w:t>
            </w:r>
            <w:proofErr w:type="spellEnd"/>
            <w:r w:rsidR="00C80D12" w:rsidRPr="00E1092C">
              <w:rPr>
                <w:rFonts w:ascii="Times New Roman" w:hAnsi="Times New Roman" w:cs="Times New Roman"/>
                <w:iCs/>
                <w:sz w:val="24"/>
                <w:szCs w:val="24"/>
              </w:rPr>
              <w:t xml:space="preserve"> (16 225</w:t>
            </w:r>
            <w:r w:rsidR="00936D48">
              <w:rPr>
                <w:rFonts w:ascii="Times New Roman" w:hAnsi="Times New Roman" w:cs="Times New Roman"/>
                <w:iCs/>
                <w:sz w:val="24"/>
                <w:szCs w:val="24"/>
              </w:rPr>
              <w:t> </w:t>
            </w:r>
            <w:proofErr w:type="spellStart"/>
            <w:r w:rsidR="00724060" w:rsidRPr="00E1092C">
              <w:rPr>
                <w:rFonts w:ascii="Times New Roman" w:hAnsi="Times New Roman" w:cs="Times New Roman"/>
                <w:i/>
                <w:iCs/>
                <w:sz w:val="24"/>
                <w:szCs w:val="24"/>
              </w:rPr>
              <w:t>euro</w:t>
            </w:r>
            <w:proofErr w:type="spellEnd"/>
            <w:r w:rsidR="00724060" w:rsidRPr="00E1092C">
              <w:rPr>
                <w:rFonts w:ascii="Times New Roman" w:hAnsi="Times New Roman" w:cs="Times New Roman"/>
                <w:iCs/>
                <w:sz w:val="24"/>
                <w:szCs w:val="24"/>
              </w:rPr>
              <w:t xml:space="preserve"> * 2 </w:t>
            </w:r>
            <w:r w:rsidR="00C80D12" w:rsidRPr="00E1092C">
              <w:rPr>
                <w:rFonts w:ascii="Times New Roman" w:hAnsi="Times New Roman" w:cs="Times New Roman"/>
                <w:iCs/>
                <w:sz w:val="24"/>
                <w:szCs w:val="24"/>
              </w:rPr>
              <w:t xml:space="preserve">uzņēmumi * </w:t>
            </w:r>
            <w:r w:rsidR="00D431F5" w:rsidRPr="00E1092C">
              <w:rPr>
                <w:rFonts w:ascii="Times New Roman" w:hAnsi="Times New Roman" w:cs="Times New Roman"/>
                <w:iCs/>
                <w:sz w:val="24"/>
                <w:szCs w:val="24"/>
              </w:rPr>
              <w:t>4</w:t>
            </w:r>
            <w:r w:rsidR="00C80D12" w:rsidRPr="00E1092C">
              <w:rPr>
                <w:rFonts w:ascii="Times New Roman" w:hAnsi="Times New Roman" w:cs="Times New Roman"/>
                <w:iCs/>
                <w:sz w:val="24"/>
                <w:szCs w:val="24"/>
              </w:rPr>
              <w:t xml:space="preserve"> maksājumi).</w:t>
            </w:r>
            <w:r w:rsidR="00724060" w:rsidRPr="00E1092C">
              <w:rPr>
                <w:rFonts w:ascii="Times New Roman" w:hAnsi="Times New Roman" w:cs="Times New Roman"/>
                <w:iCs/>
                <w:sz w:val="24"/>
                <w:szCs w:val="24"/>
              </w:rPr>
              <w:t xml:space="preserve"> </w:t>
            </w:r>
            <w:r w:rsidR="003514EF" w:rsidRPr="00E1092C">
              <w:rPr>
                <w:rFonts w:ascii="Times New Roman" w:hAnsi="Times New Roman" w:cs="Times New Roman"/>
                <w:iCs/>
                <w:sz w:val="24"/>
                <w:szCs w:val="24"/>
              </w:rPr>
              <w:t>Šobrīd licences maksai VID ir plānoti pašu ieņēmumi 70 890</w:t>
            </w:r>
            <w:r w:rsidR="00936D48">
              <w:rPr>
                <w:rFonts w:ascii="Times New Roman" w:hAnsi="Times New Roman" w:cs="Times New Roman"/>
                <w:iCs/>
                <w:sz w:val="24"/>
                <w:szCs w:val="24"/>
              </w:rPr>
              <w:t> </w:t>
            </w:r>
            <w:proofErr w:type="spellStart"/>
            <w:r w:rsidR="003514EF" w:rsidRPr="00E1092C">
              <w:rPr>
                <w:rFonts w:ascii="Times New Roman" w:hAnsi="Times New Roman" w:cs="Times New Roman"/>
                <w:i/>
                <w:iCs/>
                <w:sz w:val="24"/>
                <w:szCs w:val="24"/>
              </w:rPr>
              <w:t>euro</w:t>
            </w:r>
            <w:proofErr w:type="spellEnd"/>
            <w:r w:rsidR="003514EF" w:rsidRPr="00E1092C">
              <w:rPr>
                <w:rFonts w:ascii="Times New Roman" w:hAnsi="Times New Roman" w:cs="Times New Roman"/>
                <w:iCs/>
                <w:sz w:val="24"/>
                <w:szCs w:val="24"/>
              </w:rPr>
              <w:t xml:space="preserve"> apmērā gadā, tādējādi ieņēmumu palielinājums 2021.</w:t>
            </w:r>
            <w:r w:rsidR="00936D48">
              <w:rPr>
                <w:rFonts w:ascii="Times New Roman" w:hAnsi="Times New Roman" w:cs="Times New Roman"/>
                <w:iCs/>
                <w:sz w:val="24"/>
                <w:szCs w:val="24"/>
              </w:rPr>
              <w:t> </w:t>
            </w:r>
            <w:r w:rsidR="003514EF" w:rsidRPr="00E1092C">
              <w:rPr>
                <w:rFonts w:ascii="Times New Roman" w:hAnsi="Times New Roman" w:cs="Times New Roman"/>
                <w:iCs/>
                <w:sz w:val="24"/>
                <w:szCs w:val="24"/>
              </w:rPr>
              <w:t>gadā būs 13 230</w:t>
            </w:r>
            <w:r w:rsidR="00936D48">
              <w:rPr>
                <w:rFonts w:ascii="Times New Roman" w:hAnsi="Times New Roman" w:cs="Times New Roman"/>
                <w:iCs/>
                <w:sz w:val="24"/>
                <w:szCs w:val="24"/>
              </w:rPr>
              <w:t> </w:t>
            </w:r>
            <w:proofErr w:type="spellStart"/>
            <w:r w:rsidR="003514EF" w:rsidRPr="00E1092C">
              <w:rPr>
                <w:rFonts w:ascii="Times New Roman" w:hAnsi="Times New Roman" w:cs="Times New Roman"/>
                <w:i/>
                <w:iCs/>
                <w:sz w:val="24"/>
                <w:szCs w:val="24"/>
              </w:rPr>
              <w:t>euro</w:t>
            </w:r>
            <w:proofErr w:type="spellEnd"/>
            <w:r w:rsidR="003514EF" w:rsidRPr="00E1092C">
              <w:rPr>
                <w:rFonts w:ascii="Times New Roman" w:hAnsi="Times New Roman" w:cs="Times New Roman"/>
                <w:iCs/>
                <w:sz w:val="24"/>
                <w:szCs w:val="24"/>
              </w:rPr>
              <w:t xml:space="preserve"> apmērā un 2022. un 2023.</w:t>
            </w:r>
            <w:r w:rsidR="00936D48">
              <w:rPr>
                <w:rFonts w:ascii="Times New Roman" w:hAnsi="Times New Roman" w:cs="Times New Roman"/>
                <w:iCs/>
                <w:sz w:val="24"/>
                <w:szCs w:val="24"/>
              </w:rPr>
              <w:t> </w:t>
            </w:r>
            <w:r w:rsidR="003514EF" w:rsidRPr="00E1092C">
              <w:rPr>
                <w:rFonts w:ascii="Times New Roman" w:hAnsi="Times New Roman" w:cs="Times New Roman"/>
                <w:iCs/>
                <w:sz w:val="24"/>
                <w:szCs w:val="24"/>
              </w:rPr>
              <w:t>gadā 58 910</w:t>
            </w:r>
            <w:r w:rsidR="00936D48">
              <w:rPr>
                <w:rFonts w:ascii="Times New Roman" w:hAnsi="Times New Roman" w:cs="Times New Roman"/>
                <w:iCs/>
                <w:sz w:val="24"/>
                <w:szCs w:val="24"/>
              </w:rPr>
              <w:t> </w:t>
            </w:r>
            <w:proofErr w:type="spellStart"/>
            <w:r w:rsidR="003514EF" w:rsidRPr="00E1092C">
              <w:rPr>
                <w:rFonts w:ascii="Times New Roman" w:hAnsi="Times New Roman" w:cs="Times New Roman"/>
                <w:i/>
                <w:iCs/>
                <w:sz w:val="24"/>
                <w:szCs w:val="24"/>
              </w:rPr>
              <w:t>euro</w:t>
            </w:r>
            <w:proofErr w:type="spellEnd"/>
            <w:r w:rsidR="003514EF" w:rsidRPr="00E1092C">
              <w:rPr>
                <w:rFonts w:ascii="Times New Roman" w:hAnsi="Times New Roman" w:cs="Times New Roman"/>
                <w:iCs/>
                <w:sz w:val="24"/>
                <w:szCs w:val="24"/>
              </w:rPr>
              <w:t xml:space="preserve"> apmērā ik gadu.</w:t>
            </w:r>
          </w:p>
          <w:p w14:paraId="01263CB2" w14:textId="77777777" w:rsidR="003514EF" w:rsidRPr="00E1092C" w:rsidRDefault="003514EF" w:rsidP="009C6996">
            <w:pPr>
              <w:spacing w:before="100" w:beforeAutospacing="1" w:after="100" w:afterAutospacing="1" w:line="240" w:lineRule="auto"/>
              <w:contextualSpacing/>
              <w:jc w:val="both"/>
              <w:rPr>
                <w:rFonts w:ascii="Times New Roman" w:hAnsi="Times New Roman" w:cs="Times New Roman"/>
                <w:iCs/>
                <w:sz w:val="24"/>
                <w:szCs w:val="24"/>
              </w:rPr>
            </w:pPr>
          </w:p>
          <w:p w14:paraId="32F31F67" w14:textId="6D9DAADD" w:rsidR="003514EF" w:rsidRPr="00E1092C" w:rsidRDefault="003514EF" w:rsidP="009C6996">
            <w:pPr>
              <w:spacing w:before="100" w:beforeAutospacing="1" w:after="100" w:afterAutospacing="1" w:line="240" w:lineRule="auto"/>
              <w:contextualSpacing/>
              <w:jc w:val="both"/>
              <w:rPr>
                <w:rFonts w:ascii="Times New Roman" w:hAnsi="Times New Roman" w:cs="Times New Roman"/>
                <w:iCs/>
                <w:sz w:val="24"/>
                <w:szCs w:val="24"/>
              </w:rPr>
            </w:pPr>
            <w:r w:rsidRPr="00E1092C">
              <w:rPr>
                <w:rFonts w:ascii="Times New Roman" w:hAnsi="Times New Roman" w:cs="Times New Roman"/>
                <w:iCs/>
                <w:sz w:val="24"/>
                <w:szCs w:val="24"/>
              </w:rPr>
              <w:t>2.</w:t>
            </w:r>
            <w:r w:rsidR="00544D11">
              <w:rPr>
                <w:rFonts w:ascii="Times New Roman" w:hAnsi="Times New Roman" w:cs="Times New Roman"/>
                <w:iCs/>
                <w:sz w:val="24"/>
                <w:szCs w:val="24"/>
              </w:rPr>
              <w:t> </w:t>
            </w:r>
            <w:r w:rsidRPr="00E1092C">
              <w:rPr>
                <w:rFonts w:ascii="Times New Roman" w:hAnsi="Times New Roman" w:cs="Times New Roman"/>
                <w:iCs/>
                <w:sz w:val="24"/>
                <w:szCs w:val="24"/>
              </w:rPr>
              <w:t>Izdevumu aprēķins</w:t>
            </w:r>
          </w:p>
          <w:p w14:paraId="340888BD" w14:textId="77777777" w:rsidR="003514EF" w:rsidRPr="00E1092C" w:rsidRDefault="003514EF" w:rsidP="009C6996">
            <w:pPr>
              <w:spacing w:before="100" w:beforeAutospacing="1" w:after="100" w:afterAutospacing="1" w:line="240" w:lineRule="auto"/>
              <w:contextualSpacing/>
              <w:jc w:val="both"/>
              <w:rPr>
                <w:rFonts w:ascii="Times New Roman" w:hAnsi="Times New Roman" w:cs="Times New Roman"/>
                <w:iCs/>
                <w:sz w:val="24"/>
                <w:szCs w:val="24"/>
              </w:rPr>
            </w:pPr>
          </w:p>
          <w:p w14:paraId="6BA6B52F" w14:textId="2A8E8619" w:rsidR="007D7ABD" w:rsidRPr="00E1092C" w:rsidRDefault="007D7ABD" w:rsidP="0014306F">
            <w:pPr>
              <w:spacing w:after="0" w:line="240" w:lineRule="auto"/>
              <w:contextualSpacing/>
              <w:jc w:val="both"/>
              <w:rPr>
                <w:rFonts w:ascii="Times New Roman" w:hAnsi="Times New Roman" w:cs="Times New Roman"/>
                <w:iCs/>
                <w:sz w:val="24"/>
                <w:szCs w:val="24"/>
              </w:rPr>
            </w:pPr>
            <w:r w:rsidRPr="00E1092C">
              <w:rPr>
                <w:rFonts w:ascii="Times New Roman" w:hAnsi="Times New Roman" w:cs="Times New Roman"/>
                <w:iCs/>
                <w:sz w:val="24"/>
                <w:szCs w:val="24"/>
              </w:rPr>
              <w:t>Lai N</w:t>
            </w:r>
            <w:r w:rsidRPr="00E1092C">
              <w:rPr>
                <w:rFonts w:ascii="Times New Roman" w:hAnsi="Times New Roman" w:cs="Times New Roman"/>
                <w:sz w:val="24"/>
                <w:szCs w:val="24"/>
              </w:rPr>
              <w:t>oteikum</w:t>
            </w:r>
            <w:r w:rsidR="00B97975" w:rsidRPr="00E1092C">
              <w:rPr>
                <w:rFonts w:ascii="Times New Roman" w:hAnsi="Times New Roman" w:cs="Times New Roman"/>
                <w:sz w:val="24"/>
                <w:szCs w:val="24"/>
              </w:rPr>
              <w:t>u</w:t>
            </w:r>
            <w:r w:rsidRPr="00E1092C">
              <w:rPr>
                <w:rFonts w:ascii="Times New Roman" w:hAnsi="Times New Roman" w:cs="Times New Roman"/>
                <w:sz w:val="24"/>
                <w:szCs w:val="24"/>
              </w:rPr>
              <w:t xml:space="preserve"> Nr.</w:t>
            </w:r>
            <w:r w:rsidR="00936D48">
              <w:rPr>
                <w:rFonts w:ascii="Times New Roman" w:hAnsi="Times New Roman" w:cs="Times New Roman"/>
                <w:sz w:val="24"/>
                <w:szCs w:val="24"/>
              </w:rPr>
              <w:t> </w:t>
            </w:r>
            <w:r w:rsidRPr="00E1092C">
              <w:rPr>
                <w:rFonts w:ascii="Times New Roman" w:hAnsi="Times New Roman" w:cs="Times New Roman"/>
                <w:sz w:val="24"/>
                <w:szCs w:val="24"/>
              </w:rPr>
              <w:t>760 noteiktajā kārtībā sniegtu informāciju kre</w:t>
            </w:r>
            <w:r w:rsidRPr="00E1092C">
              <w:rPr>
                <w:rFonts w:ascii="Times New Roman" w:hAnsi="Times New Roman" w:cs="Times New Roman"/>
                <w:iCs/>
                <w:sz w:val="24"/>
                <w:szCs w:val="24"/>
              </w:rPr>
              <w:t xml:space="preserve">dītinformācijas birojiem par fiziskās personas ienākumiem, VID </w:t>
            </w:r>
            <w:r w:rsidR="00D14CF9" w:rsidRPr="00E1092C">
              <w:rPr>
                <w:rFonts w:ascii="Times New Roman" w:hAnsi="Times New Roman" w:cs="Times New Roman"/>
                <w:iCs/>
                <w:sz w:val="24"/>
                <w:szCs w:val="24"/>
              </w:rPr>
              <w:t>vienreizēj</w:t>
            </w:r>
            <w:r w:rsidR="00086DDD" w:rsidRPr="00E1092C">
              <w:rPr>
                <w:rFonts w:ascii="Times New Roman" w:hAnsi="Times New Roman" w:cs="Times New Roman"/>
                <w:iCs/>
                <w:sz w:val="24"/>
                <w:szCs w:val="24"/>
              </w:rPr>
              <w:t>ās</w:t>
            </w:r>
            <w:r w:rsidR="00D14CF9" w:rsidRPr="00E1092C">
              <w:rPr>
                <w:rFonts w:ascii="Times New Roman" w:hAnsi="Times New Roman" w:cs="Times New Roman"/>
                <w:iCs/>
                <w:sz w:val="24"/>
                <w:szCs w:val="24"/>
              </w:rPr>
              <w:t xml:space="preserve"> iz</w:t>
            </w:r>
            <w:r w:rsidR="00086DDD" w:rsidRPr="00E1092C">
              <w:rPr>
                <w:rFonts w:ascii="Times New Roman" w:hAnsi="Times New Roman" w:cs="Times New Roman"/>
                <w:iCs/>
                <w:sz w:val="24"/>
                <w:szCs w:val="24"/>
              </w:rPr>
              <w:t>maksas</w:t>
            </w:r>
            <w:r w:rsidR="00D14CF9" w:rsidRPr="00E1092C">
              <w:rPr>
                <w:rFonts w:ascii="Times New Roman" w:hAnsi="Times New Roman" w:cs="Times New Roman"/>
                <w:iCs/>
                <w:sz w:val="24"/>
                <w:szCs w:val="24"/>
              </w:rPr>
              <w:t xml:space="preserve"> risinājuma pilnveidošanai</w:t>
            </w:r>
            <w:r w:rsidR="003514EF" w:rsidRPr="00E1092C">
              <w:rPr>
                <w:rFonts w:ascii="Times New Roman" w:hAnsi="Times New Roman" w:cs="Times New Roman"/>
                <w:iCs/>
                <w:sz w:val="24"/>
                <w:szCs w:val="24"/>
              </w:rPr>
              <w:t xml:space="preserve"> 2021.</w:t>
            </w:r>
            <w:r w:rsidR="00936D48">
              <w:rPr>
                <w:rFonts w:ascii="Times New Roman" w:hAnsi="Times New Roman" w:cs="Times New Roman"/>
                <w:iCs/>
                <w:sz w:val="24"/>
                <w:szCs w:val="24"/>
              </w:rPr>
              <w:t> </w:t>
            </w:r>
            <w:r w:rsidR="003514EF" w:rsidRPr="00E1092C">
              <w:rPr>
                <w:rFonts w:ascii="Times New Roman" w:hAnsi="Times New Roman" w:cs="Times New Roman"/>
                <w:iCs/>
                <w:sz w:val="24"/>
                <w:szCs w:val="24"/>
              </w:rPr>
              <w:t>gadā</w:t>
            </w:r>
            <w:r w:rsidR="007D2AAA" w:rsidRPr="00E1092C">
              <w:rPr>
                <w:rFonts w:ascii="Times New Roman" w:hAnsi="Times New Roman" w:cs="Times New Roman"/>
                <w:iCs/>
                <w:sz w:val="24"/>
                <w:szCs w:val="24"/>
              </w:rPr>
              <w:t xml:space="preserve"> pieejami</w:t>
            </w:r>
            <w:r w:rsidR="00D14CF9" w:rsidRPr="00E1092C">
              <w:rPr>
                <w:rFonts w:ascii="Times New Roman" w:hAnsi="Times New Roman" w:cs="Times New Roman"/>
                <w:iCs/>
                <w:sz w:val="24"/>
                <w:szCs w:val="24"/>
              </w:rPr>
              <w:t xml:space="preserve"> 95</w:t>
            </w:r>
            <w:r w:rsidR="00936D48">
              <w:rPr>
                <w:rFonts w:ascii="Times New Roman" w:hAnsi="Times New Roman" w:cs="Times New Roman"/>
                <w:iCs/>
                <w:sz w:val="24"/>
                <w:szCs w:val="24"/>
              </w:rPr>
              <w:t> </w:t>
            </w:r>
            <w:r w:rsidR="00D14CF9" w:rsidRPr="00E1092C">
              <w:rPr>
                <w:rFonts w:ascii="Times New Roman" w:hAnsi="Times New Roman" w:cs="Times New Roman"/>
                <w:iCs/>
                <w:sz w:val="24"/>
                <w:szCs w:val="24"/>
              </w:rPr>
              <w:t>672,33</w:t>
            </w:r>
            <w:r w:rsidR="00936D48">
              <w:rPr>
                <w:rFonts w:ascii="Times New Roman" w:hAnsi="Times New Roman" w:cs="Times New Roman"/>
                <w:iCs/>
                <w:sz w:val="24"/>
                <w:szCs w:val="24"/>
              </w:rPr>
              <w:t> </w:t>
            </w:r>
            <w:proofErr w:type="spellStart"/>
            <w:r w:rsidR="00D14CF9" w:rsidRPr="00E1092C">
              <w:rPr>
                <w:rFonts w:ascii="Times New Roman" w:hAnsi="Times New Roman" w:cs="Times New Roman"/>
                <w:i/>
                <w:iCs/>
                <w:sz w:val="24"/>
                <w:szCs w:val="24"/>
              </w:rPr>
              <w:t>euro</w:t>
            </w:r>
            <w:proofErr w:type="spellEnd"/>
            <w:r w:rsidR="00D14CF9" w:rsidRPr="00E1092C">
              <w:rPr>
                <w:rFonts w:ascii="Times New Roman" w:hAnsi="Times New Roman" w:cs="Times New Roman"/>
                <w:iCs/>
                <w:sz w:val="24"/>
                <w:szCs w:val="24"/>
              </w:rPr>
              <w:t xml:space="preserve"> un ikgadēj</w:t>
            </w:r>
            <w:r w:rsidR="00086DDD" w:rsidRPr="00E1092C">
              <w:rPr>
                <w:rFonts w:ascii="Times New Roman" w:hAnsi="Times New Roman" w:cs="Times New Roman"/>
                <w:iCs/>
                <w:sz w:val="24"/>
                <w:szCs w:val="24"/>
              </w:rPr>
              <w:t>ās</w:t>
            </w:r>
            <w:r w:rsidR="00D14CF9" w:rsidRPr="00E1092C">
              <w:rPr>
                <w:rFonts w:ascii="Times New Roman" w:hAnsi="Times New Roman" w:cs="Times New Roman"/>
                <w:iCs/>
                <w:sz w:val="24"/>
                <w:szCs w:val="24"/>
              </w:rPr>
              <w:t xml:space="preserve"> iz</w:t>
            </w:r>
            <w:r w:rsidR="00086DDD" w:rsidRPr="00E1092C">
              <w:rPr>
                <w:rFonts w:ascii="Times New Roman" w:hAnsi="Times New Roman" w:cs="Times New Roman"/>
                <w:iCs/>
                <w:sz w:val="24"/>
                <w:szCs w:val="24"/>
              </w:rPr>
              <w:t>maksas</w:t>
            </w:r>
            <w:r w:rsidR="00D14CF9" w:rsidRPr="00E1092C">
              <w:rPr>
                <w:rFonts w:ascii="Times New Roman" w:hAnsi="Times New Roman" w:cs="Times New Roman"/>
                <w:iCs/>
                <w:sz w:val="24"/>
                <w:szCs w:val="24"/>
              </w:rPr>
              <w:t xml:space="preserve"> risinājuma turpmākajai uzturēšanai 110</w:t>
            </w:r>
            <w:r w:rsidR="00936D48">
              <w:rPr>
                <w:rFonts w:ascii="Times New Roman" w:hAnsi="Times New Roman" w:cs="Times New Roman"/>
                <w:iCs/>
                <w:sz w:val="24"/>
                <w:szCs w:val="24"/>
              </w:rPr>
              <w:t> </w:t>
            </w:r>
            <w:r w:rsidR="00D14CF9" w:rsidRPr="00E1092C">
              <w:rPr>
                <w:rFonts w:ascii="Times New Roman" w:hAnsi="Times New Roman" w:cs="Times New Roman"/>
                <w:iCs/>
                <w:sz w:val="24"/>
                <w:szCs w:val="24"/>
              </w:rPr>
              <w:t>694,37</w:t>
            </w:r>
            <w:r w:rsidR="00936D48">
              <w:rPr>
                <w:rFonts w:ascii="Times New Roman" w:hAnsi="Times New Roman" w:cs="Times New Roman"/>
                <w:iCs/>
                <w:sz w:val="24"/>
                <w:szCs w:val="24"/>
              </w:rPr>
              <w:t> </w:t>
            </w:r>
            <w:proofErr w:type="spellStart"/>
            <w:r w:rsidR="00D14CF9" w:rsidRPr="00E1092C">
              <w:rPr>
                <w:rFonts w:ascii="Times New Roman" w:hAnsi="Times New Roman" w:cs="Times New Roman"/>
                <w:i/>
                <w:iCs/>
                <w:sz w:val="24"/>
                <w:szCs w:val="24"/>
              </w:rPr>
              <w:t>euro</w:t>
            </w:r>
            <w:proofErr w:type="spellEnd"/>
            <w:r w:rsidR="00086DDD" w:rsidRPr="00E1092C">
              <w:rPr>
                <w:rFonts w:ascii="Times New Roman" w:hAnsi="Times New Roman" w:cs="Times New Roman"/>
                <w:i/>
                <w:iCs/>
                <w:sz w:val="24"/>
                <w:szCs w:val="24"/>
              </w:rPr>
              <w:t xml:space="preserve">, </w:t>
            </w:r>
            <w:r w:rsidR="00086DDD" w:rsidRPr="00E1092C">
              <w:rPr>
                <w:rFonts w:ascii="Times New Roman" w:hAnsi="Times New Roman" w:cs="Times New Roman"/>
                <w:iCs/>
                <w:sz w:val="24"/>
                <w:szCs w:val="24"/>
              </w:rPr>
              <w:t>kas veido</w:t>
            </w:r>
            <w:r w:rsidR="00D14CF9" w:rsidRPr="00E1092C">
              <w:rPr>
                <w:rFonts w:ascii="Times New Roman" w:hAnsi="Times New Roman" w:cs="Times New Roman"/>
                <w:iCs/>
                <w:sz w:val="24"/>
                <w:szCs w:val="24"/>
              </w:rPr>
              <w:t xml:space="preserve"> </w:t>
            </w:r>
            <w:r w:rsidR="00086DDD" w:rsidRPr="00E1092C">
              <w:rPr>
                <w:rFonts w:ascii="Times New Roman" w:hAnsi="Times New Roman" w:cs="Times New Roman"/>
                <w:iCs/>
                <w:sz w:val="24"/>
                <w:szCs w:val="24"/>
              </w:rPr>
              <w:t>p</w:t>
            </w:r>
            <w:r w:rsidR="00D14CF9" w:rsidRPr="00E1092C">
              <w:rPr>
                <w:rFonts w:ascii="Times New Roman" w:hAnsi="Times New Roman" w:cs="Times New Roman"/>
                <w:iCs/>
                <w:sz w:val="24"/>
                <w:szCs w:val="24"/>
              </w:rPr>
              <w:t>akalpojuma maks</w:t>
            </w:r>
            <w:r w:rsidR="00086DDD" w:rsidRPr="00E1092C">
              <w:rPr>
                <w:rFonts w:ascii="Times New Roman" w:hAnsi="Times New Roman" w:cs="Times New Roman"/>
                <w:iCs/>
                <w:sz w:val="24"/>
                <w:szCs w:val="24"/>
              </w:rPr>
              <w:t>as</w:t>
            </w:r>
            <w:r w:rsidR="00D14CF9" w:rsidRPr="00E1092C">
              <w:rPr>
                <w:rFonts w:ascii="Times New Roman" w:hAnsi="Times New Roman" w:cs="Times New Roman"/>
                <w:iCs/>
                <w:sz w:val="24"/>
                <w:szCs w:val="24"/>
              </w:rPr>
              <w:t xml:space="preserve"> </w:t>
            </w:r>
            <w:r w:rsidR="00086DDD" w:rsidRPr="00E1092C">
              <w:rPr>
                <w:rFonts w:ascii="Times New Roman" w:hAnsi="Times New Roman" w:cs="Times New Roman"/>
                <w:iCs/>
                <w:sz w:val="24"/>
                <w:szCs w:val="24"/>
              </w:rPr>
              <w:t xml:space="preserve">tiešās izmaksas </w:t>
            </w:r>
            <w:r w:rsidRPr="00E1092C">
              <w:rPr>
                <w:rFonts w:ascii="Times New Roman" w:hAnsi="Times New Roman" w:cs="Times New Roman"/>
                <w:iCs/>
                <w:sz w:val="24"/>
                <w:szCs w:val="24"/>
              </w:rPr>
              <w:t>129</w:t>
            </w:r>
            <w:r w:rsidR="00086DDD" w:rsidRPr="00E1092C">
              <w:rPr>
                <w:rFonts w:ascii="Times New Roman" w:hAnsi="Times New Roman" w:cs="Times New Roman"/>
                <w:iCs/>
                <w:sz w:val="24"/>
                <w:szCs w:val="24"/>
              </w:rPr>
              <w:t> </w:t>
            </w:r>
            <w:r w:rsidRPr="00E1092C">
              <w:rPr>
                <w:rFonts w:ascii="Times New Roman" w:hAnsi="Times New Roman" w:cs="Times New Roman"/>
                <w:iCs/>
                <w:sz w:val="24"/>
                <w:szCs w:val="24"/>
              </w:rPr>
              <w:t>828,84</w:t>
            </w:r>
            <w:r w:rsidR="00936D48">
              <w:rPr>
                <w:rFonts w:ascii="Times New Roman" w:hAnsi="Times New Roman" w:cs="Times New Roman"/>
                <w:iCs/>
                <w:sz w:val="24"/>
                <w:szCs w:val="24"/>
              </w:rPr>
              <w:t> </w:t>
            </w:r>
            <w:proofErr w:type="spellStart"/>
            <w:r w:rsidRPr="00E1092C">
              <w:rPr>
                <w:rFonts w:ascii="Times New Roman" w:hAnsi="Times New Roman" w:cs="Times New Roman"/>
                <w:i/>
                <w:iCs/>
                <w:sz w:val="24"/>
                <w:szCs w:val="24"/>
              </w:rPr>
              <w:t>euro</w:t>
            </w:r>
            <w:proofErr w:type="spellEnd"/>
            <w:r w:rsidRPr="00E1092C">
              <w:rPr>
                <w:rFonts w:ascii="Times New Roman" w:hAnsi="Times New Roman" w:cs="Times New Roman"/>
                <w:iCs/>
                <w:sz w:val="24"/>
                <w:szCs w:val="24"/>
              </w:rPr>
              <w:t xml:space="preserve"> </w:t>
            </w:r>
            <w:r w:rsidR="00086DDD" w:rsidRPr="00E1092C">
              <w:rPr>
                <w:rFonts w:ascii="Times New Roman" w:hAnsi="Times New Roman" w:cs="Times New Roman"/>
                <w:iCs/>
                <w:sz w:val="24"/>
                <w:szCs w:val="24"/>
              </w:rPr>
              <w:t xml:space="preserve">apmērā </w:t>
            </w:r>
            <w:r w:rsidR="00D14CF9" w:rsidRPr="00E1092C">
              <w:rPr>
                <w:rFonts w:ascii="Times New Roman" w:hAnsi="Times New Roman" w:cs="Times New Roman"/>
                <w:iCs/>
                <w:sz w:val="24"/>
                <w:szCs w:val="24"/>
              </w:rPr>
              <w:t>gadā</w:t>
            </w:r>
            <w:r w:rsidR="00086DDD" w:rsidRPr="00E1092C">
              <w:rPr>
                <w:rFonts w:ascii="Times New Roman" w:hAnsi="Times New Roman" w:cs="Times New Roman"/>
                <w:iCs/>
                <w:sz w:val="24"/>
                <w:szCs w:val="24"/>
              </w:rPr>
              <w:t xml:space="preserve"> no</w:t>
            </w:r>
            <w:r w:rsidR="00D14CF9" w:rsidRPr="00E1092C">
              <w:rPr>
                <w:rFonts w:ascii="Times New Roman" w:hAnsi="Times New Roman" w:cs="Times New Roman"/>
                <w:iCs/>
                <w:sz w:val="24"/>
                <w:szCs w:val="24"/>
              </w:rPr>
              <w:t xml:space="preserve"> šād</w:t>
            </w:r>
            <w:r w:rsidR="00086DDD" w:rsidRPr="00E1092C">
              <w:rPr>
                <w:rFonts w:ascii="Times New Roman" w:hAnsi="Times New Roman" w:cs="Times New Roman"/>
                <w:iCs/>
                <w:sz w:val="24"/>
                <w:szCs w:val="24"/>
              </w:rPr>
              <w:t xml:space="preserve">ām </w:t>
            </w:r>
            <w:r w:rsidR="00D14CF9" w:rsidRPr="00E1092C">
              <w:rPr>
                <w:rFonts w:ascii="Times New Roman" w:hAnsi="Times New Roman" w:cs="Times New Roman"/>
                <w:iCs/>
                <w:sz w:val="24"/>
                <w:szCs w:val="24"/>
              </w:rPr>
              <w:t>iz</w:t>
            </w:r>
            <w:r w:rsidR="00086DDD" w:rsidRPr="00E1092C">
              <w:rPr>
                <w:rFonts w:ascii="Times New Roman" w:hAnsi="Times New Roman" w:cs="Times New Roman"/>
                <w:iCs/>
                <w:sz w:val="24"/>
                <w:szCs w:val="24"/>
              </w:rPr>
              <w:t>maksu</w:t>
            </w:r>
            <w:r w:rsidR="00D14CF9" w:rsidRPr="00E1092C">
              <w:rPr>
                <w:rFonts w:ascii="Times New Roman" w:hAnsi="Times New Roman" w:cs="Times New Roman"/>
                <w:iCs/>
                <w:sz w:val="24"/>
                <w:szCs w:val="24"/>
              </w:rPr>
              <w:t xml:space="preserve"> </w:t>
            </w:r>
            <w:r w:rsidR="00086DDD" w:rsidRPr="00E1092C">
              <w:rPr>
                <w:rFonts w:ascii="Times New Roman" w:hAnsi="Times New Roman" w:cs="Times New Roman"/>
                <w:iCs/>
                <w:sz w:val="24"/>
                <w:szCs w:val="24"/>
              </w:rPr>
              <w:t>pozīcijām</w:t>
            </w:r>
            <w:r w:rsidRPr="00E1092C">
              <w:rPr>
                <w:rFonts w:ascii="Times New Roman" w:hAnsi="Times New Roman" w:cs="Times New Roman"/>
                <w:iCs/>
                <w:sz w:val="24"/>
                <w:szCs w:val="24"/>
              </w:rPr>
              <w:t xml:space="preserve">: </w:t>
            </w:r>
          </w:p>
          <w:p w14:paraId="7581C84D" w14:textId="00D3BD7C" w:rsidR="00310C65" w:rsidRPr="00E1092C" w:rsidRDefault="00310C65" w:rsidP="0014306F">
            <w:pPr>
              <w:pStyle w:val="ListParagraph"/>
              <w:numPr>
                <w:ilvl w:val="0"/>
                <w:numId w:val="12"/>
              </w:numPr>
              <w:tabs>
                <w:tab w:val="left" w:pos="274"/>
              </w:tabs>
              <w:spacing w:after="0" w:line="240" w:lineRule="auto"/>
              <w:ind w:left="0" w:firstLine="0"/>
              <w:jc w:val="both"/>
              <w:rPr>
                <w:rFonts w:ascii="Times New Roman" w:hAnsi="Times New Roman" w:cs="Times New Roman"/>
                <w:iCs/>
                <w:sz w:val="24"/>
                <w:szCs w:val="24"/>
              </w:rPr>
            </w:pPr>
            <w:r w:rsidRPr="00E1092C">
              <w:rPr>
                <w:rFonts w:ascii="Times New Roman" w:hAnsi="Times New Roman" w:cs="Times New Roman"/>
                <w:iCs/>
                <w:sz w:val="24"/>
                <w:szCs w:val="24"/>
              </w:rPr>
              <w:t xml:space="preserve">informācijas nodošanas </w:t>
            </w:r>
            <w:r w:rsidR="007D7ABD" w:rsidRPr="00E1092C">
              <w:rPr>
                <w:rFonts w:ascii="Times New Roman" w:hAnsi="Times New Roman" w:cs="Times New Roman"/>
                <w:sz w:val="24"/>
                <w:szCs w:val="24"/>
              </w:rPr>
              <w:t>kre</w:t>
            </w:r>
            <w:r w:rsidR="007D7ABD" w:rsidRPr="00E1092C">
              <w:rPr>
                <w:rFonts w:ascii="Times New Roman" w:hAnsi="Times New Roman" w:cs="Times New Roman"/>
                <w:iCs/>
                <w:sz w:val="24"/>
                <w:szCs w:val="24"/>
              </w:rPr>
              <w:t>dītinformācijas birojiem</w:t>
            </w:r>
            <w:r w:rsidRPr="00E1092C">
              <w:rPr>
                <w:rFonts w:ascii="Times New Roman" w:hAnsi="Times New Roman" w:cs="Times New Roman"/>
                <w:iCs/>
                <w:sz w:val="24"/>
                <w:szCs w:val="24"/>
              </w:rPr>
              <w:t xml:space="preserve"> risinājuma (programmatūras) </w:t>
            </w:r>
            <w:r w:rsidR="004F07D5" w:rsidRPr="00E1092C">
              <w:rPr>
                <w:rFonts w:ascii="Times New Roman" w:hAnsi="Times New Roman" w:cs="Times New Roman"/>
                <w:iCs/>
                <w:sz w:val="24"/>
                <w:szCs w:val="24"/>
              </w:rPr>
              <w:t xml:space="preserve">izmaiņu </w:t>
            </w:r>
            <w:r w:rsidRPr="00E1092C">
              <w:rPr>
                <w:rFonts w:ascii="Times New Roman" w:hAnsi="Times New Roman" w:cs="Times New Roman"/>
                <w:iCs/>
                <w:sz w:val="24"/>
                <w:szCs w:val="24"/>
              </w:rPr>
              <w:t>izstrāde</w:t>
            </w:r>
            <w:r w:rsidR="004F07D5" w:rsidRPr="00E1092C">
              <w:rPr>
                <w:rFonts w:ascii="Times New Roman" w:hAnsi="Times New Roman" w:cs="Times New Roman"/>
                <w:iCs/>
                <w:sz w:val="24"/>
                <w:szCs w:val="24"/>
              </w:rPr>
              <w:t xml:space="preserve"> (</w:t>
            </w:r>
            <w:r w:rsidR="00422237" w:rsidRPr="00E1092C">
              <w:rPr>
                <w:rFonts w:ascii="Times New Roman" w:hAnsi="Times New Roman" w:cs="Times New Roman"/>
                <w:iCs/>
                <w:sz w:val="24"/>
                <w:szCs w:val="24"/>
              </w:rPr>
              <w:t xml:space="preserve">piecu gadu </w:t>
            </w:r>
            <w:r w:rsidR="004F07D5" w:rsidRPr="00E1092C">
              <w:rPr>
                <w:rFonts w:ascii="Times New Roman" w:hAnsi="Times New Roman" w:cs="Times New Roman"/>
                <w:iCs/>
                <w:sz w:val="24"/>
                <w:szCs w:val="24"/>
              </w:rPr>
              <w:t>amortizācijas izdevumi gadā)</w:t>
            </w:r>
            <w:r w:rsidR="00C66C61" w:rsidRPr="00E1092C">
              <w:rPr>
                <w:rFonts w:ascii="Times New Roman" w:hAnsi="Times New Roman" w:cs="Times New Roman"/>
                <w:iCs/>
                <w:sz w:val="24"/>
                <w:szCs w:val="24"/>
              </w:rPr>
              <w:t xml:space="preserve"> </w:t>
            </w:r>
            <w:r w:rsidRPr="00E1092C">
              <w:rPr>
                <w:rFonts w:ascii="Times New Roman" w:hAnsi="Times New Roman" w:cs="Times New Roman"/>
                <w:iCs/>
                <w:sz w:val="24"/>
                <w:szCs w:val="24"/>
              </w:rPr>
              <w:t xml:space="preserve">– </w:t>
            </w:r>
            <w:r w:rsidR="0031272C" w:rsidRPr="00E1092C">
              <w:rPr>
                <w:rFonts w:ascii="Times New Roman" w:hAnsi="Times New Roman" w:cs="Times New Roman"/>
                <w:iCs/>
                <w:sz w:val="24"/>
                <w:szCs w:val="24"/>
              </w:rPr>
              <w:t>4</w:t>
            </w:r>
            <w:r w:rsidR="000252FA">
              <w:rPr>
                <w:rFonts w:ascii="Times New Roman" w:hAnsi="Times New Roman" w:cs="Times New Roman"/>
                <w:iCs/>
                <w:sz w:val="24"/>
                <w:szCs w:val="24"/>
              </w:rPr>
              <w:t> </w:t>
            </w:r>
            <w:r w:rsidR="0031272C" w:rsidRPr="00E1092C">
              <w:rPr>
                <w:rFonts w:ascii="Times New Roman" w:hAnsi="Times New Roman" w:cs="Times New Roman"/>
                <w:iCs/>
                <w:sz w:val="24"/>
                <w:szCs w:val="24"/>
              </w:rPr>
              <w:t>710,53</w:t>
            </w:r>
            <w:r w:rsidR="00936D48">
              <w:rPr>
                <w:rFonts w:ascii="Times New Roman" w:hAnsi="Times New Roman" w:cs="Times New Roman"/>
                <w:iCs/>
                <w:sz w:val="24"/>
                <w:szCs w:val="24"/>
              </w:rPr>
              <w:t> </w:t>
            </w:r>
            <w:proofErr w:type="spellStart"/>
            <w:r w:rsidRPr="00E1092C">
              <w:rPr>
                <w:rFonts w:ascii="Times New Roman" w:hAnsi="Times New Roman" w:cs="Times New Roman"/>
                <w:i/>
                <w:iCs/>
                <w:sz w:val="24"/>
                <w:szCs w:val="24"/>
              </w:rPr>
              <w:t>euro</w:t>
            </w:r>
            <w:proofErr w:type="spellEnd"/>
            <w:r w:rsidRPr="00E1092C">
              <w:rPr>
                <w:rFonts w:ascii="Times New Roman" w:hAnsi="Times New Roman" w:cs="Times New Roman"/>
                <w:iCs/>
                <w:sz w:val="24"/>
                <w:szCs w:val="24"/>
              </w:rPr>
              <w:t>;</w:t>
            </w:r>
          </w:p>
          <w:p w14:paraId="0EEE3879" w14:textId="5618E349" w:rsidR="000A6A99" w:rsidRPr="00E1092C" w:rsidRDefault="000A6A99" w:rsidP="0014306F">
            <w:pPr>
              <w:pStyle w:val="ListParagraph"/>
              <w:numPr>
                <w:ilvl w:val="0"/>
                <w:numId w:val="12"/>
              </w:numPr>
              <w:tabs>
                <w:tab w:val="left" w:pos="274"/>
              </w:tabs>
              <w:spacing w:after="0" w:line="240" w:lineRule="auto"/>
              <w:ind w:left="0" w:firstLine="0"/>
              <w:jc w:val="both"/>
              <w:rPr>
                <w:rFonts w:ascii="Times New Roman" w:hAnsi="Times New Roman" w:cs="Times New Roman"/>
                <w:iCs/>
                <w:sz w:val="24"/>
                <w:szCs w:val="24"/>
              </w:rPr>
            </w:pPr>
            <w:r w:rsidRPr="00E1092C">
              <w:rPr>
                <w:rFonts w:ascii="Times New Roman" w:hAnsi="Times New Roman" w:cs="Times New Roman"/>
                <w:iCs/>
                <w:sz w:val="24"/>
                <w:szCs w:val="24"/>
              </w:rPr>
              <w:t xml:space="preserve">informācijas nodošanas </w:t>
            </w:r>
            <w:r w:rsidR="007D7ABD" w:rsidRPr="00E1092C">
              <w:rPr>
                <w:rFonts w:ascii="Times New Roman" w:hAnsi="Times New Roman" w:cs="Times New Roman"/>
                <w:sz w:val="24"/>
                <w:szCs w:val="24"/>
              </w:rPr>
              <w:t>kre</w:t>
            </w:r>
            <w:r w:rsidR="007D7ABD" w:rsidRPr="00E1092C">
              <w:rPr>
                <w:rFonts w:ascii="Times New Roman" w:hAnsi="Times New Roman" w:cs="Times New Roman"/>
                <w:iCs/>
                <w:sz w:val="24"/>
                <w:szCs w:val="24"/>
              </w:rPr>
              <w:t>dītinformācijas birojiem</w:t>
            </w:r>
            <w:r w:rsidRPr="00E1092C">
              <w:rPr>
                <w:rFonts w:ascii="Times New Roman" w:hAnsi="Times New Roman" w:cs="Times New Roman"/>
                <w:iCs/>
                <w:sz w:val="24"/>
                <w:szCs w:val="24"/>
              </w:rPr>
              <w:t xml:space="preserve"> risinājuma (programmatūras) uzturēšanas izmaksas </w:t>
            </w:r>
            <w:r w:rsidR="000252FA">
              <w:rPr>
                <w:rFonts w:ascii="Times New Roman" w:hAnsi="Times New Roman" w:cs="Times New Roman"/>
                <w:iCs/>
                <w:sz w:val="24"/>
                <w:szCs w:val="24"/>
              </w:rPr>
              <w:t xml:space="preserve">– </w:t>
            </w:r>
            <w:r w:rsidRPr="00E1092C">
              <w:rPr>
                <w:rFonts w:ascii="Times New Roman" w:hAnsi="Times New Roman" w:cs="Times New Roman"/>
                <w:iCs/>
                <w:sz w:val="24"/>
                <w:szCs w:val="24"/>
              </w:rPr>
              <w:t>1 648,69</w:t>
            </w:r>
            <w:r w:rsidR="000252FA">
              <w:rPr>
                <w:rFonts w:ascii="Times New Roman" w:hAnsi="Times New Roman" w:cs="Times New Roman"/>
                <w:iCs/>
                <w:sz w:val="24"/>
                <w:szCs w:val="24"/>
              </w:rPr>
              <w:t> </w:t>
            </w:r>
            <w:proofErr w:type="spellStart"/>
            <w:r w:rsidRPr="00E1092C">
              <w:rPr>
                <w:rFonts w:ascii="Times New Roman" w:hAnsi="Times New Roman" w:cs="Times New Roman"/>
                <w:i/>
                <w:iCs/>
                <w:sz w:val="24"/>
                <w:szCs w:val="24"/>
              </w:rPr>
              <w:t>euro</w:t>
            </w:r>
            <w:proofErr w:type="spellEnd"/>
            <w:r w:rsidRPr="00E1092C">
              <w:rPr>
                <w:rFonts w:ascii="Times New Roman" w:hAnsi="Times New Roman" w:cs="Times New Roman"/>
                <w:iCs/>
                <w:sz w:val="24"/>
                <w:szCs w:val="24"/>
              </w:rPr>
              <w:t>;</w:t>
            </w:r>
          </w:p>
          <w:p w14:paraId="63F92F3B" w14:textId="52719152" w:rsidR="00310C65" w:rsidRPr="00E1092C" w:rsidRDefault="0031272C" w:rsidP="0014306F">
            <w:pPr>
              <w:pStyle w:val="ListParagraph"/>
              <w:numPr>
                <w:ilvl w:val="0"/>
                <w:numId w:val="12"/>
              </w:numPr>
              <w:tabs>
                <w:tab w:val="left" w:pos="274"/>
              </w:tabs>
              <w:spacing w:after="0" w:line="240" w:lineRule="auto"/>
              <w:ind w:left="0" w:firstLine="0"/>
              <w:jc w:val="both"/>
              <w:rPr>
                <w:rFonts w:ascii="Times New Roman" w:hAnsi="Times New Roman" w:cs="Times New Roman"/>
                <w:iCs/>
                <w:sz w:val="24"/>
                <w:szCs w:val="24"/>
              </w:rPr>
            </w:pPr>
            <w:r w:rsidRPr="00E1092C">
              <w:rPr>
                <w:rFonts w:ascii="Times New Roman" w:hAnsi="Times New Roman" w:cs="Times New Roman"/>
                <w:iCs/>
                <w:sz w:val="24"/>
                <w:szCs w:val="24"/>
              </w:rPr>
              <w:t>disku masīva iegāde (</w:t>
            </w:r>
            <w:r w:rsidR="009532D5" w:rsidRPr="00E1092C">
              <w:rPr>
                <w:rFonts w:ascii="Times New Roman" w:hAnsi="Times New Roman" w:cs="Times New Roman"/>
                <w:iCs/>
                <w:sz w:val="24"/>
                <w:szCs w:val="24"/>
              </w:rPr>
              <w:t xml:space="preserve">piecu gadu </w:t>
            </w:r>
            <w:r w:rsidRPr="00E1092C">
              <w:rPr>
                <w:rFonts w:ascii="Times New Roman" w:hAnsi="Times New Roman" w:cs="Times New Roman"/>
                <w:iCs/>
                <w:sz w:val="24"/>
                <w:szCs w:val="24"/>
              </w:rPr>
              <w:t>amortizācijas izdevumi gadā)</w:t>
            </w:r>
            <w:r w:rsidR="000252FA">
              <w:rPr>
                <w:rFonts w:ascii="Times New Roman" w:hAnsi="Times New Roman" w:cs="Times New Roman"/>
                <w:iCs/>
                <w:sz w:val="24"/>
                <w:szCs w:val="24"/>
              </w:rPr>
              <w:t xml:space="preserve"> – </w:t>
            </w:r>
            <w:r w:rsidR="00D5561E" w:rsidRPr="00E1092C">
              <w:rPr>
                <w:rFonts w:ascii="Times New Roman" w:hAnsi="Times New Roman" w:cs="Times New Roman"/>
                <w:iCs/>
                <w:sz w:val="24"/>
                <w:szCs w:val="24"/>
              </w:rPr>
              <w:t>200</w:t>
            </w:r>
            <w:r w:rsidR="000252FA">
              <w:rPr>
                <w:rFonts w:ascii="Times New Roman" w:hAnsi="Times New Roman" w:cs="Times New Roman"/>
                <w:iCs/>
                <w:sz w:val="24"/>
                <w:szCs w:val="24"/>
              </w:rPr>
              <w:t> </w:t>
            </w:r>
            <w:proofErr w:type="spellStart"/>
            <w:r w:rsidR="00D5561E" w:rsidRPr="00E1092C">
              <w:rPr>
                <w:rFonts w:ascii="Times New Roman" w:hAnsi="Times New Roman" w:cs="Times New Roman"/>
                <w:i/>
                <w:iCs/>
                <w:sz w:val="24"/>
                <w:szCs w:val="24"/>
              </w:rPr>
              <w:t>euro</w:t>
            </w:r>
            <w:proofErr w:type="spellEnd"/>
            <w:r w:rsidR="00496915" w:rsidRPr="00E1092C">
              <w:rPr>
                <w:rFonts w:ascii="Times New Roman" w:hAnsi="Times New Roman" w:cs="Times New Roman"/>
                <w:iCs/>
                <w:sz w:val="24"/>
                <w:szCs w:val="24"/>
              </w:rPr>
              <w:t>;</w:t>
            </w:r>
          </w:p>
          <w:p w14:paraId="6BF782EE" w14:textId="69E0E8E7" w:rsidR="00B877C3" w:rsidRPr="00B877C3" w:rsidRDefault="002742D8" w:rsidP="0014306F">
            <w:pPr>
              <w:pStyle w:val="ListParagraph"/>
              <w:numPr>
                <w:ilvl w:val="0"/>
                <w:numId w:val="12"/>
              </w:numPr>
              <w:tabs>
                <w:tab w:val="left" w:pos="274"/>
              </w:tabs>
              <w:spacing w:after="0" w:line="240" w:lineRule="auto"/>
              <w:ind w:left="0" w:firstLine="0"/>
              <w:jc w:val="both"/>
              <w:rPr>
                <w:rFonts w:ascii="Times New Roman" w:hAnsi="Times New Roman" w:cs="Times New Roman"/>
                <w:iCs/>
                <w:sz w:val="24"/>
                <w:szCs w:val="24"/>
              </w:rPr>
            </w:pPr>
            <w:r w:rsidRPr="00E1092C">
              <w:rPr>
                <w:rFonts w:ascii="Times New Roman" w:hAnsi="Times New Roman" w:cs="Times New Roman"/>
                <w:iCs/>
                <w:sz w:val="24"/>
                <w:szCs w:val="24"/>
              </w:rPr>
              <w:t>tīkla slodzes dalīšanas risinājuma modernizēšana (</w:t>
            </w:r>
            <w:proofErr w:type="spellStart"/>
            <w:r w:rsidRPr="0014306F">
              <w:rPr>
                <w:rFonts w:ascii="Times New Roman" w:hAnsi="Times New Roman" w:cs="Times New Roman"/>
                <w:i/>
                <w:iCs/>
                <w:sz w:val="24"/>
                <w:szCs w:val="24"/>
              </w:rPr>
              <w:t>Citrix</w:t>
            </w:r>
            <w:proofErr w:type="spellEnd"/>
            <w:r w:rsidRPr="0014306F">
              <w:rPr>
                <w:rFonts w:ascii="Times New Roman" w:hAnsi="Times New Roman" w:cs="Times New Roman"/>
                <w:i/>
                <w:iCs/>
                <w:sz w:val="24"/>
                <w:szCs w:val="24"/>
              </w:rPr>
              <w:t xml:space="preserve"> ADC VPX</w:t>
            </w:r>
            <w:r w:rsidRPr="00E1092C">
              <w:rPr>
                <w:rFonts w:ascii="Times New Roman" w:hAnsi="Times New Roman" w:cs="Times New Roman"/>
                <w:iCs/>
                <w:sz w:val="24"/>
                <w:szCs w:val="24"/>
              </w:rPr>
              <w:t xml:space="preserve"> licences un uzstādīšana) ar piecu gadu uzturēšanas izmaksām (</w:t>
            </w:r>
            <w:r w:rsidR="001E0EAC" w:rsidRPr="00E1092C">
              <w:rPr>
                <w:rFonts w:ascii="Times New Roman" w:hAnsi="Times New Roman" w:cs="Times New Roman"/>
                <w:iCs/>
                <w:sz w:val="24"/>
                <w:szCs w:val="24"/>
              </w:rPr>
              <w:t xml:space="preserve">piecu gadu </w:t>
            </w:r>
            <w:r w:rsidRPr="00E1092C">
              <w:rPr>
                <w:rFonts w:ascii="Times New Roman" w:hAnsi="Times New Roman" w:cs="Times New Roman"/>
                <w:iCs/>
                <w:sz w:val="24"/>
                <w:szCs w:val="24"/>
              </w:rPr>
              <w:t xml:space="preserve">amortizācijas izdevumi gadā) </w:t>
            </w:r>
            <w:r w:rsidR="000252FA">
              <w:rPr>
                <w:rFonts w:ascii="Times New Roman" w:hAnsi="Times New Roman" w:cs="Times New Roman"/>
                <w:iCs/>
                <w:sz w:val="24"/>
                <w:szCs w:val="24"/>
              </w:rPr>
              <w:t xml:space="preserve">– </w:t>
            </w:r>
            <w:r w:rsidRPr="00E1092C">
              <w:rPr>
                <w:rFonts w:ascii="Times New Roman" w:hAnsi="Times New Roman" w:cs="Times New Roman"/>
                <w:iCs/>
                <w:sz w:val="24"/>
                <w:szCs w:val="24"/>
              </w:rPr>
              <w:t>13 419,20</w:t>
            </w:r>
            <w:r w:rsidR="000252FA">
              <w:rPr>
                <w:rFonts w:ascii="Times New Roman" w:hAnsi="Times New Roman" w:cs="Times New Roman"/>
                <w:iCs/>
                <w:sz w:val="24"/>
                <w:szCs w:val="24"/>
              </w:rPr>
              <w:t> </w:t>
            </w:r>
            <w:proofErr w:type="spellStart"/>
            <w:r w:rsidRPr="00E1092C">
              <w:rPr>
                <w:rFonts w:ascii="Times New Roman" w:hAnsi="Times New Roman" w:cs="Times New Roman"/>
                <w:i/>
                <w:iCs/>
                <w:sz w:val="24"/>
                <w:szCs w:val="24"/>
              </w:rPr>
              <w:t>euro</w:t>
            </w:r>
            <w:proofErr w:type="spellEnd"/>
            <w:r w:rsidRPr="00E1092C">
              <w:rPr>
                <w:rFonts w:ascii="Times New Roman" w:hAnsi="Times New Roman" w:cs="Times New Roman"/>
                <w:iCs/>
                <w:sz w:val="24"/>
                <w:szCs w:val="24"/>
              </w:rPr>
              <w:t>;</w:t>
            </w:r>
          </w:p>
          <w:p w14:paraId="326F1967" w14:textId="6502DC90" w:rsidR="006A32C0" w:rsidRPr="00E1092C" w:rsidRDefault="00DF1409" w:rsidP="0014306F">
            <w:pPr>
              <w:tabs>
                <w:tab w:val="left" w:pos="274"/>
              </w:tabs>
              <w:spacing w:after="0" w:line="240" w:lineRule="auto"/>
              <w:contextualSpacing/>
              <w:jc w:val="both"/>
              <w:rPr>
                <w:rFonts w:ascii="Times New Roman" w:hAnsi="Times New Roman" w:cs="Times New Roman"/>
                <w:iCs/>
                <w:sz w:val="24"/>
                <w:szCs w:val="24"/>
              </w:rPr>
            </w:pPr>
            <w:r w:rsidRPr="00E1092C">
              <w:rPr>
                <w:rFonts w:ascii="Times New Roman" w:hAnsi="Times New Roman" w:cs="Times New Roman"/>
                <w:iCs/>
                <w:sz w:val="24"/>
                <w:szCs w:val="24"/>
              </w:rPr>
              <w:t>5</w:t>
            </w:r>
            <w:r w:rsidR="00310C65" w:rsidRPr="00E1092C">
              <w:rPr>
                <w:rFonts w:ascii="Times New Roman" w:hAnsi="Times New Roman" w:cs="Times New Roman"/>
                <w:iCs/>
                <w:sz w:val="24"/>
                <w:szCs w:val="24"/>
              </w:rPr>
              <w:t>)</w:t>
            </w:r>
            <w:r w:rsidR="00310C65" w:rsidRPr="00E1092C">
              <w:rPr>
                <w:rFonts w:ascii="Times New Roman" w:hAnsi="Times New Roman" w:cs="Times New Roman"/>
                <w:iCs/>
                <w:sz w:val="24"/>
                <w:szCs w:val="24"/>
              </w:rPr>
              <w:tab/>
              <w:t>informācijas nodošanas tehniskā risinājuma</w:t>
            </w:r>
            <w:r w:rsidR="00EE48B3" w:rsidRPr="00E1092C">
              <w:rPr>
                <w:rFonts w:ascii="Times New Roman" w:hAnsi="Times New Roman" w:cs="Times New Roman"/>
                <w:iCs/>
                <w:sz w:val="24"/>
                <w:szCs w:val="24"/>
              </w:rPr>
              <w:t xml:space="preserve"> (programmatūras)</w:t>
            </w:r>
            <w:r w:rsidR="00310C65" w:rsidRPr="00E1092C">
              <w:rPr>
                <w:rFonts w:ascii="Times New Roman" w:hAnsi="Times New Roman" w:cs="Times New Roman"/>
                <w:iCs/>
                <w:sz w:val="24"/>
                <w:szCs w:val="24"/>
              </w:rPr>
              <w:t xml:space="preserve"> </w:t>
            </w:r>
            <w:r w:rsidR="00684394" w:rsidRPr="00E1092C">
              <w:rPr>
                <w:rFonts w:ascii="Times New Roman" w:hAnsi="Times New Roman" w:cs="Times New Roman"/>
                <w:iCs/>
                <w:sz w:val="24"/>
                <w:szCs w:val="24"/>
              </w:rPr>
              <w:t xml:space="preserve">izmaiņu </w:t>
            </w:r>
            <w:r w:rsidR="00310C65" w:rsidRPr="00E1092C">
              <w:rPr>
                <w:rFonts w:ascii="Times New Roman" w:hAnsi="Times New Roman" w:cs="Times New Roman"/>
                <w:iCs/>
                <w:sz w:val="24"/>
                <w:szCs w:val="24"/>
              </w:rPr>
              <w:t xml:space="preserve">izstrādē tieši nodarbināto cilvēkresursu </w:t>
            </w:r>
            <w:proofErr w:type="spellStart"/>
            <w:r w:rsidR="00310C65" w:rsidRPr="00E1092C">
              <w:rPr>
                <w:rFonts w:ascii="Times New Roman" w:hAnsi="Times New Roman" w:cs="Times New Roman"/>
                <w:iCs/>
                <w:sz w:val="24"/>
                <w:szCs w:val="24"/>
              </w:rPr>
              <w:t>personālizmaksas</w:t>
            </w:r>
            <w:proofErr w:type="spellEnd"/>
            <w:r w:rsidR="00310C65" w:rsidRPr="00E1092C">
              <w:rPr>
                <w:rFonts w:ascii="Times New Roman" w:hAnsi="Times New Roman" w:cs="Times New Roman"/>
                <w:iCs/>
                <w:sz w:val="24"/>
                <w:szCs w:val="24"/>
              </w:rPr>
              <w:t xml:space="preserve"> (atlīdzība)</w:t>
            </w:r>
            <w:r w:rsidR="008A26DD" w:rsidRPr="00E1092C">
              <w:rPr>
                <w:rFonts w:ascii="Times New Roman" w:hAnsi="Times New Roman" w:cs="Times New Roman"/>
                <w:iCs/>
                <w:sz w:val="24"/>
                <w:szCs w:val="24"/>
              </w:rPr>
              <w:t xml:space="preserve"> (</w:t>
            </w:r>
            <w:r w:rsidR="00F14B3D" w:rsidRPr="00E1092C">
              <w:rPr>
                <w:rFonts w:ascii="Times New Roman" w:hAnsi="Times New Roman" w:cs="Times New Roman"/>
                <w:iCs/>
                <w:sz w:val="24"/>
                <w:szCs w:val="24"/>
              </w:rPr>
              <w:t xml:space="preserve">stundas un </w:t>
            </w:r>
            <w:r w:rsidR="008A26DD" w:rsidRPr="00E1092C">
              <w:rPr>
                <w:rFonts w:ascii="Times New Roman" w:hAnsi="Times New Roman" w:cs="Times New Roman"/>
                <w:iCs/>
                <w:sz w:val="24"/>
                <w:szCs w:val="24"/>
              </w:rPr>
              <w:t xml:space="preserve">vienreizējas </w:t>
            </w:r>
            <w:proofErr w:type="spellStart"/>
            <w:r w:rsidR="008A26DD" w:rsidRPr="00E1092C">
              <w:rPr>
                <w:rFonts w:ascii="Times New Roman" w:hAnsi="Times New Roman" w:cs="Times New Roman"/>
                <w:iCs/>
                <w:sz w:val="24"/>
                <w:szCs w:val="24"/>
              </w:rPr>
              <w:t>personālizmaksas</w:t>
            </w:r>
            <w:proofErr w:type="spellEnd"/>
            <w:r w:rsidR="008A26DD" w:rsidRPr="00E1092C">
              <w:rPr>
                <w:rFonts w:ascii="Times New Roman" w:hAnsi="Times New Roman" w:cs="Times New Roman"/>
                <w:iCs/>
                <w:sz w:val="24"/>
                <w:szCs w:val="24"/>
              </w:rPr>
              <w:t xml:space="preserve"> aprēķinā attiecinātas uz pieciem gadiem (faktisko izmaksu aprēķinu un</w:t>
            </w:r>
            <w:r w:rsidR="000F6D3E" w:rsidRPr="00E1092C">
              <w:rPr>
                <w:rFonts w:ascii="Times New Roman" w:hAnsi="Times New Roman" w:cs="Times New Roman"/>
                <w:iCs/>
                <w:sz w:val="24"/>
                <w:szCs w:val="24"/>
              </w:rPr>
              <w:t xml:space="preserve"> sa</w:t>
            </w:r>
            <w:r w:rsidR="008A26DD" w:rsidRPr="00E1092C">
              <w:rPr>
                <w:rFonts w:ascii="Times New Roman" w:hAnsi="Times New Roman" w:cs="Times New Roman"/>
                <w:iCs/>
                <w:sz w:val="24"/>
                <w:szCs w:val="24"/>
              </w:rPr>
              <w:t>maksu VID veiks atbilstoši paveiktajam darbam</w:t>
            </w:r>
            <w:r w:rsidR="008A3B10" w:rsidRPr="00E1092C">
              <w:rPr>
                <w:rFonts w:ascii="Times New Roman" w:hAnsi="Times New Roman" w:cs="Times New Roman"/>
                <w:iCs/>
                <w:sz w:val="24"/>
                <w:szCs w:val="24"/>
              </w:rPr>
              <w:t>, pārstrukturizējot</w:t>
            </w:r>
            <w:r w:rsidR="008A26DD" w:rsidRPr="00E1092C">
              <w:rPr>
                <w:rFonts w:ascii="Times New Roman" w:hAnsi="Times New Roman" w:cs="Times New Roman"/>
                <w:iCs/>
                <w:sz w:val="24"/>
                <w:szCs w:val="24"/>
              </w:rPr>
              <w:t xml:space="preserve"> VID budžet</w:t>
            </w:r>
            <w:r w:rsidR="00B8759C" w:rsidRPr="00E1092C">
              <w:rPr>
                <w:rFonts w:ascii="Times New Roman" w:hAnsi="Times New Roman" w:cs="Times New Roman"/>
                <w:iCs/>
                <w:sz w:val="24"/>
                <w:szCs w:val="24"/>
              </w:rPr>
              <w:t>u</w:t>
            </w:r>
            <w:r w:rsidR="002C627D" w:rsidRPr="00E1092C">
              <w:rPr>
                <w:rFonts w:ascii="Times New Roman" w:hAnsi="Times New Roman" w:cs="Times New Roman"/>
                <w:iCs/>
                <w:sz w:val="24"/>
                <w:szCs w:val="24"/>
              </w:rPr>
              <w:t>)</w:t>
            </w:r>
            <w:r w:rsidR="000252FA">
              <w:rPr>
                <w:rFonts w:ascii="Times New Roman" w:hAnsi="Times New Roman" w:cs="Times New Roman"/>
                <w:iCs/>
                <w:sz w:val="24"/>
                <w:szCs w:val="24"/>
              </w:rPr>
              <w:t> –</w:t>
            </w:r>
            <w:r w:rsidR="003F0C98" w:rsidRPr="00E1092C">
              <w:rPr>
                <w:rFonts w:ascii="Times New Roman" w:hAnsi="Times New Roman" w:cs="Times New Roman"/>
                <w:iCs/>
                <w:sz w:val="24"/>
                <w:szCs w:val="24"/>
              </w:rPr>
              <w:t>804,74</w:t>
            </w:r>
            <w:r w:rsidR="000252FA">
              <w:rPr>
                <w:rFonts w:ascii="Times New Roman" w:hAnsi="Times New Roman" w:cs="Times New Roman"/>
                <w:iCs/>
                <w:sz w:val="24"/>
                <w:szCs w:val="24"/>
              </w:rPr>
              <w:t> </w:t>
            </w:r>
            <w:proofErr w:type="spellStart"/>
            <w:r w:rsidR="00310C65" w:rsidRPr="00E1092C">
              <w:rPr>
                <w:rFonts w:ascii="Times New Roman" w:hAnsi="Times New Roman" w:cs="Times New Roman"/>
                <w:i/>
                <w:iCs/>
                <w:sz w:val="24"/>
                <w:szCs w:val="24"/>
              </w:rPr>
              <w:t>euro</w:t>
            </w:r>
            <w:proofErr w:type="spellEnd"/>
            <w:r w:rsidR="00310C65" w:rsidRPr="00E1092C">
              <w:rPr>
                <w:rFonts w:ascii="Times New Roman" w:hAnsi="Times New Roman" w:cs="Times New Roman"/>
                <w:iCs/>
                <w:sz w:val="24"/>
                <w:szCs w:val="24"/>
              </w:rPr>
              <w:t xml:space="preserve">  (</w:t>
            </w:r>
            <w:r w:rsidR="003F0C98" w:rsidRPr="00E1092C">
              <w:rPr>
                <w:rFonts w:ascii="Times New Roman" w:hAnsi="Times New Roman" w:cs="Times New Roman"/>
                <w:iCs/>
                <w:sz w:val="24"/>
                <w:szCs w:val="24"/>
              </w:rPr>
              <w:t>98,8</w:t>
            </w:r>
            <w:r w:rsidR="00310C65" w:rsidRPr="00E1092C">
              <w:rPr>
                <w:rFonts w:ascii="Times New Roman" w:hAnsi="Times New Roman" w:cs="Times New Roman"/>
                <w:iCs/>
                <w:sz w:val="24"/>
                <w:szCs w:val="24"/>
              </w:rPr>
              <w:t xml:space="preserve"> stundas, atalgojums </w:t>
            </w:r>
            <w:r w:rsidR="003F0C98" w:rsidRPr="00E1092C">
              <w:rPr>
                <w:rFonts w:ascii="Times New Roman" w:hAnsi="Times New Roman" w:cs="Times New Roman"/>
                <w:iCs/>
                <w:sz w:val="24"/>
                <w:szCs w:val="24"/>
              </w:rPr>
              <w:t>648,51</w:t>
            </w:r>
            <w:r w:rsidR="000252FA">
              <w:rPr>
                <w:rFonts w:ascii="Times New Roman" w:hAnsi="Times New Roman" w:cs="Times New Roman"/>
                <w:iCs/>
                <w:sz w:val="24"/>
                <w:szCs w:val="24"/>
              </w:rPr>
              <w:t> </w:t>
            </w:r>
            <w:proofErr w:type="spellStart"/>
            <w:r w:rsidR="00310C65" w:rsidRPr="00E1092C">
              <w:rPr>
                <w:rFonts w:ascii="Times New Roman" w:hAnsi="Times New Roman" w:cs="Times New Roman"/>
                <w:i/>
                <w:iCs/>
                <w:sz w:val="24"/>
                <w:szCs w:val="24"/>
              </w:rPr>
              <w:t>euro</w:t>
            </w:r>
            <w:proofErr w:type="spellEnd"/>
            <w:r w:rsidR="00310C65" w:rsidRPr="00E1092C">
              <w:rPr>
                <w:rFonts w:ascii="Times New Roman" w:hAnsi="Times New Roman" w:cs="Times New Roman"/>
                <w:iCs/>
                <w:sz w:val="24"/>
                <w:szCs w:val="24"/>
              </w:rPr>
              <w:t xml:space="preserve">, VSAOI </w:t>
            </w:r>
            <w:r w:rsidR="003F0C98" w:rsidRPr="00E1092C">
              <w:rPr>
                <w:rFonts w:ascii="Times New Roman" w:hAnsi="Times New Roman" w:cs="Times New Roman"/>
                <w:iCs/>
                <w:sz w:val="24"/>
                <w:szCs w:val="24"/>
              </w:rPr>
              <w:t>156,23</w:t>
            </w:r>
            <w:r w:rsidR="000252FA">
              <w:rPr>
                <w:rFonts w:ascii="Times New Roman" w:hAnsi="Times New Roman" w:cs="Times New Roman"/>
                <w:iCs/>
                <w:sz w:val="24"/>
                <w:szCs w:val="24"/>
              </w:rPr>
              <w:t> </w:t>
            </w:r>
            <w:proofErr w:type="spellStart"/>
            <w:r w:rsidR="00310C65" w:rsidRPr="00E1092C">
              <w:rPr>
                <w:rFonts w:ascii="Times New Roman" w:hAnsi="Times New Roman" w:cs="Times New Roman"/>
                <w:i/>
                <w:iCs/>
                <w:sz w:val="24"/>
                <w:szCs w:val="24"/>
              </w:rPr>
              <w:t>euro</w:t>
            </w:r>
            <w:proofErr w:type="spellEnd"/>
            <w:r w:rsidR="00D25114" w:rsidRPr="00E1092C">
              <w:rPr>
                <w:rFonts w:ascii="Times New Roman" w:hAnsi="Times New Roman" w:cs="Times New Roman"/>
                <w:iCs/>
                <w:sz w:val="24"/>
                <w:szCs w:val="24"/>
              </w:rPr>
              <w:t>)</w:t>
            </w:r>
            <w:r w:rsidR="006A32C0" w:rsidRPr="00E1092C">
              <w:rPr>
                <w:rFonts w:ascii="Times New Roman" w:hAnsi="Times New Roman" w:cs="Times New Roman"/>
                <w:iCs/>
                <w:sz w:val="24"/>
                <w:szCs w:val="24"/>
              </w:rPr>
              <w:t>;</w:t>
            </w:r>
          </w:p>
          <w:p w14:paraId="6B2E5BA2" w14:textId="02B2557B" w:rsidR="009D4FAF" w:rsidRPr="00E1092C" w:rsidRDefault="006A32C0" w:rsidP="0014306F">
            <w:pPr>
              <w:spacing w:after="0" w:line="240" w:lineRule="auto"/>
              <w:contextualSpacing/>
              <w:jc w:val="both"/>
              <w:rPr>
                <w:rFonts w:ascii="Times New Roman" w:hAnsi="Times New Roman" w:cs="Times New Roman"/>
                <w:iCs/>
                <w:sz w:val="24"/>
                <w:szCs w:val="24"/>
              </w:rPr>
            </w:pPr>
            <w:r w:rsidRPr="00E1092C">
              <w:rPr>
                <w:rFonts w:ascii="Times New Roman" w:hAnsi="Times New Roman" w:cs="Times New Roman"/>
                <w:iCs/>
                <w:sz w:val="24"/>
                <w:szCs w:val="24"/>
              </w:rPr>
              <w:lastRenderedPageBreak/>
              <w:t>6)</w:t>
            </w:r>
            <w:r w:rsidR="00310C65" w:rsidRPr="00E1092C">
              <w:rPr>
                <w:rFonts w:ascii="Times New Roman" w:hAnsi="Times New Roman" w:cs="Times New Roman"/>
                <w:iCs/>
                <w:sz w:val="24"/>
                <w:szCs w:val="24"/>
              </w:rPr>
              <w:t xml:space="preserve"> risinājuma </w:t>
            </w:r>
            <w:r w:rsidR="006D3050" w:rsidRPr="00E1092C">
              <w:rPr>
                <w:rFonts w:ascii="Times New Roman" w:hAnsi="Times New Roman" w:cs="Times New Roman"/>
                <w:iCs/>
                <w:sz w:val="24"/>
                <w:szCs w:val="24"/>
              </w:rPr>
              <w:t xml:space="preserve">(programmatūras) </w:t>
            </w:r>
            <w:r w:rsidR="00310C65" w:rsidRPr="00E1092C">
              <w:rPr>
                <w:rFonts w:ascii="Times New Roman" w:hAnsi="Times New Roman" w:cs="Times New Roman"/>
                <w:iCs/>
                <w:sz w:val="24"/>
                <w:szCs w:val="24"/>
              </w:rPr>
              <w:t xml:space="preserve">uzturēšanā </w:t>
            </w:r>
            <w:r w:rsidR="00D82F06" w:rsidRPr="00E1092C">
              <w:rPr>
                <w:rFonts w:ascii="Times New Roman" w:hAnsi="Times New Roman" w:cs="Times New Roman"/>
                <w:iCs/>
                <w:sz w:val="24"/>
                <w:szCs w:val="24"/>
              </w:rPr>
              <w:t xml:space="preserve">tieši nodarbināto cilvēkresursu </w:t>
            </w:r>
            <w:proofErr w:type="spellStart"/>
            <w:r w:rsidR="00D82F06" w:rsidRPr="00E1092C">
              <w:rPr>
                <w:rFonts w:ascii="Times New Roman" w:hAnsi="Times New Roman" w:cs="Times New Roman"/>
                <w:iCs/>
                <w:sz w:val="24"/>
                <w:szCs w:val="24"/>
              </w:rPr>
              <w:t>personālizmaksas</w:t>
            </w:r>
            <w:proofErr w:type="spellEnd"/>
            <w:r w:rsidR="00D82F06" w:rsidRPr="00E1092C">
              <w:rPr>
                <w:rFonts w:ascii="Times New Roman" w:hAnsi="Times New Roman" w:cs="Times New Roman"/>
                <w:iCs/>
                <w:sz w:val="24"/>
                <w:szCs w:val="24"/>
              </w:rPr>
              <w:t xml:space="preserve"> (atlīdzība)</w:t>
            </w:r>
            <w:r w:rsidR="00DF4FF9" w:rsidRPr="00E1092C">
              <w:rPr>
                <w:rFonts w:ascii="Times New Roman" w:hAnsi="Times New Roman" w:cs="Times New Roman"/>
                <w:iCs/>
                <w:sz w:val="24"/>
                <w:szCs w:val="24"/>
              </w:rPr>
              <w:t xml:space="preserve"> </w:t>
            </w:r>
            <w:r w:rsidR="000252FA">
              <w:rPr>
                <w:rFonts w:ascii="Times New Roman" w:hAnsi="Times New Roman" w:cs="Times New Roman"/>
                <w:iCs/>
                <w:sz w:val="24"/>
                <w:szCs w:val="24"/>
              </w:rPr>
              <w:t xml:space="preserve">– </w:t>
            </w:r>
            <w:r w:rsidR="0077060A" w:rsidRPr="00E1092C">
              <w:rPr>
                <w:rFonts w:ascii="Times New Roman" w:hAnsi="Times New Roman" w:cs="Times New Roman"/>
                <w:iCs/>
                <w:sz w:val="24"/>
                <w:szCs w:val="24"/>
              </w:rPr>
              <w:t>2</w:t>
            </w:r>
            <w:r w:rsidR="000252FA">
              <w:rPr>
                <w:rFonts w:ascii="Times New Roman" w:hAnsi="Times New Roman" w:cs="Times New Roman"/>
                <w:iCs/>
                <w:sz w:val="24"/>
                <w:szCs w:val="24"/>
              </w:rPr>
              <w:t> </w:t>
            </w:r>
            <w:r w:rsidR="0077060A" w:rsidRPr="00E1092C">
              <w:rPr>
                <w:rFonts w:ascii="Times New Roman" w:hAnsi="Times New Roman" w:cs="Times New Roman"/>
                <w:iCs/>
                <w:sz w:val="24"/>
                <w:szCs w:val="24"/>
              </w:rPr>
              <w:t>617,73</w:t>
            </w:r>
            <w:r w:rsidR="000252FA">
              <w:rPr>
                <w:rFonts w:ascii="Times New Roman" w:hAnsi="Times New Roman" w:cs="Times New Roman"/>
                <w:iCs/>
                <w:sz w:val="24"/>
                <w:szCs w:val="24"/>
              </w:rPr>
              <w:t> </w:t>
            </w:r>
            <w:proofErr w:type="spellStart"/>
            <w:r w:rsidR="00310C65" w:rsidRPr="00E1092C">
              <w:rPr>
                <w:rFonts w:ascii="Times New Roman" w:hAnsi="Times New Roman" w:cs="Times New Roman"/>
                <w:i/>
                <w:iCs/>
                <w:sz w:val="24"/>
                <w:szCs w:val="24"/>
              </w:rPr>
              <w:t>euro</w:t>
            </w:r>
            <w:proofErr w:type="spellEnd"/>
            <w:r w:rsidR="00310C65" w:rsidRPr="00E1092C">
              <w:rPr>
                <w:rFonts w:ascii="Times New Roman" w:hAnsi="Times New Roman" w:cs="Times New Roman"/>
                <w:iCs/>
                <w:sz w:val="24"/>
                <w:szCs w:val="24"/>
              </w:rPr>
              <w:t xml:space="preserve"> (</w:t>
            </w:r>
            <w:r w:rsidR="0077060A" w:rsidRPr="00E1092C">
              <w:rPr>
                <w:rFonts w:ascii="Times New Roman" w:hAnsi="Times New Roman" w:cs="Times New Roman"/>
                <w:iCs/>
                <w:sz w:val="24"/>
                <w:szCs w:val="24"/>
              </w:rPr>
              <w:t>322</w:t>
            </w:r>
            <w:r w:rsidR="00310C65" w:rsidRPr="00E1092C">
              <w:rPr>
                <w:rFonts w:ascii="Times New Roman" w:hAnsi="Times New Roman" w:cs="Times New Roman"/>
                <w:iCs/>
                <w:sz w:val="24"/>
                <w:szCs w:val="24"/>
              </w:rPr>
              <w:t xml:space="preserve"> stundas, atalgojums </w:t>
            </w:r>
            <w:r w:rsidR="0077060A" w:rsidRPr="00E1092C">
              <w:rPr>
                <w:rFonts w:ascii="Times New Roman" w:hAnsi="Times New Roman" w:cs="Times New Roman"/>
                <w:iCs/>
                <w:sz w:val="24"/>
                <w:szCs w:val="24"/>
              </w:rPr>
              <w:t xml:space="preserve"> 2 109,54</w:t>
            </w:r>
            <w:r w:rsidR="000252FA">
              <w:rPr>
                <w:rFonts w:ascii="Times New Roman" w:hAnsi="Times New Roman" w:cs="Times New Roman"/>
                <w:iCs/>
                <w:sz w:val="24"/>
                <w:szCs w:val="24"/>
              </w:rPr>
              <w:t> </w:t>
            </w:r>
            <w:proofErr w:type="spellStart"/>
            <w:r w:rsidR="00310C65" w:rsidRPr="00E1092C">
              <w:rPr>
                <w:rFonts w:ascii="Times New Roman" w:hAnsi="Times New Roman" w:cs="Times New Roman"/>
                <w:i/>
                <w:iCs/>
                <w:sz w:val="24"/>
                <w:szCs w:val="24"/>
              </w:rPr>
              <w:t>euro</w:t>
            </w:r>
            <w:proofErr w:type="spellEnd"/>
            <w:r w:rsidR="00310C65" w:rsidRPr="00E1092C">
              <w:rPr>
                <w:rFonts w:ascii="Times New Roman" w:hAnsi="Times New Roman" w:cs="Times New Roman"/>
                <w:iCs/>
                <w:sz w:val="24"/>
                <w:szCs w:val="24"/>
              </w:rPr>
              <w:t xml:space="preserve">, VSAOI </w:t>
            </w:r>
            <w:r w:rsidR="0077060A" w:rsidRPr="00E1092C">
              <w:rPr>
                <w:rFonts w:ascii="Times New Roman" w:hAnsi="Times New Roman" w:cs="Times New Roman"/>
                <w:iCs/>
                <w:sz w:val="24"/>
                <w:szCs w:val="24"/>
              </w:rPr>
              <w:t>508,19</w:t>
            </w:r>
            <w:r w:rsidR="000252FA">
              <w:rPr>
                <w:rFonts w:ascii="Times New Roman" w:hAnsi="Times New Roman" w:cs="Times New Roman"/>
                <w:iCs/>
                <w:sz w:val="24"/>
                <w:szCs w:val="24"/>
              </w:rPr>
              <w:t> </w:t>
            </w:r>
            <w:proofErr w:type="spellStart"/>
            <w:r w:rsidR="00310C65" w:rsidRPr="00E1092C">
              <w:rPr>
                <w:rFonts w:ascii="Times New Roman" w:hAnsi="Times New Roman" w:cs="Times New Roman"/>
                <w:i/>
                <w:iCs/>
                <w:sz w:val="24"/>
                <w:szCs w:val="24"/>
              </w:rPr>
              <w:t>euro</w:t>
            </w:r>
            <w:proofErr w:type="spellEnd"/>
            <w:r w:rsidR="00310C65" w:rsidRPr="00E1092C">
              <w:rPr>
                <w:rFonts w:ascii="Times New Roman" w:hAnsi="Times New Roman" w:cs="Times New Roman"/>
                <w:iCs/>
                <w:sz w:val="24"/>
                <w:szCs w:val="24"/>
              </w:rPr>
              <w:t>)</w:t>
            </w:r>
            <w:r w:rsidR="003D05FF" w:rsidRPr="00E1092C">
              <w:rPr>
                <w:rFonts w:ascii="Times New Roman" w:hAnsi="Times New Roman" w:cs="Times New Roman"/>
                <w:iCs/>
                <w:sz w:val="24"/>
                <w:szCs w:val="24"/>
              </w:rPr>
              <w:t>;</w:t>
            </w:r>
            <w:r w:rsidR="00310C65" w:rsidRPr="00E1092C">
              <w:rPr>
                <w:rFonts w:ascii="Times New Roman" w:hAnsi="Times New Roman" w:cs="Times New Roman"/>
                <w:iCs/>
                <w:sz w:val="24"/>
                <w:szCs w:val="24"/>
              </w:rPr>
              <w:t xml:space="preserve"> </w:t>
            </w:r>
          </w:p>
          <w:p w14:paraId="6C7E402C" w14:textId="4625AE37" w:rsidR="00310C65" w:rsidRPr="00E1092C" w:rsidRDefault="008B7D91" w:rsidP="0014306F">
            <w:pPr>
              <w:tabs>
                <w:tab w:val="left" w:pos="274"/>
              </w:tabs>
              <w:spacing w:after="0" w:line="240" w:lineRule="auto"/>
              <w:contextualSpacing/>
              <w:jc w:val="both"/>
              <w:rPr>
                <w:rFonts w:ascii="Times New Roman" w:hAnsi="Times New Roman" w:cs="Times New Roman"/>
                <w:iCs/>
                <w:sz w:val="24"/>
                <w:szCs w:val="24"/>
              </w:rPr>
            </w:pPr>
            <w:r w:rsidRPr="00E1092C">
              <w:rPr>
                <w:rFonts w:ascii="Times New Roman" w:hAnsi="Times New Roman" w:cs="Times New Roman"/>
                <w:iCs/>
                <w:sz w:val="24"/>
                <w:szCs w:val="24"/>
              </w:rPr>
              <w:t>7</w:t>
            </w:r>
            <w:r w:rsidR="00310C65" w:rsidRPr="00E1092C">
              <w:rPr>
                <w:rFonts w:ascii="Times New Roman" w:hAnsi="Times New Roman" w:cs="Times New Roman"/>
                <w:iCs/>
                <w:sz w:val="24"/>
                <w:szCs w:val="24"/>
              </w:rPr>
              <w:t>)</w:t>
            </w:r>
            <w:r w:rsidR="00310C65" w:rsidRPr="00E1092C">
              <w:rPr>
                <w:rFonts w:ascii="Times New Roman" w:hAnsi="Times New Roman" w:cs="Times New Roman"/>
                <w:iCs/>
                <w:sz w:val="24"/>
                <w:szCs w:val="24"/>
              </w:rPr>
              <w:tab/>
            </w:r>
            <w:r w:rsidR="00633D2A" w:rsidRPr="00E1092C">
              <w:rPr>
                <w:rFonts w:ascii="Times New Roman" w:hAnsi="Times New Roman" w:cs="Times New Roman"/>
                <w:iCs/>
                <w:sz w:val="24"/>
                <w:szCs w:val="24"/>
              </w:rPr>
              <w:t xml:space="preserve">trīs </w:t>
            </w:r>
            <w:proofErr w:type="spellStart"/>
            <w:r w:rsidR="00310C65" w:rsidRPr="0014306F">
              <w:rPr>
                <w:rFonts w:ascii="Times New Roman" w:hAnsi="Times New Roman" w:cs="Times New Roman"/>
                <w:i/>
                <w:iCs/>
                <w:sz w:val="24"/>
                <w:szCs w:val="24"/>
              </w:rPr>
              <w:t>Web</w:t>
            </w:r>
            <w:proofErr w:type="spellEnd"/>
            <w:r w:rsidR="00310C65" w:rsidRPr="0014306F">
              <w:rPr>
                <w:rFonts w:ascii="Times New Roman" w:hAnsi="Times New Roman" w:cs="Times New Roman"/>
                <w:i/>
                <w:iCs/>
                <w:sz w:val="24"/>
                <w:szCs w:val="24"/>
              </w:rPr>
              <w:t xml:space="preserve"> </w:t>
            </w:r>
            <w:proofErr w:type="spellStart"/>
            <w:r w:rsidR="00310C65" w:rsidRPr="0014306F">
              <w:rPr>
                <w:rFonts w:ascii="Times New Roman" w:hAnsi="Times New Roman" w:cs="Times New Roman"/>
                <w:i/>
                <w:iCs/>
                <w:sz w:val="24"/>
                <w:szCs w:val="24"/>
              </w:rPr>
              <w:t>Logic</w:t>
            </w:r>
            <w:proofErr w:type="spellEnd"/>
            <w:r w:rsidR="00310C65" w:rsidRPr="00E1092C">
              <w:rPr>
                <w:rFonts w:ascii="Times New Roman" w:hAnsi="Times New Roman" w:cs="Times New Roman"/>
                <w:iCs/>
                <w:sz w:val="24"/>
                <w:szCs w:val="24"/>
              </w:rPr>
              <w:t xml:space="preserve"> licenču uzturēšana</w:t>
            </w:r>
            <w:r w:rsidR="0065789C" w:rsidRPr="00E1092C">
              <w:rPr>
                <w:rFonts w:ascii="Times New Roman" w:hAnsi="Times New Roman" w:cs="Times New Roman"/>
                <w:iCs/>
                <w:sz w:val="24"/>
                <w:szCs w:val="24"/>
              </w:rPr>
              <w:t>s izmaksas</w:t>
            </w:r>
            <w:r w:rsidR="00310C65" w:rsidRPr="00E1092C">
              <w:rPr>
                <w:rFonts w:ascii="Times New Roman" w:hAnsi="Times New Roman" w:cs="Times New Roman"/>
                <w:iCs/>
                <w:sz w:val="24"/>
                <w:szCs w:val="24"/>
              </w:rPr>
              <w:t xml:space="preserve"> risinājuma darbināšanai – </w:t>
            </w:r>
            <w:r w:rsidR="00A823C7" w:rsidRPr="00E1092C">
              <w:rPr>
                <w:rFonts w:ascii="Times New Roman" w:hAnsi="Times New Roman" w:cs="Times New Roman"/>
                <w:iCs/>
                <w:sz w:val="24"/>
                <w:szCs w:val="24"/>
              </w:rPr>
              <w:t>23</w:t>
            </w:r>
            <w:r w:rsidR="000252FA">
              <w:rPr>
                <w:rFonts w:ascii="Times New Roman" w:hAnsi="Times New Roman" w:cs="Times New Roman"/>
                <w:iCs/>
                <w:sz w:val="24"/>
                <w:szCs w:val="24"/>
              </w:rPr>
              <w:t> </w:t>
            </w:r>
            <w:r w:rsidR="00A823C7" w:rsidRPr="00E1092C">
              <w:rPr>
                <w:rFonts w:ascii="Times New Roman" w:hAnsi="Times New Roman" w:cs="Times New Roman"/>
                <w:iCs/>
                <w:sz w:val="24"/>
                <w:szCs w:val="24"/>
              </w:rPr>
              <w:t>795,13</w:t>
            </w:r>
            <w:r w:rsidR="000252FA">
              <w:rPr>
                <w:rFonts w:ascii="Times New Roman" w:hAnsi="Times New Roman" w:cs="Times New Roman"/>
                <w:iCs/>
                <w:sz w:val="24"/>
                <w:szCs w:val="24"/>
              </w:rPr>
              <w:t> </w:t>
            </w:r>
            <w:proofErr w:type="spellStart"/>
            <w:r w:rsidR="00310C65" w:rsidRPr="00E1092C">
              <w:rPr>
                <w:rFonts w:ascii="Times New Roman" w:hAnsi="Times New Roman" w:cs="Times New Roman"/>
                <w:i/>
                <w:iCs/>
                <w:sz w:val="24"/>
                <w:szCs w:val="24"/>
              </w:rPr>
              <w:t>euro</w:t>
            </w:r>
            <w:proofErr w:type="spellEnd"/>
            <w:r w:rsidR="009E02B4" w:rsidRPr="00E1092C">
              <w:rPr>
                <w:rFonts w:ascii="Times New Roman" w:hAnsi="Times New Roman" w:cs="Times New Roman"/>
                <w:iCs/>
                <w:sz w:val="24"/>
                <w:szCs w:val="24"/>
              </w:rPr>
              <w:t>;</w:t>
            </w:r>
          </w:p>
          <w:p w14:paraId="4270CE99" w14:textId="4B033AAF" w:rsidR="00310C65" w:rsidRPr="00E1092C" w:rsidRDefault="008B7D91" w:rsidP="0014306F">
            <w:pPr>
              <w:tabs>
                <w:tab w:val="left" w:pos="274"/>
              </w:tabs>
              <w:spacing w:after="0" w:line="240" w:lineRule="auto"/>
              <w:contextualSpacing/>
              <w:jc w:val="both"/>
              <w:rPr>
                <w:rFonts w:ascii="Times New Roman" w:hAnsi="Times New Roman" w:cs="Times New Roman"/>
                <w:iCs/>
                <w:sz w:val="24"/>
                <w:szCs w:val="24"/>
              </w:rPr>
            </w:pPr>
            <w:r w:rsidRPr="00E1092C">
              <w:rPr>
                <w:rFonts w:ascii="Times New Roman" w:hAnsi="Times New Roman" w:cs="Times New Roman"/>
                <w:iCs/>
                <w:sz w:val="24"/>
                <w:szCs w:val="24"/>
              </w:rPr>
              <w:t>8</w:t>
            </w:r>
            <w:r w:rsidR="00310C65" w:rsidRPr="00E1092C">
              <w:rPr>
                <w:rFonts w:ascii="Times New Roman" w:hAnsi="Times New Roman" w:cs="Times New Roman"/>
                <w:iCs/>
                <w:sz w:val="24"/>
                <w:szCs w:val="24"/>
              </w:rPr>
              <w:t>)</w:t>
            </w:r>
            <w:r w:rsidR="00310C65" w:rsidRPr="00E1092C">
              <w:rPr>
                <w:rFonts w:ascii="Times New Roman" w:hAnsi="Times New Roman" w:cs="Times New Roman"/>
                <w:iCs/>
                <w:sz w:val="24"/>
                <w:szCs w:val="24"/>
              </w:rPr>
              <w:tab/>
            </w:r>
            <w:r w:rsidR="00DB4F26" w:rsidRPr="00E1092C">
              <w:rPr>
                <w:rFonts w:ascii="Times New Roman" w:hAnsi="Times New Roman" w:cs="Times New Roman"/>
                <w:iCs/>
                <w:sz w:val="24"/>
                <w:szCs w:val="24"/>
              </w:rPr>
              <w:t>VID</w:t>
            </w:r>
            <w:r w:rsidR="00310C65" w:rsidRPr="00E1092C">
              <w:rPr>
                <w:rFonts w:ascii="Times New Roman" w:hAnsi="Times New Roman" w:cs="Times New Roman"/>
                <w:iCs/>
                <w:sz w:val="24"/>
                <w:szCs w:val="24"/>
              </w:rPr>
              <w:t xml:space="preserve"> Datu noliktavas sistēmas un </w:t>
            </w:r>
            <w:r w:rsidR="00DB4F26" w:rsidRPr="00E1092C">
              <w:rPr>
                <w:rFonts w:ascii="Times New Roman" w:hAnsi="Times New Roman" w:cs="Times New Roman"/>
                <w:iCs/>
                <w:sz w:val="24"/>
                <w:szCs w:val="24"/>
              </w:rPr>
              <w:t>VID</w:t>
            </w:r>
            <w:r w:rsidR="00310C65" w:rsidRPr="00E1092C">
              <w:rPr>
                <w:rFonts w:ascii="Times New Roman" w:hAnsi="Times New Roman" w:cs="Times New Roman"/>
                <w:iCs/>
                <w:sz w:val="24"/>
                <w:szCs w:val="24"/>
              </w:rPr>
              <w:t xml:space="preserve"> </w:t>
            </w:r>
            <w:r w:rsidR="006D716B" w:rsidRPr="00E1092C">
              <w:rPr>
                <w:rFonts w:ascii="Times New Roman" w:hAnsi="Times New Roman" w:cs="Times New Roman"/>
                <w:iCs/>
                <w:sz w:val="24"/>
                <w:szCs w:val="24"/>
              </w:rPr>
              <w:t xml:space="preserve">Informācijas sistēmu </w:t>
            </w:r>
            <w:proofErr w:type="spellStart"/>
            <w:r w:rsidR="006D716B" w:rsidRPr="00E1092C">
              <w:rPr>
                <w:rFonts w:ascii="Times New Roman" w:hAnsi="Times New Roman" w:cs="Times New Roman"/>
                <w:iCs/>
                <w:sz w:val="24"/>
                <w:szCs w:val="24"/>
              </w:rPr>
              <w:t>savietot</w:t>
            </w:r>
            <w:r w:rsidR="004D23C1" w:rsidRPr="00E1092C">
              <w:rPr>
                <w:rFonts w:ascii="Times New Roman" w:hAnsi="Times New Roman" w:cs="Times New Roman"/>
                <w:iCs/>
                <w:sz w:val="24"/>
                <w:szCs w:val="24"/>
              </w:rPr>
              <w:t>āja</w:t>
            </w:r>
            <w:proofErr w:type="spellEnd"/>
            <w:r w:rsidR="00310C65" w:rsidRPr="00E1092C">
              <w:rPr>
                <w:rFonts w:ascii="Times New Roman" w:hAnsi="Times New Roman" w:cs="Times New Roman"/>
                <w:iCs/>
                <w:sz w:val="24"/>
                <w:szCs w:val="24"/>
              </w:rPr>
              <w:t xml:space="preserve"> uzturēšana</w:t>
            </w:r>
            <w:r w:rsidR="0065789C" w:rsidRPr="00E1092C">
              <w:rPr>
                <w:rFonts w:ascii="Times New Roman" w:hAnsi="Times New Roman" w:cs="Times New Roman"/>
                <w:iCs/>
                <w:sz w:val="24"/>
                <w:szCs w:val="24"/>
              </w:rPr>
              <w:t>s izmaksas</w:t>
            </w:r>
            <w:r w:rsidR="00310C65" w:rsidRPr="00E1092C">
              <w:rPr>
                <w:rFonts w:ascii="Times New Roman" w:hAnsi="Times New Roman" w:cs="Times New Roman"/>
                <w:iCs/>
                <w:sz w:val="24"/>
                <w:szCs w:val="24"/>
              </w:rPr>
              <w:t xml:space="preserve"> –</w:t>
            </w:r>
            <w:r w:rsidR="004A4E6B" w:rsidRPr="00E1092C">
              <w:rPr>
                <w:rFonts w:ascii="Times New Roman" w:hAnsi="Times New Roman" w:cs="Times New Roman"/>
                <w:iCs/>
                <w:sz w:val="24"/>
                <w:szCs w:val="24"/>
              </w:rPr>
              <w:t xml:space="preserve"> </w:t>
            </w:r>
            <w:r w:rsidR="00FA2E3A" w:rsidRPr="00E1092C">
              <w:rPr>
                <w:rFonts w:ascii="Times New Roman" w:hAnsi="Times New Roman" w:cs="Times New Roman"/>
                <w:iCs/>
                <w:sz w:val="24"/>
                <w:szCs w:val="24"/>
              </w:rPr>
              <w:t>7</w:t>
            </w:r>
            <w:r w:rsidR="000252FA">
              <w:rPr>
                <w:rFonts w:ascii="Times New Roman" w:hAnsi="Times New Roman" w:cs="Times New Roman"/>
                <w:iCs/>
                <w:sz w:val="24"/>
                <w:szCs w:val="24"/>
              </w:rPr>
              <w:t> </w:t>
            </w:r>
            <w:r w:rsidR="00FA2E3A" w:rsidRPr="00E1092C">
              <w:rPr>
                <w:rFonts w:ascii="Times New Roman" w:hAnsi="Times New Roman" w:cs="Times New Roman"/>
                <w:iCs/>
                <w:sz w:val="24"/>
                <w:szCs w:val="24"/>
              </w:rPr>
              <w:t>734</w:t>
            </w:r>
            <w:r w:rsidR="000252FA">
              <w:rPr>
                <w:rFonts w:ascii="Times New Roman" w:hAnsi="Times New Roman" w:cs="Times New Roman"/>
                <w:iCs/>
                <w:sz w:val="24"/>
                <w:szCs w:val="24"/>
              </w:rPr>
              <w:t> </w:t>
            </w:r>
            <w:proofErr w:type="spellStart"/>
            <w:r w:rsidR="00310C65" w:rsidRPr="00E1092C">
              <w:rPr>
                <w:rFonts w:ascii="Times New Roman" w:hAnsi="Times New Roman" w:cs="Times New Roman"/>
                <w:i/>
                <w:iCs/>
                <w:sz w:val="24"/>
                <w:szCs w:val="24"/>
              </w:rPr>
              <w:t>euro</w:t>
            </w:r>
            <w:proofErr w:type="spellEnd"/>
            <w:r w:rsidR="00310C65" w:rsidRPr="00E1092C">
              <w:rPr>
                <w:rFonts w:ascii="Times New Roman" w:hAnsi="Times New Roman" w:cs="Times New Roman"/>
                <w:iCs/>
                <w:sz w:val="24"/>
                <w:szCs w:val="24"/>
              </w:rPr>
              <w:t>;</w:t>
            </w:r>
          </w:p>
          <w:p w14:paraId="7CB28BBC" w14:textId="5321DDAE" w:rsidR="00310C65" w:rsidRPr="00E1092C" w:rsidRDefault="008B7D91" w:rsidP="0014306F">
            <w:pPr>
              <w:tabs>
                <w:tab w:val="left" w:pos="274"/>
              </w:tabs>
              <w:spacing w:after="0" w:line="240" w:lineRule="auto"/>
              <w:contextualSpacing/>
              <w:jc w:val="both"/>
              <w:rPr>
                <w:rFonts w:ascii="Times New Roman" w:hAnsi="Times New Roman" w:cs="Times New Roman"/>
                <w:iCs/>
                <w:sz w:val="24"/>
                <w:szCs w:val="24"/>
              </w:rPr>
            </w:pPr>
            <w:r w:rsidRPr="00E1092C">
              <w:rPr>
                <w:rFonts w:ascii="Times New Roman" w:hAnsi="Times New Roman" w:cs="Times New Roman"/>
                <w:iCs/>
                <w:sz w:val="24"/>
                <w:szCs w:val="24"/>
              </w:rPr>
              <w:t>9</w:t>
            </w:r>
            <w:r w:rsidR="00310C65" w:rsidRPr="00E1092C">
              <w:rPr>
                <w:rFonts w:ascii="Times New Roman" w:hAnsi="Times New Roman" w:cs="Times New Roman"/>
                <w:iCs/>
                <w:sz w:val="24"/>
                <w:szCs w:val="24"/>
              </w:rPr>
              <w:t>)</w:t>
            </w:r>
            <w:r w:rsidR="00310C65" w:rsidRPr="00E1092C">
              <w:rPr>
                <w:rFonts w:ascii="Times New Roman" w:hAnsi="Times New Roman" w:cs="Times New Roman"/>
                <w:iCs/>
                <w:sz w:val="24"/>
                <w:szCs w:val="24"/>
              </w:rPr>
              <w:tab/>
              <w:t xml:space="preserve">divu </w:t>
            </w:r>
            <w:r w:rsidR="00310C65" w:rsidRPr="0014306F">
              <w:rPr>
                <w:rFonts w:ascii="Times New Roman" w:hAnsi="Times New Roman" w:cs="Times New Roman"/>
                <w:i/>
                <w:iCs/>
                <w:sz w:val="24"/>
                <w:szCs w:val="24"/>
              </w:rPr>
              <w:t xml:space="preserve">Oracle </w:t>
            </w:r>
            <w:proofErr w:type="spellStart"/>
            <w:r w:rsidR="00310C65" w:rsidRPr="0014306F">
              <w:rPr>
                <w:rFonts w:ascii="Times New Roman" w:hAnsi="Times New Roman" w:cs="Times New Roman"/>
                <w:i/>
                <w:iCs/>
                <w:sz w:val="24"/>
                <w:szCs w:val="24"/>
              </w:rPr>
              <w:t>Databases</w:t>
            </w:r>
            <w:proofErr w:type="spellEnd"/>
            <w:r w:rsidR="00310C65" w:rsidRPr="0014306F">
              <w:rPr>
                <w:rFonts w:ascii="Times New Roman" w:hAnsi="Times New Roman" w:cs="Times New Roman"/>
                <w:i/>
                <w:iCs/>
                <w:sz w:val="24"/>
                <w:szCs w:val="24"/>
              </w:rPr>
              <w:t xml:space="preserve"> Enterprise </w:t>
            </w:r>
            <w:proofErr w:type="spellStart"/>
            <w:r w:rsidR="00310C65" w:rsidRPr="0014306F">
              <w:rPr>
                <w:rFonts w:ascii="Times New Roman" w:hAnsi="Times New Roman" w:cs="Times New Roman"/>
                <w:i/>
                <w:iCs/>
                <w:sz w:val="24"/>
                <w:szCs w:val="24"/>
              </w:rPr>
              <w:t>Edition</w:t>
            </w:r>
            <w:proofErr w:type="spellEnd"/>
            <w:r w:rsidR="00310C65" w:rsidRPr="00E1092C">
              <w:rPr>
                <w:rFonts w:ascii="Times New Roman" w:hAnsi="Times New Roman" w:cs="Times New Roman"/>
                <w:iCs/>
                <w:sz w:val="24"/>
                <w:szCs w:val="24"/>
              </w:rPr>
              <w:t xml:space="preserve"> licenču </w:t>
            </w:r>
            <w:r w:rsidR="00DB4F26" w:rsidRPr="00E1092C">
              <w:rPr>
                <w:rFonts w:ascii="Times New Roman" w:hAnsi="Times New Roman" w:cs="Times New Roman"/>
                <w:iCs/>
                <w:sz w:val="24"/>
                <w:szCs w:val="24"/>
              </w:rPr>
              <w:t xml:space="preserve">VID </w:t>
            </w:r>
            <w:r w:rsidR="004D6281" w:rsidRPr="00E1092C">
              <w:rPr>
                <w:rFonts w:ascii="Times New Roman" w:hAnsi="Times New Roman" w:cs="Times New Roman"/>
                <w:iCs/>
                <w:sz w:val="24"/>
                <w:szCs w:val="24"/>
              </w:rPr>
              <w:t xml:space="preserve">Informācijas sistēmu </w:t>
            </w:r>
            <w:proofErr w:type="spellStart"/>
            <w:r w:rsidR="004D6281" w:rsidRPr="00E1092C">
              <w:rPr>
                <w:rFonts w:ascii="Times New Roman" w:hAnsi="Times New Roman" w:cs="Times New Roman"/>
                <w:iCs/>
                <w:sz w:val="24"/>
                <w:szCs w:val="24"/>
              </w:rPr>
              <w:t>savietotāja</w:t>
            </w:r>
            <w:r w:rsidR="003220B5" w:rsidRPr="00E1092C">
              <w:rPr>
                <w:rFonts w:ascii="Times New Roman" w:hAnsi="Times New Roman" w:cs="Times New Roman"/>
                <w:iCs/>
                <w:sz w:val="24"/>
                <w:szCs w:val="24"/>
              </w:rPr>
              <w:t>m</w:t>
            </w:r>
            <w:proofErr w:type="spellEnd"/>
            <w:r w:rsidR="00310C65" w:rsidRPr="00E1092C">
              <w:rPr>
                <w:rFonts w:ascii="Times New Roman" w:hAnsi="Times New Roman" w:cs="Times New Roman"/>
                <w:iCs/>
                <w:sz w:val="24"/>
                <w:szCs w:val="24"/>
              </w:rPr>
              <w:t xml:space="preserve"> uzturēšana</w:t>
            </w:r>
            <w:r w:rsidR="003220B5" w:rsidRPr="00E1092C">
              <w:rPr>
                <w:rFonts w:ascii="Times New Roman" w:hAnsi="Times New Roman" w:cs="Times New Roman"/>
                <w:iCs/>
                <w:sz w:val="24"/>
                <w:szCs w:val="24"/>
              </w:rPr>
              <w:t>s</w:t>
            </w:r>
            <w:r w:rsidR="004D6281" w:rsidRPr="00E1092C">
              <w:rPr>
                <w:rFonts w:ascii="Times New Roman" w:hAnsi="Times New Roman" w:cs="Times New Roman"/>
                <w:iCs/>
                <w:sz w:val="24"/>
                <w:szCs w:val="24"/>
              </w:rPr>
              <w:t xml:space="preserve"> izmaksas</w:t>
            </w:r>
            <w:r w:rsidR="00542651" w:rsidRPr="00E1092C">
              <w:rPr>
                <w:rFonts w:ascii="Times New Roman" w:hAnsi="Times New Roman" w:cs="Times New Roman"/>
                <w:iCs/>
                <w:sz w:val="24"/>
                <w:szCs w:val="24"/>
              </w:rPr>
              <w:t xml:space="preserve"> </w:t>
            </w:r>
            <w:r w:rsidR="00310C65" w:rsidRPr="00E1092C">
              <w:rPr>
                <w:rFonts w:ascii="Times New Roman" w:hAnsi="Times New Roman" w:cs="Times New Roman"/>
                <w:iCs/>
                <w:sz w:val="24"/>
                <w:szCs w:val="24"/>
              </w:rPr>
              <w:t xml:space="preserve">– </w:t>
            </w:r>
            <w:r w:rsidR="00633D2A" w:rsidRPr="00E1092C">
              <w:rPr>
                <w:rFonts w:ascii="Times New Roman" w:hAnsi="Times New Roman" w:cs="Times New Roman"/>
                <w:iCs/>
                <w:sz w:val="24"/>
                <w:szCs w:val="24"/>
              </w:rPr>
              <w:t>18</w:t>
            </w:r>
            <w:r w:rsidR="000252FA">
              <w:rPr>
                <w:rFonts w:ascii="Times New Roman" w:hAnsi="Times New Roman" w:cs="Times New Roman"/>
                <w:iCs/>
                <w:sz w:val="24"/>
                <w:szCs w:val="24"/>
              </w:rPr>
              <w:t> </w:t>
            </w:r>
            <w:r w:rsidR="00633D2A" w:rsidRPr="00E1092C">
              <w:rPr>
                <w:rFonts w:ascii="Times New Roman" w:hAnsi="Times New Roman" w:cs="Times New Roman"/>
                <w:iCs/>
                <w:sz w:val="24"/>
                <w:szCs w:val="24"/>
              </w:rPr>
              <w:t>051</w:t>
            </w:r>
            <w:r w:rsidR="000252FA">
              <w:rPr>
                <w:rFonts w:ascii="Times New Roman" w:hAnsi="Times New Roman" w:cs="Times New Roman"/>
                <w:iCs/>
                <w:sz w:val="24"/>
                <w:szCs w:val="24"/>
              </w:rPr>
              <w:t> </w:t>
            </w:r>
            <w:proofErr w:type="spellStart"/>
            <w:r w:rsidR="00310C65" w:rsidRPr="00E1092C">
              <w:rPr>
                <w:rFonts w:ascii="Times New Roman" w:hAnsi="Times New Roman" w:cs="Times New Roman"/>
                <w:i/>
                <w:iCs/>
                <w:sz w:val="24"/>
                <w:szCs w:val="24"/>
              </w:rPr>
              <w:t>euro</w:t>
            </w:r>
            <w:proofErr w:type="spellEnd"/>
            <w:r w:rsidR="009E02B4" w:rsidRPr="00E1092C">
              <w:rPr>
                <w:rFonts w:ascii="Times New Roman" w:hAnsi="Times New Roman" w:cs="Times New Roman"/>
                <w:iCs/>
                <w:sz w:val="24"/>
                <w:szCs w:val="24"/>
              </w:rPr>
              <w:t>;</w:t>
            </w:r>
            <w:r w:rsidR="00310C65" w:rsidRPr="00E1092C">
              <w:rPr>
                <w:rFonts w:ascii="Times New Roman" w:hAnsi="Times New Roman" w:cs="Times New Roman"/>
                <w:iCs/>
                <w:sz w:val="24"/>
                <w:szCs w:val="24"/>
              </w:rPr>
              <w:t xml:space="preserve"> </w:t>
            </w:r>
          </w:p>
          <w:p w14:paraId="68A7A86D" w14:textId="55422CC2" w:rsidR="00DF1409" w:rsidRPr="00E1092C" w:rsidRDefault="008B7D91" w:rsidP="0014306F">
            <w:pPr>
              <w:spacing w:after="0" w:line="240" w:lineRule="auto"/>
              <w:contextualSpacing/>
              <w:jc w:val="both"/>
              <w:rPr>
                <w:rFonts w:ascii="Times New Roman" w:hAnsi="Times New Roman" w:cs="Times New Roman"/>
                <w:iCs/>
                <w:sz w:val="24"/>
                <w:szCs w:val="24"/>
              </w:rPr>
            </w:pPr>
            <w:r w:rsidRPr="00E1092C">
              <w:rPr>
                <w:rFonts w:ascii="Times New Roman" w:hAnsi="Times New Roman" w:cs="Times New Roman"/>
                <w:iCs/>
                <w:sz w:val="24"/>
                <w:szCs w:val="24"/>
              </w:rPr>
              <w:t>10</w:t>
            </w:r>
            <w:r w:rsidR="00DF1409" w:rsidRPr="00E1092C">
              <w:rPr>
                <w:rFonts w:ascii="Times New Roman" w:hAnsi="Times New Roman" w:cs="Times New Roman"/>
                <w:iCs/>
                <w:sz w:val="24"/>
                <w:szCs w:val="24"/>
              </w:rPr>
              <w:t xml:space="preserve">) </w:t>
            </w:r>
            <w:r w:rsidR="00E42555" w:rsidRPr="0014306F">
              <w:rPr>
                <w:rFonts w:ascii="Times New Roman" w:hAnsi="Times New Roman" w:cs="Times New Roman"/>
                <w:i/>
                <w:iCs/>
                <w:sz w:val="24"/>
                <w:szCs w:val="24"/>
              </w:rPr>
              <w:t>S</w:t>
            </w:r>
            <w:r w:rsidR="00DF1409" w:rsidRPr="0014306F">
              <w:rPr>
                <w:rFonts w:ascii="Times New Roman" w:hAnsi="Times New Roman" w:cs="Times New Roman"/>
                <w:i/>
                <w:iCs/>
                <w:sz w:val="24"/>
                <w:szCs w:val="24"/>
              </w:rPr>
              <w:t>AP HANA</w:t>
            </w:r>
            <w:r w:rsidR="00DF1409" w:rsidRPr="00E1092C">
              <w:rPr>
                <w:rFonts w:ascii="Times New Roman" w:hAnsi="Times New Roman" w:cs="Times New Roman"/>
                <w:iCs/>
                <w:sz w:val="24"/>
                <w:szCs w:val="24"/>
              </w:rPr>
              <w:t xml:space="preserve"> vienas licences uzturēšanas izmaksas </w:t>
            </w:r>
            <w:r w:rsidR="000252FA">
              <w:rPr>
                <w:rFonts w:ascii="Times New Roman" w:hAnsi="Times New Roman" w:cs="Times New Roman"/>
                <w:iCs/>
                <w:sz w:val="24"/>
                <w:szCs w:val="24"/>
              </w:rPr>
              <w:t xml:space="preserve">– </w:t>
            </w:r>
            <w:r w:rsidR="00DF1409" w:rsidRPr="00E1092C">
              <w:rPr>
                <w:rFonts w:ascii="Times New Roman" w:hAnsi="Times New Roman" w:cs="Times New Roman"/>
                <w:iCs/>
                <w:sz w:val="24"/>
                <w:szCs w:val="24"/>
              </w:rPr>
              <w:t>32 796</w:t>
            </w:r>
            <w:r w:rsidR="000252FA">
              <w:rPr>
                <w:rFonts w:ascii="Times New Roman" w:hAnsi="Times New Roman" w:cs="Times New Roman"/>
                <w:iCs/>
                <w:sz w:val="24"/>
                <w:szCs w:val="24"/>
              </w:rPr>
              <w:t> </w:t>
            </w:r>
            <w:proofErr w:type="spellStart"/>
            <w:r w:rsidR="00DF1409" w:rsidRPr="00E1092C">
              <w:rPr>
                <w:rFonts w:ascii="Times New Roman" w:hAnsi="Times New Roman" w:cs="Times New Roman"/>
                <w:i/>
                <w:iCs/>
                <w:sz w:val="24"/>
                <w:szCs w:val="24"/>
              </w:rPr>
              <w:t>euro</w:t>
            </w:r>
            <w:proofErr w:type="spellEnd"/>
            <w:r w:rsidR="008E2F09" w:rsidRPr="00E1092C">
              <w:rPr>
                <w:rFonts w:ascii="Times New Roman" w:hAnsi="Times New Roman" w:cs="Times New Roman"/>
                <w:iCs/>
                <w:sz w:val="24"/>
                <w:szCs w:val="24"/>
              </w:rPr>
              <w:t>;</w:t>
            </w:r>
          </w:p>
          <w:p w14:paraId="02F544A1" w14:textId="66BBF26E" w:rsidR="008E2F09" w:rsidRPr="00E1092C" w:rsidRDefault="008B7D91" w:rsidP="0014306F">
            <w:pPr>
              <w:spacing w:after="0" w:line="240" w:lineRule="auto"/>
              <w:contextualSpacing/>
              <w:jc w:val="both"/>
              <w:rPr>
                <w:rFonts w:ascii="Times New Roman" w:hAnsi="Times New Roman" w:cs="Times New Roman"/>
                <w:iCs/>
                <w:sz w:val="24"/>
                <w:szCs w:val="24"/>
              </w:rPr>
            </w:pPr>
            <w:r w:rsidRPr="00E1092C">
              <w:rPr>
                <w:rFonts w:ascii="Times New Roman" w:hAnsi="Times New Roman" w:cs="Times New Roman"/>
                <w:iCs/>
                <w:sz w:val="24"/>
                <w:szCs w:val="24"/>
              </w:rPr>
              <w:t>11</w:t>
            </w:r>
            <w:r w:rsidR="008E2F09" w:rsidRPr="00E1092C">
              <w:rPr>
                <w:rFonts w:ascii="Times New Roman" w:hAnsi="Times New Roman" w:cs="Times New Roman"/>
                <w:iCs/>
                <w:sz w:val="24"/>
                <w:szCs w:val="24"/>
              </w:rPr>
              <w:t>) serveru uzturēšanas (</w:t>
            </w:r>
            <w:proofErr w:type="spellStart"/>
            <w:r w:rsidR="008E2F09" w:rsidRPr="0014306F">
              <w:rPr>
                <w:rFonts w:ascii="Times New Roman" w:hAnsi="Times New Roman" w:cs="Times New Roman"/>
                <w:i/>
                <w:iCs/>
                <w:sz w:val="24"/>
                <w:szCs w:val="24"/>
              </w:rPr>
              <w:t>Supercluster</w:t>
            </w:r>
            <w:proofErr w:type="spellEnd"/>
            <w:r w:rsidR="008E2F09" w:rsidRPr="0014306F">
              <w:rPr>
                <w:rFonts w:ascii="Times New Roman" w:hAnsi="Times New Roman" w:cs="Times New Roman"/>
                <w:i/>
                <w:iCs/>
                <w:sz w:val="24"/>
                <w:szCs w:val="24"/>
              </w:rPr>
              <w:t xml:space="preserve">, </w:t>
            </w:r>
            <w:proofErr w:type="spellStart"/>
            <w:r w:rsidR="008E2F09" w:rsidRPr="0014306F">
              <w:rPr>
                <w:rFonts w:ascii="Times New Roman" w:hAnsi="Times New Roman" w:cs="Times New Roman"/>
                <w:i/>
                <w:iCs/>
                <w:sz w:val="24"/>
                <w:szCs w:val="24"/>
              </w:rPr>
              <w:t>Exadata</w:t>
            </w:r>
            <w:proofErr w:type="spellEnd"/>
            <w:r w:rsidR="008E2F09" w:rsidRPr="0014306F">
              <w:rPr>
                <w:rFonts w:ascii="Times New Roman" w:hAnsi="Times New Roman" w:cs="Times New Roman"/>
                <w:i/>
                <w:iCs/>
                <w:sz w:val="24"/>
                <w:szCs w:val="24"/>
              </w:rPr>
              <w:t xml:space="preserve"> </w:t>
            </w:r>
            <w:proofErr w:type="spellStart"/>
            <w:r w:rsidR="008E2F09" w:rsidRPr="0014306F">
              <w:rPr>
                <w:rFonts w:ascii="Times New Roman" w:hAnsi="Times New Roman" w:cs="Times New Roman"/>
                <w:i/>
                <w:iCs/>
                <w:sz w:val="24"/>
                <w:szCs w:val="24"/>
              </w:rPr>
              <w:t>Storage</w:t>
            </w:r>
            <w:proofErr w:type="spellEnd"/>
            <w:r w:rsidR="008E2F09" w:rsidRPr="0014306F">
              <w:rPr>
                <w:rFonts w:ascii="Times New Roman" w:hAnsi="Times New Roman" w:cs="Times New Roman"/>
                <w:i/>
                <w:iCs/>
                <w:sz w:val="24"/>
                <w:szCs w:val="24"/>
              </w:rPr>
              <w:t xml:space="preserve"> Server, </w:t>
            </w:r>
            <w:proofErr w:type="spellStart"/>
            <w:r w:rsidR="008E2F09" w:rsidRPr="0014306F">
              <w:rPr>
                <w:rFonts w:ascii="Times New Roman" w:hAnsi="Times New Roman" w:cs="Times New Roman"/>
                <w:i/>
                <w:iCs/>
                <w:sz w:val="24"/>
                <w:szCs w:val="24"/>
              </w:rPr>
              <w:t>Exalogic</w:t>
            </w:r>
            <w:proofErr w:type="spellEnd"/>
            <w:r w:rsidR="008E2F09" w:rsidRPr="0014306F">
              <w:rPr>
                <w:rFonts w:ascii="Times New Roman" w:hAnsi="Times New Roman" w:cs="Times New Roman"/>
                <w:i/>
                <w:iCs/>
                <w:sz w:val="24"/>
                <w:szCs w:val="24"/>
              </w:rPr>
              <w:t xml:space="preserve"> </w:t>
            </w:r>
            <w:proofErr w:type="spellStart"/>
            <w:r w:rsidR="008E2F09" w:rsidRPr="0014306F">
              <w:rPr>
                <w:rFonts w:ascii="Times New Roman" w:hAnsi="Times New Roman" w:cs="Times New Roman"/>
                <w:i/>
                <w:iCs/>
                <w:sz w:val="24"/>
                <w:szCs w:val="24"/>
              </w:rPr>
              <w:t>Elastic</w:t>
            </w:r>
            <w:proofErr w:type="spellEnd"/>
            <w:r w:rsidR="008E2F09" w:rsidRPr="0014306F">
              <w:rPr>
                <w:rFonts w:ascii="Times New Roman" w:hAnsi="Times New Roman" w:cs="Times New Roman"/>
                <w:i/>
                <w:iCs/>
                <w:sz w:val="24"/>
                <w:szCs w:val="24"/>
              </w:rPr>
              <w:t xml:space="preserve"> </w:t>
            </w:r>
            <w:proofErr w:type="spellStart"/>
            <w:r w:rsidR="008E2F09" w:rsidRPr="0014306F">
              <w:rPr>
                <w:rFonts w:ascii="Times New Roman" w:hAnsi="Times New Roman" w:cs="Times New Roman"/>
                <w:i/>
                <w:iCs/>
                <w:sz w:val="24"/>
                <w:szCs w:val="24"/>
              </w:rPr>
              <w:t>Cloud</w:t>
            </w:r>
            <w:proofErr w:type="spellEnd"/>
            <w:r w:rsidR="008E2F09" w:rsidRPr="0014306F">
              <w:rPr>
                <w:rFonts w:ascii="Times New Roman" w:hAnsi="Times New Roman" w:cs="Times New Roman"/>
                <w:i/>
                <w:iCs/>
                <w:sz w:val="24"/>
                <w:szCs w:val="24"/>
              </w:rPr>
              <w:t xml:space="preserve">, Oracle </w:t>
            </w:r>
            <w:proofErr w:type="spellStart"/>
            <w:r w:rsidR="008E2F09" w:rsidRPr="0014306F">
              <w:rPr>
                <w:rFonts w:ascii="Times New Roman" w:hAnsi="Times New Roman" w:cs="Times New Roman"/>
                <w:i/>
                <w:iCs/>
                <w:sz w:val="24"/>
                <w:szCs w:val="24"/>
              </w:rPr>
              <w:t>Database</w:t>
            </w:r>
            <w:proofErr w:type="spellEnd"/>
            <w:r w:rsidR="008E2F09" w:rsidRPr="0014306F">
              <w:rPr>
                <w:rFonts w:ascii="Times New Roman" w:hAnsi="Times New Roman" w:cs="Times New Roman"/>
                <w:i/>
                <w:iCs/>
                <w:sz w:val="24"/>
                <w:szCs w:val="24"/>
              </w:rPr>
              <w:t xml:space="preserve"> Enterprise </w:t>
            </w:r>
            <w:proofErr w:type="spellStart"/>
            <w:r w:rsidR="008E2F09" w:rsidRPr="0014306F">
              <w:rPr>
                <w:rFonts w:ascii="Times New Roman" w:hAnsi="Times New Roman" w:cs="Times New Roman"/>
                <w:i/>
                <w:iCs/>
                <w:sz w:val="24"/>
                <w:szCs w:val="24"/>
              </w:rPr>
              <w:t>Edition</w:t>
            </w:r>
            <w:proofErr w:type="spellEnd"/>
            <w:r w:rsidR="008E2F09" w:rsidRPr="0014306F">
              <w:rPr>
                <w:rFonts w:ascii="Times New Roman" w:hAnsi="Times New Roman" w:cs="Times New Roman"/>
                <w:i/>
                <w:iCs/>
                <w:sz w:val="24"/>
                <w:szCs w:val="24"/>
              </w:rPr>
              <w:t xml:space="preserve">, Oracle </w:t>
            </w:r>
            <w:proofErr w:type="spellStart"/>
            <w:r w:rsidR="008E2F09" w:rsidRPr="0014306F">
              <w:rPr>
                <w:rFonts w:ascii="Times New Roman" w:hAnsi="Times New Roman" w:cs="Times New Roman"/>
                <w:i/>
                <w:iCs/>
                <w:sz w:val="24"/>
                <w:szCs w:val="24"/>
              </w:rPr>
              <w:t>Diagn</w:t>
            </w:r>
            <w:r w:rsidR="004143D3" w:rsidRPr="0014306F">
              <w:rPr>
                <w:rFonts w:ascii="Times New Roman" w:hAnsi="Times New Roman" w:cs="Times New Roman"/>
                <w:i/>
                <w:iCs/>
                <w:sz w:val="24"/>
                <w:szCs w:val="24"/>
              </w:rPr>
              <w:t>o</w:t>
            </w:r>
            <w:r w:rsidR="008E2F09" w:rsidRPr="0014306F">
              <w:rPr>
                <w:rFonts w:ascii="Times New Roman" w:hAnsi="Times New Roman" w:cs="Times New Roman"/>
                <w:i/>
                <w:iCs/>
                <w:sz w:val="24"/>
                <w:szCs w:val="24"/>
              </w:rPr>
              <w:t>stick</w:t>
            </w:r>
            <w:proofErr w:type="spellEnd"/>
            <w:r w:rsidR="008E2F09" w:rsidRPr="0014306F">
              <w:rPr>
                <w:rFonts w:ascii="Times New Roman" w:hAnsi="Times New Roman" w:cs="Times New Roman"/>
                <w:i/>
                <w:iCs/>
                <w:sz w:val="24"/>
                <w:szCs w:val="24"/>
              </w:rPr>
              <w:t xml:space="preserve"> </w:t>
            </w:r>
            <w:proofErr w:type="spellStart"/>
            <w:r w:rsidR="008E2F09" w:rsidRPr="0014306F">
              <w:rPr>
                <w:rFonts w:ascii="Times New Roman" w:hAnsi="Times New Roman" w:cs="Times New Roman"/>
                <w:i/>
                <w:iCs/>
                <w:sz w:val="24"/>
                <w:szCs w:val="24"/>
              </w:rPr>
              <w:t>Pack</w:t>
            </w:r>
            <w:proofErr w:type="spellEnd"/>
            <w:r w:rsidR="008E2F09" w:rsidRPr="0014306F">
              <w:rPr>
                <w:rFonts w:ascii="Times New Roman" w:hAnsi="Times New Roman" w:cs="Times New Roman"/>
                <w:i/>
                <w:iCs/>
                <w:sz w:val="24"/>
                <w:szCs w:val="24"/>
              </w:rPr>
              <w:t xml:space="preserve">, Oracle </w:t>
            </w:r>
            <w:proofErr w:type="spellStart"/>
            <w:r w:rsidR="008E2F09" w:rsidRPr="0014306F">
              <w:rPr>
                <w:rFonts w:ascii="Times New Roman" w:hAnsi="Times New Roman" w:cs="Times New Roman"/>
                <w:i/>
                <w:iCs/>
                <w:sz w:val="24"/>
                <w:szCs w:val="24"/>
              </w:rPr>
              <w:t>Tuning</w:t>
            </w:r>
            <w:proofErr w:type="spellEnd"/>
            <w:r w:rsidR="008E2F09" w:rsidRPr="0014306F">
              <w:rPr>
                <w:rFonts w:ascii="Times New Roman" w:hAnsi="Times New Roman" w:cs="Times New Roman"/>
                <w:i/>
                <w:iCs/>
                <w:sz w:val="24"/>
                <w:szCs w:val="24"/>
              </w:rPr>
              <w:t xml:space="preserve"> </w:t>
            </w:r>
            <w:proofErr w:type="spellStart"/>
            <w:r w:rsidR="008E2F09" w:rsidRPr="0014306F">
              <w:rPr>
                <w:rFonts w:ascii="Times New Roman" w:hAnsi="Times New Roman" w:cs="Times New Roman"/>
                <w:i/>
                <w:iCs/>
                <w:sz w:val="24"/>
                <w:szCs w:val="24"/>
              </w:rPr>
              <w:t>Pack</w:t>
            </w:r>
            <w:proofErr w:type="spellEnd"/>
            <w:r w:rsidR="008E2F09" w:rsidRPr="0014306F">
              <w:rPr>
                <w:rFonts w:ascii="Times New Roman" w:hAnsi="Times New Roman" w:cs="Times New Roman"/>
                <w:i/>
                <w:iCs/>
                <w:sz w:val="24"/>
                <w:szCs w:val="24"/>
              </w:rPr>
              <w:t xml:space="preserve">, Oracle </w:t>
            </w:r>
            <w:proofErr w:type="spellStart"/>
            <w:r w:rsidR="008E2F09" w:rsidRPr="0014306F">
              <w:rPr>
                <w:rFonts w:ascii="Times New Roman" w:hAnsi="Times New Roman" w:cs="Times New Roman"/>
                <w:i/>
                <w:iCs/>
                <w:sz w:val="24"/>
                <w:szCs w:val="24"/>
              </w:rPr>
              <w:t>Real</w:t>
            </w:r>
            <w:proofErr w:type="spellEnd"/>
            <w:r w:rsidR="008E2F09" w:rsidRPr="0014306F">
              <w:rPr>
                <w:rFonts w:ascii="Times New Roman" w:hAnsi="Times New Roman" w:cs="Times New Roman"/>
                <w:i/>
                <w:iCs/>
                <w:sz w:val="24"/>
                <w:szCs w:val="24"/>
              </w:rPr>
              <w:t xml:space="preserve"> </w:t>
            </w:r>
            <w:proofErr w:type="spellStart"/>
            <w:r w:rsidR="008E2F09" w:rsidRPr="0014306F">
              <w:rPr>
                <w:rFonts w:ascii="Times New Roman" w:hAnsi="Times New Roman" w:cs="Times New Roman"/>
                <w:i/>
                <w:iCs/>
                <w:sz w:val="24"/>
                <w:szCs w:val="24"/>
              </w:rPr>
              <w:t>Application</w:t>
            </w:r>
            <w:proofErr w:type="spellEnd"/>
            <w:r w:rsidR="008E2F09" w:rsidRPr="0014306F">
              <w:rPr>
                <w:rFonts w:ascii="Times New Roman" w:hAnsi="Times New Roman" w:cs="Times New Roman"/>
                <w:i/>
                <w:iCs/>
                <w:sz w:val="24"/>
                <w:szCs w:val="24"/>
              </w:rPr>
              <w:t xml:space="preserve"> </w:t>
            </w:r>
            <w:proofErr w:type="spellStart"/>
            <w:r w:rsidR="008E2F09" w:rsidRPr="0014306F">
              <w:rPr>
                <w:rFonts w:ascii="Times New Roman" w:hAnsi="Times New Roman" w:cs="Times New Roman"/>
                <w:i/>
                <w:iCs/>
                <w:sz w:val="24"/>
                <w:szCs w:val="24"/>
              </w:rPr>
              <w:t>Clusters</w:t>
            </w:r>
            <w:proofErr w:type="spellEnd"/>
            <w:r w:rsidR="008E2F09" w:rsidRPr="0014306F">
              <w:rPr>
                <w:rFonts w:ascii="Times New Roman" w:hAnsi="Times New Roman" w:cs="Times New Roman"/>
                <w:i/>
                <w:iCs/>
                <w:sz w:val="24"/>
                <w:szCs w:val="24"/>
              </w:rPr>
              <w:t xml:space="preserve">, </w:t>
            </w:r>
            <w:proofErr w:type="spellStart"/>
            <w:r w:rsidR="008E2F09" w:rsidRPr="0014306F">
              <w:rPr>
                <w:rFonts w:ascii="Times New Roman" w:hAnsi="Times New Roman" w:cs="Times New Roman"/>
                <w:i/>
                <w:iCs/>
                <w:sz w:val="24"/>
                <w:szCs w:val="24"/>
              </w:rPr>
              <w:t>Configuration</w:t>
            </w:r>
            <w:proofErr w:type="spellEnd"/>
            <w:r w:rsidR="008E2F09" w:rsidRPr="0014306F">
              <w:rPr>
                <w:rFonts w:ascii="Times New Roman" w:hAnsi="Times New Roman" w:cs="Times New Roman"/>
                <w:i/>
                <w:iCs/>
                <w:sz w:val="24"/>
                <w:szCs w:val="24"/>
              </w:rPr>
              <w:t xml:space="preserve"> </w:t>
            </w:r>
            <w:proofErr w:type="spellStart"/>
            <w:r w:rsidR="008E2F09" w:rsidRPr="0014306F">
              <w:rPr>
                <w:rFonts w:ascii="Times New Roman" w:hAnsi="Times New Roman" w:cs="Times New Roman"/>
                <w:i/>
                <w:iCs/>
                <w:sz w:val="24"/>
                <w:szCs w:val="24"/>
              </w:rPr>
              <w:t>Management</w:t>
            </w:r>
            <w:proofErr w:type="spellEnd"/>
            <w:r w:rsidR="008E2F09" w:rsidRPr="0014306F">
              <w:rPr>
                <w:rFonts w:ascii="Times New Roman" w:hAnsi="Times New Roman" w:cs="Times New Roman"/>
                <w:i/>
                <w:iCs/>
                <w:sz w:val="24"/>
                <w:szCs w:val="24"/>
              </w:rPr>
              <w:t xml:space="preserve"> </w:t>
            </w:r>
            <w:proofErr w:type="spellStart"/>
            <w:r w:rsidR="008E2F09" w:rsidRPr="0014306F">
              <w:rPr>
                <w:rFonts w:ascii="Times New Roman" w:hAnsi="Times New Roman" w:cs="Times New Roman"/>
                <w:i/>
                <w:iCs/>
                <w:sz w:val="24"/>
                <w:szCs w:val="24"/>
              </w:rPr>
              <w:t>pack</w:t>
            </w:r>
            <w:proofErr w:type="spellEnd"/>
            <w:r w:rsidR="008E2F09" w:rsidRPr="00E1092C">
              <w:rPr>
                <w:rFonts w:ascii="Times New Roman" w:hAnsi="Times New Roman" w:cs="Times New Roman"/>
                <w:iCs/>
                <w:sz w:val="24"/>
                <w:szCs w:val="24"/>
              </w:rPr>
              <w:t xml:space="preserve">) izmaksas </w:t>
            </w:r>
            <w:r w:rsidR="000252FA">
              <w:rPr>
                <w:rFonts w:ascii="Times New Roman" w:hAnsi="Times New Roman" w:cs="Times New Roman"/>
                <w:iCs/>
                <w:sz w:val="24"/>
                <w:szCs w:val="24"/>
              </w:rPr>
              <w:t xml:space="preserve">– </w:t>
            </w:r>
            <w:r w:rsidR="008E2F09" w:rsidRPr="00E1092C">
              <w:rPr>
                <w:rFonts w:ascii="Times New Roman" w:hAnsi="Times New Roman" w:cs="Times New Roman"/>
                <w:iCs/>
                <w:sz w:val="24"/>
                <w:szCs w:val="24"/>
              </w:rPr>
              <w:t>22 146</w:t>
            </w:r>
            <w:r w:rsidR="000252FA">
              <w:rPr>
                <w:rFonts w:ascii="Times New Roman" w:hAnsi="Times New Roman" w:cs="Times New Roman"/>
                <w:iCs/>
                <w:sz w:val="24"/>
                <w:szCs w:val="24"/>
              </w:rPr>
              <w:t> </w:t>
            </w:r>
            <w:proofErr w:type="spellStart"/>
            <w:r w:rsidR="008E2F09" w:rsidRPr="00E1092C">
              <w:rPr>
                <w:rFonts w:ascii="Times New Roman" w:hAnsi="Times New Roman" w:cs="Times New Roman"/>
                <w:i/>
                <w:iCs/>
                <w:sz w:val="24"/>
                <w:szCs w:val="24"/>
              </w:rPr>
              <w:t>euro</w:t>
            </w:r>
            <w:proofErr w:type="spellEnd"/>
            <w:r w:rsidR="008E2F09" w:rsidRPr="00E1092C">
              <w:rPr>
                <w:rFonts w:ascii="Times New Roman" w:hAnsi="Times New Roman" w:cs="Times New Roman"/>
                <w:iCs/>
                <w:sz w:val="24"/>
                <w:szCs w:val="24"/>
              </w:rPr>
              <w:t>;</w:t>
            </w:r>
          </w:p>
          <w:p w14:paraId="16567E9A" w14:textId="4A7298B6" w:rsidR="00310C65" w:rsidRPr="00E1092C" w:rsidRDefault="008B7D91" w:rsidP="0014306F">
            <w:pPr>
              <w:tabs>
                <w:tab w:val="left" w:pos="415"/>
              </w:tabs>
              <w:spacing w:after="0" w:line="240" w:lineRule="auto"/>
              <w:contextualSpacing/>
              <w:jc w:val="both"/>
              <w:rPr>
                <w:rFonts w:ascii="Times New Roman" w:hAnsi="Times New Roman" w:cs="Times New Roman"/>
                <w:iCs/>
                <w:sz w:val="24"/>
                <w:szCs w:val="24"/>
              </w:rPr>
            </w:pPr>
            <w:r w:rsidRPr="00E1092C">
              <w:rPr>
                <w:rFonts w:ascii="Times New Roman" w:hAnsi="Times New Roman" w:cs="Times New Roman"/>
                <w:iCs/>
                <w:sz w:val="24"/>
                <w:szCs w:val="24"/>
              </w:rPr>
              <w:t>12</w:t>
            </w:r>
            <w:r w:rsidR="00310C65" w:rsidRPr="00E1092C">
              <w:rPr>
                <w:rFonts w:ascii="Times New Roman" w:hAnsi="Times New Roman" w:cs="Times New Roman"/>
                <w:iCs/>
                <w:sz w:val="24"/>
                <w:szCs w:val="24"/>
              </w:rPr>
              <w:t>)</w:t>
            </w:r>
            <w:r w:rsidR="00310C65" w:rsidRPr="00E1092C">
              <w:rPr>
                <w:rFonts w:ascii="Times New Roman" w:hAnsi="Times New Roman" w:cs="Times New Roman"/>
                <w:iCs/>
                <w:sz w:val="24"/>
                <w:szCs w:val="24"/>
              </w:rPr>
              <w:tab/>
              <w:t xml:space="preserve">elektroenerģijas izmaksas serveru, serveru dzesēšanas, disku masīva un disku masīva dzesēšanas nodrošināšanai – </w:t>
            </w:r>
            <w:r w:rsidR="00976BAF" w:rsidRPr="00E1092C">
              <w:rPr>
                <w:rFonts w:ascii="Times New Roman" w:hAnsi="Times New Roman" w:cs="Times New Roman"/>
                <w:iCs/>
                <w:sz w:val="24"/>
                <w:szCs w:val="24"/>
              </w:rPr>
              <w:t>1</w:t>
            </w:r>
            <w:r w:rsidR="000252FA">
              <w:rPr>
                <w:rFonts w:ascii="Times New Roman" w:hAnsi="Times New Roman" w:cs="Times New Roman"/>
                <w:iCs/>
                <w:sz w:val="24"/>
                <w:szCs w:val="24"/>
              </w:rPr>
              <w:t> </w:t>
            </w:r>
            <w:r w:rsidR="00976BAF" w:rsidRPr="00E1092C">
              <w:rPr>
                <w:rFonts w:ascii="Times New Roman" w:hAnsi="Times New Roman" w:cs="Times New Roman"/>
                <w:iCs/>
                <w:sz w:val="24"/>
                <w:szCs w:val="24"/>
              </w:rPr>
              <w:t>905,82</w:t>
            </w:r>
            <w:r w:rsidR="000252FA">
              <w:rPr>
                <w:rFonts w:ascii="Times New Roman" w:hAnsi="Times New Roman" w:cs="Times New Roman"/>
                <w:iCs/>
                <w:sz w:val="24"/>
                <w:szCs w:val="24"/>
              </w:rPr>
              <w:t> </w:t>
            </w:r>
            <w:proofErr w:type="spellStart"/>
            <w:r w:rsidR="00310C65" w:rsidRPr="00E1092C">
              <w:rPr>
                <w:rFonts w:ascii="Times New Roman" w:hAnsi="Times New Roman" w:cs="Times New Roman"/>
                <w:i/>
                <w:iCs/>
                <w:sz w:val="24"/>
                <w:szCs w:val="24"/>
              </w:rPr>
              <w:t>euro</w:t>
            </w:r>
            <w:proofErr w:type="spellEnd"/>
            <w:r w:rsidR="00310C65" w:rsidRPr="00E1092C">
              <w:rPr>
                <w:rFonts w:ascii="Times New Roman" w:hAnsi="Times New Roman" w:cs="Times New Roman"/>
                <w:iCs/>
                <w:sz w:val="24"/>
                <w:szCs w:val="24"/>
              </w:rPr>
              <w:t>.</w:t>
            </w:r>
          </w:p>
          <w:p w14:paraId="57E72057" w14:textId="7ACF6BAB" w:rsidR="008B71B7" w:rsidRPr="00E1092C" w:rsidRDefault="00310C65" w:rsidP="0014306F">
            <w:pPr>
              <w:spacing w:after="0" w:line="240" w:lineRule="auto"/>
              <w:contextualSpacing/>
              <w:jc w:val="both"/>
              <w:rPr>
                <w:rFonts w:ascii="Times New Roman" w:hAnsi="Times New Roman" w:cs="Times New Roman"/>
                <w:iCs/>
                <w:sz w:val="24"/>
                <w:szCs w:val="24"/>
              </w:rPr>
            </w:pPr>
            <w:r w:rsidRPr="00E1092C">
              <w:rPr>
                <w:rFonts w:ascii="Times New Roman" w:hAnsi="Times New Roman" w:cs="Times New Roman"/>
                <w:iCs/>
                <w:sz w:val="24"/>
                <w:szCs w:val="24"/>
              </w:rPr>
              <w:t>Ņemot vērā pakalpojuma sniegšanas procesa specifiku, t.i., informācijas sistēmā iestrādāto automātisko procesu ietvaros</w:t>
            </w:r>
            <w:r w:rsidR="000252FA">
              <w:rPr>
                <w:rFonts w:ascii="Times New Roman" w:hAnsi="Times New Roman" w:cs="Times New Roman"/>
                <w:iCs/>
                <w:sz w:val="24"/>
                <w:szCs w:val="24"/>
              </w:rPr>
              <w:t>,</w:t>
            </w:r>
            <w:r w:rsidR="006055F5" w:rsidRPr="00E1092C">
              <w:rPr>
                <w:rFonts w:ascii="Times New Roman" w:hAnsi="Times New Roman" w:cs="Times New Roman"/>
                <w:iCs/>
                <w:sz w:val="24"/>
                <w:szCs w:val="24"/>
              </w:rPr>
              <w:t xml:space="preserve"> un atbilstoši</w:t>
            </w:r>
            <w:r w:rsidRPr="00E1092C">
              <w:rPr>
                <w:rFonts w:ascii="Times New Roman" w:hAnsi="Times New Roman" w:cs="Times New Roman"/>
                <w:iCs/>
                <w:sz w:val="24"/>
                <w:szCs w:val="24"/>
              </w:rPr>
              <w:t xml:space="preserve"> </w:t>
            </w:r>
            <w:r w:rsidR="006055F5" w:rsidRPr="00E1092C">
              <w:rPr>
                <w:rFonts w:ascii="Times New Roman" w:hAnsi="Times New Roman" w:cs="Times New Roman"/>
                <w:iCs/>
                <w:sz w:val="24"/>
                <w:szCs w:val="24"/>
              </w:rPr>
              <w:t>Ministru kabineta 2011.</w:t>
            </w:r>
            <w:r w:rsidR="000252FA">
              <w:rPr>
                <w:rFonts w:ascii="Times New Roman" w:hAnsi="Times New Roman" w:cs="Times New Roman"/>
                <w:iCs/>
                <w:sz w:val="24"/>
                <w:szCs w:val="24"/>
              </w:rPr>
              <w:t> </w:t>
            </w:r>
            <w:r w:rsidR="006055F5" w:rsidRPr="00E1092C">
              <w:rPr>
                <w:rFonts w:ascii="Times New Roman" w:hAnsi="Times New Roman" w:cs="Times New Roman"/>
                <w:iCs/>
                <w:sz w:val="24"/>
                <w:szCs w:val="24"/>
              </w:rPr>
              <w:t>gada 3.</w:t>
            </w:r>
            <w:r w:rsidR="000252FA">
              <w:rPr>
                <w:rFonts w:ascii="Times New Roman" w:hAnsi="Times New Roman" w:cs="Times New Roman"/>
                <w:iCs/>
                <w:sz w:val="24"/>
                <w:szCs w:val="24"/>
              </w:rPr>
              <w:t> </w:t>
            </w:r>
            <w:r w:rsidR="006055F5" w:rsidRPr="00E1092C">
              <w:rPr>
                <w:rFonts w:ascii="Times New Roman" w:hAnsi="Times New Roman" w:cs="Times New Roman"/>
                <w:iCs/>
                <w:sz w:val="24"/>
                <w:szCs w:val="24"/>
              </w:rPr>
              <w:t>maija noteikumu Nr.</w:t>
            </w:r>
            <w:r w:rsidR="000252FA">
              <w:rPr>
                <w:rFonts w:ascii="Times New Roman" w:hAnsi="Times New Roman" w:cs="Times New Roman"/>
                <w:iCs/>
                <w:sz w:val="24"/>
                <w:szCs w:val="24"/>
              </w:rPr>
              <w:t> </w:t>
            </w:r>
            <w:r w:rsidR="006055F5" w:rsidRPr="00E1092C">
              <w:rPr>
                <w:rFonts w:ascii="Times New Roman" w:hAnsi="Times New Roman" w:cs="Times New Roman"/>
                <w:iCs/>
                <w:sz w:val="24"/>
                <w:szCs w:val="24"/>
              </w:rPr>
              <w:t xml:space="preserve">333 “Kārtība, kādā plānojami un uzskaitāmi ieņēmumi no maksas pakalpojumiem un ar šo pakalpojumu sniegšanu saistītie izdevumi, kā arī maksas pakalpojumu izcenojumu noteikšanas metodika un izcenojumu apstiprināšanas kārtība” </w:t>
            </w:r>
            <w:r w:rsidRPr="00E1092C">
              <w:rPr>
                <w:rFonts w:ascii="Times New Roman" w:hAnsi="Times New Roman" w:cs="Times New Roman"/>
                <w:iCs/>
                <w:sz w:val="24"/>
                <w:szCs w:val="24"/>
              </w:rPr>
              <w:t>11.</w:t>
            </w:r>
            <w:r w:rsidR="000252FA">
              <w:rPr>
                <w:rFonts w:ascii="Times New Roman" w:hAnsi="Times New Roman" w:cs="Times New Roman"/>
                <w:iCs/>
                <w:sz w:val="24"/>
                <w:szCs w:val="24"/>
              </w:rPr>
              <w:t> </w:t>
            </w:r>
            <w:r w:rsidRPr="00E1092C">
              <w:rPr>
                <w:rFonts w:ascii="Times New Roman" w:hAnsi="Times New Roman" w:cs="Times New Roman"/>
                <w:iCs/>
                <w:sz w:val="24"/>
                <w:szCs w:val="24"/>
              </w:rPr>
              <w:t>punktā noteiktajam</w:t>
            </w:r>
            <w:r w:rsidR="006055F5" w:rsidRPr="00E1092C">
              <w:rPr>
                <w:rFonts w:ascii="Times New Roman" w:hAnsi="Times New Roman" w:cs="Times New Roman"/>
                <w:iCs/>
                <w:sz w:val="24"/>
                <w:szCs w:val="24"/>
              </w:rPr>
              <w:t>,</w:t>
            </w:r>
            <w:r w:rsidRPr="00E1092C">
              <w:rPr>
                <w:rFonts w:ascii="Times New Roman" w:hAnsi="Times New Roman" w:cs="Times New Roman"/>
                <w:iCs/>
                <w:sz w:val="24"/>
                <w:szCs w:val="24"/>
              </w:rPr>
              <w:t xml:space="preserve"> </w:t>
            </w:r>
            <w:r w:rsidR="00DB4F26" w:rsidRPr="00E1092C">
              <w:rPr>
                <w:rFonts w:ascii="Times New Roman" w:hAnsi="Times New Roman" w:cs="Times New Roman"/>
                <w:iCs/>
                <w:sz w:val="24"/>
                <w:szCs w:val="24"/>
              </w:rPr>
              <w:t>VID</w:t>
            </w:r>
            <w:r w:rsidRPr="00E1092C">
              <w:rPr>
                <w:rFonts w:ascii="Times New Roman" w:hAnsi="Times New Roman" w:cs="Times New Roman"/>
                <w:iCs/>
                <w:sz w:val="24"/>
                <w:szCs w:val="24"/>
              </w:rPr>
              <w:t xml:space="preserve"> paredz netiešās izmaksas neattiecināt uz šo maksas pakalpojumu. Risinājuma izstrādē un uzturēšanā būtiskākās ir tiešās izmaksas, pakalpojuma kalkulāciju pamatā veido informācijas tehnoloģijas izmaksas, kas jau ir lielas, </w:t>
            </w:r>
            <w:r w:rsidR="00544D11">
              <w:rPr>
                <w:rFonts w:ascii="Times New Roman" w:hAnsi="Times New Roman" w:cs="Times New Roman"/>
                <w:iCs/>
                <w:sz w:val="24"/>
                <w:szCs w:val="24"/>
              </w:rPr>
              <w:t>turklāt</w:t>
            </w:r>
            <w:r w:rsidRPr="00E1092C">
              <w:rPr>
                <w:rFonts w:ascii="Times New Roman" w:hAnsi="Times New Roman" w:cs="Times New Roman"/>
                <w:iCs/>
                <w:sz w:val="24"/>
                <w:szCs w:val="24"/>
              </w:rPr>
              <w:t xml:space="preserve"> biedrība </w:t>
            </w:r>
            <w:r w:rsidR="000252FA">
              <w:rPr>
                <w:rFonts w:ascii="Times New Roman" w:hAnsi="Times New Roman" w:cs="Times New Roman"/>
                <w:iCs/>
                <w:sz w:val="24"/>
                <w:szCs w:val="24"/>
              </w:rPr>
              <w:t>“</w:t>
            </w:r>
            <w:r w:rsidRPr="00E1092C">
              <w:rPr>
                <w:rFonts w:ascii="Times New Roman" w:hAnsi="Times New Roman" w:cs="Times New Roman"/>
                <w:iCs/>
                <w:sz w:val="24"/>
                <w:szCs w:val="24"/>
              </w:rPr>
              <w:t xml:space="preserve">Kredītinformācijas apmaiņas atbalsta asociācija” un biedrība “Latvijas </w:t>
            </w:r>
            <w:r w:rsidR="00542651" w:rsidRPr="00E1092C">
              <w:rPr>
                <w:rFonts w:ascii="Times New Roman" w:hAnsi="Times New Roman" w:cs="Times New Roman"/>
                <w:iCs/>
                <w:sz w:val="24"/>
                <w:szCs w:val="24"/>
              </w:rPr>
              <w:t>Finanšu nozares</w:t>
            </w:r>
            <w:r w:rsidRPr="00E1092C">
              <w:rPr>
                <w:rFonts w:ascii="Times New Roman" w:hAnsi="Times New Roman" w:cs="Times New Roman"/>
                <w:iCs/>
                <w:sz w:val="24"/>
                <w:szCs w:val="24"/>
              </w:rPr>
              <w:t xml:space="preserve"> asociācija” </w:t>
            </w:r>
            <w:r w:rsidR="00544D11">
              <w:rPr>
                <w:rFonts w:ascii="Times New Roman" w:hAnsi="Times New Roman" w:cs="Times New Roman"/>
                <w:iCs/>
                <w:sz w:val="24"/>
                <w:szCs w:val="24"/>
              </w:rPr>
              <w:t xml:space="preserve">vairākkārt </w:t>
            </w:r>
            <w:r w:rsidRPr="00E1092C">
              <w:rPr>
                <w:rFonts w:ascii="Times New Roman" w:hAnsi="Times New Roman" w:cs="Times New Roman"/>
                <w:iCs/>
                <w:sz w:val="24"/>
                <w:szCs w:val="24"/>
              </w:rPr>
              <w:t xml:space="preserve">ir izteikušas viedokli par nepieciešamību samazināt pakalpojuma maksu, lai kredītinformācijas biroji varētu iegādāties šo pakalpojumu. </w:t>
            </w:r>
          </w:p>
          <w:p w14:paraId="3E874D8A" w14:textId="3012E6AD" w:rsidR="003514EF" w:rsidRPr="00E1092C" w:rsidRDefault="003514EF" w:rsidP="0014306F">
            <w:pPr>
              <w:spacing w:after="0" w:line="240" w:lineRule="auto"/>
              <w:contextualSpacing/>
              <w:jc w:val="both"/>
              <w:rPr>
                <w:rFonts w:ascii="Times New Roman" w:hAnsi="Times New Roman" w:cs="Times New Roman"/>
                <w:iCs/>
                <w:sz w:val="24"/>
                <w:szCs w:val="24"/>
              </w:rPr>
            </w:pPr>
            <w:r w:rsidRPr="00E1092C">
              <w:rPr>
                <w:rFonts w:ascii="Times New Roman" w:hAnsi="Times New Roman" w:cs="Times New Roman"/>
                <w:iCs/>
                <w:sz w:val="24"/>
                <w:szCs w:val="24"/>
              </w:rPr>
              <w:t>2021.</w:t>
            </w:r>
            <w:r w:rsidR="000252FA">
              <w:rPr>
                <w:rFonts w:ascii="Times New Roman" w:hAnsi="Times New Roman" w:cs="Times New Roman"/>
                <w:iCs/>
                <w:sz w:val="24"/>
                <w:szCs w:val="24"/>
              </w:rPr>
              <w:t> </w:t>
            </w:r>
            <w:r w:rsidRPr="00E1092C">
              <w:rPr>
                <w:rFonts w:ascii="Times New Roman" w:hAnsi="Times New Roman" w:cs="Times New Roman"/>
                <w:iCs/>
                <w:sz w:val="24"/>
                <w:szCs w:val="24"/>
              </w:rPr>
              <w:t xml:space="preserve">gadā risinājuma pilnveidošanai nepieciešamās vienreizējās izmaksas </w:t>
            </w:r>
            <w:r w:rsidR="00A85581" w:rsidRPr="00E1092C">
              <w:rPr>
                <w:rFonts w:ascii="Times New Roman" w:hAnsi="Times New Roman" w:cs="Times New Roman"/>
                <w:iCs/>
                <w:sz w:val="24"/>
                <w:szCs w:val="24"/>
              </w:rPr>
              <w:t>95</w:t>
            </w:r>
            <w:r w:rsidR="000252FA">
              <w:rPr>
                <w:rFonts w:ascii="Times New Roman" w:hAnsi="Times New Roman" w:cs="Times New Roman"/>
                <w:iCs/>
                <w:sz w:val="24"/>
                <w:szCs w:val="24"/>
              </w:rPr>
              <w:t> </w:t>
            </w:r>
            <w:r w:rsidR="00A85581" w:rsidRPr="00E1092C">
              <w:rPr>
                <w:rFonts w:ascii="Times New Roman" w:hAnsi="Times New Roman" w:cs="Times New Roman"/>
                <w:iCs/>
                <w:sz w:val="24"/>
                <w:szCs w:val="24"/>
              </w:rPr>
              <w:t>672,33</w:t>
            </w:r>
            <w:r w:rsidR="000252FA">
              <w:rPr>
                <w:rFonts w:ascii="Times New Roman" w:hAnsi="Times New Roman" w:cs="Times New Roman"/>
                <w:iCs/>
                <w:sz w:val="24"/>
                <w:szCs w:val="24"/>
              </w:rPr>
              <w:t> </w:t>
            </w:r>
            <w:proofErr w:type="spellStart"/>
            <w:r w:rsidRPr="00E1092C">
              <w:rPr>
                <w:rFonts w:ascii="Times New Roman" w:hAnsi="Times New Roman" w:cs="Times New Roman"/>
                <w:i/>
                <w:iCs/>
                <w:sz w:val="24"/>
                <w:szCs w:val="24"/>
              </w:rPr>
              <w:t>euro</w:t>
            </w:r>
            <w:proofErr w:type="spellEnd"/>
            <w:r w:rsidRPr="00E1092C">
              <w:rPr>
                <w:rFonts w:ascii="Times New Roman" w:hAnsi="Times New Roman" w:cs="Times New Roman"/>
                <w:iCs/>
                <w:sz w:val="24"/>
                <w:szCs w:val="24"/>
              </w:rPr>
              <w:t xml:space="preserve"> apmērā tiks nodrošinātas VID piešķirto līdzekļu ietvaros</w:t>
            </w:r>
            <w:r w:rsidR="000252FA">
              <w:rPr>
                <w:rFonts w:ascii="Times New Roman" w:hAnsi="Times New Roman" w:cs="Times New Roman"/>
                <w:iCs/>
                <w:sz w:val="24"/>
                <w:szCs w:val="24"/>
              </w:rPr>
              <w:t>.</w:t>
            </w:r>
            <w:r w:rsidRPr="00E1092C">
              <w:rPr>
                <w:rFonts w:ascii="Times New Roman" w:hAnsi="Times New Roman" w:cs="Times New Roman"/>
                <w:iCs/>
                <w:sz w:val="24"/>
                <w:szCs w:val="24"/>
              </w:rPr>
              <w:t xml:space="preserve"> </w:t>
            </w:r>
            <w:r w:rsidR="000252FA">
              <w:rPr>
                <w:rFonts w:ascii="Times New Roman" w:hAnsi="Times New Roman" w:cs="Times New Roman"/>
                <w:iCs/>
                <w:sz w:val="24"/>
                <w:szCs w:val="24"/>
              </w:rPr>
              <w:t xml:space="preserve">Tās </w:t>
            </w:r>
            <w:r w:rsidRPr="00E1092C">
              <w:rPr>
                <w:rFonts w:ascii="Times New Roman" w:hAnsi="Times New Roman" w:cs="Times New Roman"/>
                <w:iCs/>
                <w:sz w:val="24"/>
                <w:szCs w:val="24"/>
              </w:rPr>
              <w:t>atmaksā</w:t>
            </w:r>
            <w:r w:rsidR="000252FA">
              <w:rPr>
                <w:rFonts w:ascii="Times New Roman" w:hAnsi="Times New Roman" w:cs="Times New Roman"/>
                <w:iCs/>
                <w:sz w:val="24"/>
                <w:szCs w:val="24"/>
              </w:rPr>
              <w:t>s</w:t>
            </w:r>
            <w:r w:rsidRPr="00E1092C">
              <w:rPr>
                <w:rFonts w:ascii="Times New Roman" w:hAnsi="Times New Roman" w:cs="Times New Roman"/>
                <w:iCs/>
                <w:sz w:val="24"/>
                <w:szCs w:val="24"/>
              </w:rPr>
              <w:t>ies turpmākajos piecos gados</w:t>
            </w:r>
            <w:r w:rsidR="000252FA">
              <w:rPr>
                <w:rFonts w:ascii="Times New Roman" w:hAnsi="Times New Roman" w:cs="Times New Roman"/>
                <w:iCs/>
                <w:sz w:val="24"/>
                <w:szCs w:val="24"/>
              </w:rPr>
              <w:t>,</w:t>
            </w:r>
            <w:r w:rsidRPr="00E1092C">
              <w:rPr>
                <w:rFonts w:ascii="Times New Roman" w:hAnsi="Times New Roman" w:cs="Times New Roman"/>
                <w:iCs/>
                <w:sz w:val="24"/>
                <w:szCs w:val="24"/>
              </w:rPr>
              <w:t xml:space="preserve"> saņemot maksājumus no kredītinformācijas birojiem. No kredītinformācijas birojiem saņemtie maksājumi (VID pašu ieņēmumi) tiks novirzīti VID informācijas sistēmu uzturēšanai.</w:t>
            </w:r>
          </w:p>
          <w:p w14:paraId="52C8BBB1" w14:textId="03306C7A" w:rsidR="005E782B" w:rsidRPr="00E1092C" w:rsidRDefault="005E782B" w:rsidP="009C6996">
            <w:pPr>
              <w:spacing w:before="100" w:beforeAutospacing="1" w:after="100" w:afterAutospacing="1" w:line="240" w:lineRule="auto"/>
              <w:ind w:left="23" w:firstLine="170"/>
              <w:contextualSpacing/>
              <w:jc w:val="both"/>
              <w:rPr>
                <w:rFonts w:ascii="Times New Roman" w:hAnsi="Times New Roman" w:cs="Times New Roman"/>
                <w:iCs/>
                <w:sz w:val="24"/>
                <w:szCs w:val="24"/>
              </w:rPr>
            </w:pPr>
          </w:p>
        </w:tc>
      </w:tr>
      <w:tr w:rsidR="005E782B" w:rsidRPr="00E1092C" w14:paraId="4F139F7D" w14:textId="77777777" w:rsidTr="009C6996">
        <w:trPr>
          <w:tblCellSpacing w:w="20" w:type="dxa"/>
        </w:trPr>
        <w:tc>
          <w:tcPr>
            <w:tcW w:w="1636" w:type="dxa"/>
            <w:hideMark/>
          </w:tcPr>
          <w:p w14:paraId="07BFC474" w14:textId="77777777" w:rsidR="005E782B" w:rsidRPr="00E1092C" w:rsidRDefault="005E782B" w:rsidP="009C6996">
            <w:pPr>
              <w:spacing w:before="100" w:beforeAutospacing="1" w:after="100" w:afterAutospacing="1" w:line="240" w:lineRule="auto"/>
              <w:contextualSpacing/>
              <w:rPr>
                <w:rFonts w:ascii="Times New Roman" w:hAnsi="Times New Roman" w:cs="Times New Roman"/>
                <w:iCs/>
                <w:sz w:val="24"/>
                <w:szCs w:val="24"/>
              </w:rPr>
            </w:pPr>
            <w:r w:rsidRPr="00E1092C">
              <w:rPr>
                <w:rFonts w:ascii="Times New Roman" w:hAnsi="Times New Roman" w:cs="Times New Roman"/>
                <w:iCs/>
                <w:sz w:val="24"/>
                <w:szCs w:val="24"/>
              </w:rPr>
              <w:t>6.1. detalizēts ieņēmumu aprēķins</w:t>
            </w:r>
          </w:p>
        </w:tc>
        <w:tc>
          <w:tcPr>
            <w:tcW w:w="7316" w:type="dxa"/>
            <w:gridSpan w:val="7"/>
            <w:vMerge/>
            <w:vAlign w:val="center"/>
            <w:hideMark/>
          </w:tcPr>
          <w:p w14:paraId="62E039BB" w14:textId="77777777" w:rsidR="005E782B" w:rsidRPr="00E1092C" w:rsidRDefault="005E782B" w:rsidP="009C6996">
            <w:pPr>
              <w:spacing w:before="100" w:beforeAutospacing="1" w:after="100" w:afterAutospacing="1" w:line="240" w:lineRule="auto"/>
              <w:contextualSpacing/>
              <w:rPr>
                <w:rFonts w:ascii="Times New Roman" w:hAnsi="Times New Roman" w:cs="Times New Roman"/>
                <w:iCs/>
                <w:sz w:val="24"/>
                <w:szCs w:val="24"/>
              </w:rPr>
            </w:pPr>
          </w:p>
        </w:tc>
      </w:tr>
      <w:tr w:rsidR="005E782B" w:rsidRPr="00E1092C" w14:paraId="6C9CA076" w14:textId="77777777" w:rsidTr="009C6996">
        <w:trPr>
          <w:tblCellSpacing w:w="20" w:type="dxa"/>
        </w:trPr>
        <w:tc>
          <w:tcPr>
            <w:tcW w:w="1636" w:type="dxa"/>
            <w:hideMark/>
          </w:tcPr>
          <w:p w14:paraId="3EDA4F1C" w14:textId="77777777" w:rsidR="005E782B" w:rsidRPr="00E1092C" w:rsidRDefault="005E782B" w:rsidP="009C6996">
            <w:pPr>
              <w:spacing w:before="100" w:beforeAutospacing="1" w:after="100" w:afterAutospacing="1" w:line="240" w:lineRule="auto"/>
              <w:contextualSpacing/>
              <w:rPr>
                <w:rFonts w:ascii="Times New Roman" w:hAnsi="Times New Roman" w:cs="Times New Roman"/>
                <w:iCs/>
                <w:sz w:val="24"/>
                <w:szCs w:val="24"/>
              </w:rPr>
            </w:pPr>
            <w:r w:rsidRPr="00E1092C">
              <w:rPr>
                <w:rFonts w:ascii="Times New Roman" w:hAnsi="Times New Roman" w:cs="Times New Roman"/>
                <w:iCs/>
                <w:sz w:val="24"/>
                <w:szCs w:val="24"/>
              </w:rPr>
              <w:t>6.2. detalizēts izdevumu aprēķins</w:t>
            </w:r>
          </w:p>
        </w:tc>
        <w:tc>
          <w:tcPr>
            <w:tcW w:w="7316" w:type="dxa"/>
            <w:gridSpan w:val="7"/>
            <w:vMerge/>
            <w:vAlign w:val="center"/>
            <w:hideMark/>
          </w:tcPr>
          <w:p w14:paraId="5819B0B3" w14:textId="77777777" w:rsidR="005E782B" w:rsidRPr="00E1092C" w:rsidRDefault="005E782B" w:rsidP="009C6996">
            <w:pPr>
              <w:spacing w:before="100" w:beforeAutospacing="1" w:after="100" w:afterAutospacing="1" w:line="240" w:lineRule="auto"/>
              <w:contextualSpacing/>
              <w:rPr>
                <w:rFonts w:ascii="Times New Roman" w:hAnsi="Times New Roman" w:cs="Times New Roman"/>
                <w:iCs/>
                <w:sz w:val="24"/>
                <w:szCs w:val="24"/>
              </w:rPr>
            </w:pPr>
          </w:p>
        </w:tc>
      </w:tr>
      <w:tr w:rsidR="005E782B" w:rsidRPr="00E1092C" w14:paraId="2118856A" w14:textId="77777777" w:rsidTr="009C6996">
        <w:trPr>
          <w:tblCellSpacing w:w="20" w:type="dxa"/>
        </w:trPr>
        <w:tc>
          <w:tcPr>
            <w:tcW w:w="1636" w:type="dxa"/>
            <w:hideMark/>
          </w:tcPr>
          <w:p w14:paraId="4FC4BC1D" w14:textId="77777777" w:rsidR="005E782B" w:rsidRPr="00E1092C" w:rsidRDefault="005E782B" w:rsidP="009C6996">
            <w:pPr>
              <w:spacing w:before="100" w:beforeAutospacing="1" w:after="100" w:afterAutospacing="1" w:line="240" w:lineRule="auto"/>
              <w:contextualSpacing/>
              <w:rPr>
                <w:rFonts w:ascii="Times New Roman" w:hAnsi="Times New Roman" w:cs="Times New Roman"/>
                <w:iCs/>
                <w:sz w:val="24"/>
                <w:szCs w:val="24"/>
              </w:rPr>
            </w:pPr>
            <w:r w:rsidRPr="00E1092C">
              <w:rPr>
                <w:rFonts w:ascii="Times New Roman" w:hAnsi="Times New Roman" w:cs="Times New Roman"/>
                <w:iCs/>
                <w:sz w:val="24"/>
                <w:szCs w:val="24"/>
              </w:rPr>
              <w:t>7. Amata vietu skaita izmaiņas</w:t>
            </w:r>
          </w:p>
        </w:tc>
        <w:tc>
          <w:tcPr>
            <w:tcW w:w="7316" w:type="dxa"/>
            <w:gridSpan w:val="7"/>
            <w:hideMark/>
          </w:tcPr>
          <w:p w14:paraId="49717814" w14:textId="77777777" w:rsidR="005E782B" w:rsidRPr="00E1092C" w:rsidRDefault="005E782B" w:rsidP="009C6996">
            <w:pPr>
              <w:spacing w:before="100" w:beforeAutospacing="1" w:after="100" w:afterAutospacing="1" w:line="240" w:lineRule="auto"/>
              <w:contextualSpacing/>
              <w:jc w:val="both"/>
              <w:rPr>
                <w:rFonts w:ascii="Times New Roman" w:hAnsi="Times New Roman" w:cs="Times New Roman"/>
                <w:iCs/>
                <w:sz w:val="24"/>
                <w:szCs w:val="24"/>
              </w:rPr>
            </w:pPr>
            <w:r w:rsidRPr="00E1092C">
              <w:rPr>
                <w:rFonts w:ascii="Times New Roman" w:hAnsi="Times New Roman" w:cs="Times New Roman"/>
                <w:iCs/>
                <w:sz w:val="24"/>
                <w:szCs w:val="24"/>
              </w:rPr>
              <w:t>Nav.</w:t>
            </w:r>
          </w:p>
        </w:tc>
      </w:tr>
      <w:tr w:rsidR="005E782B" w:rsidRPr="00E1092C" w14:paraId="0F0E7015" w14:textId="77777777" w:rsidTr="009C6996">
        <w:trPr>
          <w:tblCellSpacing w:w="20" w:type="dxa"/>
        </w:trPr>
        <w:tc>
          <w:tcPr>
            <w:tcW w:w="1636" w:type="dxa"/>
            <w:hideMark/>
          </w:tcPr>
          <w:p w14:paraId="44C2E76F" w14:textId="77777777" w:rsidR="005E782B" w:rsidRPr="00E1092C" w:rsidRDefault="005E782B" w:rsidP="009C6996">
            <w:pPr>
              <w:spacing w:before="100" w:beforeAutospacing="1" w:after="100" w:afterAutospacing="1" w:line="240" w:lineRule="auto"/>
              <w:contextualSpacing/>
              <w:rPr>
                <w:rFonts w:ascii="Times New Roman" w:hAnsi="Times New Roman" w:cs="Times New Roman"/>
                <w:iCs/>
                <w:sz w:val="24"/>
                <w:szCs w:val="24"/>
              </w:rPr>
            </w:pPr>
            <w:r w:rsidRPr="00E1092C">
              <w:rPr>
                <w:rFonts w:ascii="Times New Roman" w:hAnsi="Times New Roman" w:cs="Times New Roman"/>
                <w:iCs/>
                <w:sz w:val="24"/>
                <w:szCs w:val="24"/>
              </w:rPr>
              <w:t>8. Cita informācija</w:t>
            </w:r>
          </w:p>
        </w:tc>
        <w:tc>
          <w:tcPr>
            <w:tcW w:w="7316" w:type="dxa"/>
            <w:gridSpan w:val="7"/>
            <w:hideMark/>
          </w:tcPr>
          <w:p w14:paraId="04356272" w14:textId="77777777" w:rsidR="005E782B" w:rsidRPr="00E1092C" w:rsidRDefault="00D32E06" w:rsidP="009C6996">
            <w:pPr>
              <w:spacing w:before="100" w:beforeAutospacing="1" w:after="100" w:afterAutospacing="1" w:line="240" w:lineRule="auto"/>
              <w:contextualSpacing/>
              <w:jc w:val="both"/>
              <w:rPr>
                <w:rFonts w:ascii="Times New Roman" w:hAnsi="Times New Roman" w:cs="Times New Roman"/>
                <w:sz w:val="24"/>
                <w:szCs w:val="24"/>
              </w:rPr>
            </w:pPr>
            <w:r w:rsidRPr="00E1092C">
              <w:rPr>
                <w:rFonts w:ascii="Times New Roman" w:hAnsi="Times New Roman" w:cs="Times New Roman"/>
                <w:sz w:val="24"/>
                <w:szCs w:val="24"/>
              </w:rPr>
              <w:t>Nav.</w:t>
            </w:r>
          </w:p>
        </w:tc>
      </w:tr>
    </w:tbl>
    <w:p w14:paraId="37EE7FBD" w14:textId="028B608D" w:rsidR="00753375" w:rsidRPr="00F15EA7" w:rsidRDefault="005E782B" w:rsidP="00753375">
      <w:pPr>
        <w:spacing w:after="0" w:line="240" w:lineRule="auto"/>
        <w:rPr>
          <w:rFonts w:ascii="Times New Roman" w:eastAsia="Times New Roman" w:hAnsi="Times New Roman" w:cs="Times New Roman"/>
          <w:iCs/>
          <w:sz w:val="26"/>
          <w:szCs w:val="26"/>
          <w:lang w:eastAsia="lv-LV"/>
        </w:rPr>
      </w:pPr>
      <w:r w:rsidRPr="00F15EA7">
        <w:rPr>
          <w:rFonts w:ascii="Times New Roman" w:eastAsia="Times New Roman" w:hAnsi="Times New Roman" w:cs="Times New Roman"/>
          <w:iCs/>
          <w:sz w:val="26"/>
          <w:szCs w:val="26"/>
          <w:lang w:eastAsia="lv-LV"/>
        </w:rPr>
        <w:t> </w:t>
      </w:r>
    </w:p>
    <w:tbl>
      <w:tblPr>
        <w:tblW w:w="5005"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64"/>
      </w:tblGrid>
      <w:tr w:rsidR="00E5323B" w:rsidRPr="00F15EA7" w14:paraId="551A6DBD" w14:textId="77777777" w:rsidTr="00B96D6E">
        <w:trPr>
          <w:tblCellSpacing w:w="15" w:type="dxa"/>
        </w:trPr>
        <w:tc>
          <w:tcPr>
            <w:tcW w:w="4967" w:type="pct"/>
            <w:tcBorders>
              <w:top w:val="outset" w:sz="6" w:space="0" w:color="auto"/>
              <w:left w:val="outset" w:sz="6" w:space="0" w:color="auto"/>
              <w:bottom w:val="outset" w:sz="6" w:space="0" w:color="auto"/>
              <w:right w:val="outset" w:sz="6" w:space="0" w:color="auto"/>
            </w:tcBorders>
            <w:vAlign w:val="center"/>
            <w:hideMark/>
          </w:tcPr>
          <w:p w14:paraId="53A752A5" w14:textId="3803A75D" w:rsidR="00655F2C" w:rsidRPr="00F15EA7" w:rsidRDefault="00E5323B" w:rsidP="000252FA">
            <w:pPr>
              <w:spacing w:after="0" w:line="240" w:lineRule="auto"/>
              <w:jc w:val="center"/>
              <w:rPr>
                <w:rFonts w:ascii="Times New Roman" w:hAnsi="Times New Roman" w:cs="Times New Roman"/>
                <w:b/>
                <w:sz w:val="26"/>
                <w:szCs w:val="26"/>
              </w:rPr>
            </w:pPr>
            <w:r w:rsidRPr="00F15EA7">
              <w:rPr>
                <w:rFonts w:ascii="Times New Roman" w:hAnsi="Times New Roman" w:cs="Times New Roman"/>
                <w:b/>
                <w:sz w:val="26"/>
                <w:szCs w:val="26"/>
              </w:rPr>
              <w:t>IV.</w:t>
            </w:r>
            <w:r w:rsidR="000252FA">
              <w:rPr>
                <w:rFonts w:ascii="Times New Roman" w:hAnsi="Times New Roman" w:cs="Times New Roman"/>
                <w:b/>
                <w:sz w:val="26"/>
                <w:szCs w:val="26"/>
              </w:rPr>
              <w:t> </w:t>
            </w:r>
            <w:r w:rsidRPr="00F15EA7">
              <w:rPr>
                <w:rFonts w:ascii="Times New Roman" w:hAnsi="Times New Roman" w:cs="Times New Roman"/>
                <w:b/>
                <w:sz w:val="26"/>
                <w:szCs w:val="26"/>
              </w:rPr>
              <w:t>Tiesību akta projekta ietekme uz spēkā esošo tiesību normu sistēmu</w:t>
            </w:r>
          </w:p>
        </w:tc>
      </w:tr>
      <w:tr w:rsidR="00E07D12" w:rsidRPr="00F15EA7" w14:paraId="3F92F19E" w14:textId="77777777" w:rsidTr="00B96D6E">
        <w:trPr>
          <w:tblCellSpacing w:w="15" w:type="dxa"/>
        </w:trPr>
        <w:tc>
          <w:tcPr>
            <w:tcW w:w="4967" w:type="pct"/>
            <w:tcBorders>
              <w:top w:val="outset" w:sz="6" w:space="0" w:color="auto"/>
              <w:left w:val="outset" w:sz="6" w:space="0" w:color="auto"/>
              <w:bottom w:val="outset" w:sz="6" w:space="0" w:color="auto"/>
              <w:right w:val="outset" w:sz="6" w:space="0" w:color="auto"/>
            </w:tcBorders>
            <w:vAlign w:val="center"/>
          </w:tcPr>
          <w:p w14:paraId="71F0D7C7" w14:textId="73BE340C" w:rsidR="00991768" w:rsidRPr="0014306F" w:rsidRDefault="0018002C" w:rsidP="0018002C">
            <w:pPr>
              <w:spacing w:after="0" w:line="240" w:lineRule="auto"/>
              <w:jc w:val="center"/>
              <w:rPr>
                <w:rFonts w:ascii="Times New Roman" w:hAnsi="Times New Roman" w:cs="Times New Roman"/>
                <w:bCs/>
                <w:sz w:val="24"/>
                <w:szCs w:val="24"/>
              </w:rPr>
            </w:pPr>
            <w:r w:rsidRPr="00C41CA9">
              <w:rPr>
                <w:rFonts w:ascii="Times New Roman" w:hAnsi="Times New Roman" w:cs="Times New Roman"/>
                <w:bCs/>
                <w:sz w:val="26"/>
                <w:szCs w:val="26"/>
              </w:rPr>
              <w:t>Noteikumu p</w:t>
            </w:r>
            <w:r w:rsidR="00E07D12" w:rsidRPr="00C41CA9">
              <w:rPr>
                <w:rFonts w:ascii="Times New Roman" w:hAnsi="Times New Roman" w:cs="Times New Roman"/>
                <w:bCs/>
                <w:sz w:val="26"/>
                <w:szCs w:val="26"/>
              </w:rPr>
              <w:t>rojekts šo jomu neskar</w:t>
            </w:r>
            <w:r w:rsidRPr="00C41CA9">
              <w:rPr>
                <w:rFonts w:ascii="Times New Roman" w:hAnsi="Times New Roman" w:cs="Times New Roman"/>
                <w:bCs/>
                <w:sz w:val="26"/>
                <w:szCs w:val="26"/>
              </w:rPr>
              <w:t>.</w:t>
            </w:r>
          </w:p>
        </w:tc>
      </w:tr>
    </w:tbl>
    <w:p w14:paraId="034C0BD9" w14:textId="77777777" w:rsidR="00E5323B" w:rsidRPr="00F15EA7" w:rsidRDefault="00E5323B" w:rsidP="00E5323B">
      <w:pPr>
        <w:spacing w:after="0" w:line="240" w:lineRule="auto"/>
        <w:rPr>
          <w:rFonts w:ascii="Times New Roman" w:hAnsi="Times New Roman" w:cs="Times New Roman"/>
          <w:sz w:val="26"/>
          <w:szCs w:val="26"/>
        </w:rPr>
      </w:pPr>
    </w:p>
    <w:tbl>
      <w:tblPr>
        <w:tblW w:w="5005"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51"/>
        <w:gridCol w:w="2307"/>
        <w:gridCol w:w="6206"/>
      </w:tblGrid>
      <w:tr w:rsidR="00E5323B" w:rsidRPr="00F15EA7" w14:paraId="23362605" w14:textId="77777777" w:rsidTr="00DC7B5F">
        <w:trPr>
          <w:tblCellSpacing w:w="15" w:type="dxa"/>
        </w:trPr>
        <w:tc>
          <w:tcPr>
            <w:tcW w:w="9004" w:type="dxa"/>
            <w:gridSpan w:val="3"/>
            <w:vAlign w:val="center"/>
            <w:hideMark/>
          </w:tcPr>
          <w:p w14:paraId="176F4852" w14:textId="7F385FB8" w:rsidR="00655F2C" w:rsidRPr="00F15EA7" w:rsidRDefault="00E5323B" w:rsidP="000252FA">
            <w:pPr>
              <w:spacing w:after="0" w:line="240" w:lineRule="auto"/>
              <w:jc w:val="center"/>
              <w:rPr>
                <w:rFonts w:ascii="Times New Roman" w:hAnsi="Times New Roman" w:cs="Times New Roman"/>
                <w:b/>
                <w:sz w:val="26"/>
                <w:szCs w:val="26"/>
              </w:rPr>
            </w:pPr>
            <w:r w:rsidRPr="00F15EA7">
              <w:rPr>
                <w:rFonts w:ascii="Times New Roman" w:hAnsi="Times New Roman" w:cs="Times New Roman"/>
                <w:b/>
                <w:sz w:val="26"/>
                <w:szCs w:val="26"/>
              </w:rPr>
              <w:t>V.</w:t>
            </w:r>
            <w:r w:rsidR="000252FA">
              <w:rPr>
                <w:rFonts w:ascii="Times New Roman" w:hAnsi="Times New Roman" w:cs="Times New Roman"/>
                <w:b/>
                <w:sz w:val="26"/>
                <w:szCs w:val="26"/>
              </w:rPr>
              <w:t> </w:t>
            </w:r>
            <w:r w:rsidRPr="00F15EA7">
              <w:rPr>
                <w:rFonts w:ascii="Times New Roman" w:hAnsi="Times New Roman" w:cs="Times New Roman"/>
                <w:b/>
                <w:sz w:val="26"/>
                <w:szCs w:val="26"/>
              </w:rPr>
              <w:t>Tiesību akta projekta atbilstība Latvijas Republikas starptautiskajām saistībām</w:t>
            </w:r>
          </w:p>
        </w:tc>
      </w:tr>
      <w:tr w:rsidR="00E07D12" w:rsidRPr="00F15EA7" w14:paraId="68C99E77" w14:textId="77777777" w:rsidTr="00DC7B5F">
        <w:trPr>
          <w:tblCellSpacing w:w="15" w:type="dxa"/>
        </w:trPr>
        <w:tc>
          <w:tcPr>
            <w:tcW w:w="9004" w:type="dxa"/>
            <w:gridSpan w:val="3"/>
            <w:vAlign w:val="center"/>
          </w:tcPr>
          <w:p w14:paraId="6F5D4915" w14:textId="62DFA540" w:rsidR="00991768" w:rsidRPr="0014306F" w:rsidRDefault="0018002C" w:rsidP="0018002C">
            <w:pPr>
              <w:spacing w:after="0" w:line="240" w:lineRule="auto"/>
              <w:jc w:val="center"/>
              <w:rPr>
                <w:rFonts w:ascii="Times New Roman" w:hAnsi="Times New Roman" w:cs="Times New Roman"/>
                <w:sz w:val="24"/>
                <w:szCs w:val="24"/>
              </w:rPr>
            </w:pPr>
            <w:r w:rsidRPr="00C41CA9">
              <w:rPr>
                <w:rFonts w:ascii="Times New Roman" w:hAnsi="Times New Roman" w:cs="Times New Roman"/>
                <w:bCs/>
                <w:sz w:val="26"/>
                <w:szCs w:val="26"/>
              </w:rPr>
              <w:t>Noteikumu p</w:t>
            </w:r>
            <w:r w:rsidR="00E07D12" w:rsidRPr="00C41CA9">
              <w:rPr>
                <w:rFonts w:ascii="Times New Roman" w:hAnsi="Times New Roman" w:cs="Times New Roman"/>
                <w:bCs/>
                <w:sz w:val="26"/>
                <w:szCs w:val="26"/>
              </w:rPr>
              <w:t>rojekts šo jomu neskar</w:t>
            </w:r>
            <w:r w:rsidRPr="00C41CA9">
              <w:rPr>
                <w:rFonts w:ascii="Times New Roman" w:hAnsi="Times New Roman" w:cs="Times New Roman"/>
                <w:bCs/>
                <w:sz w:val="26"/>
                <w:szCs w:val="26"/>
              </w:rPr>
              <w:t>.</w:t>
            </w:r>
          </w:p>
        </w:tc>
      </w:tr>
      <w:tr w:rsidR="007038A4" w:rsidRPr="00F15EA7" w14:paraId="4512BC1A" w14:textId="77777777" w:rsidTr="00B96D6E">
        <w:trPr>
          <w:tblCellSpacing w:w="15" w:type="dxa"/>
        </w:trPr>
        <w:tc>
          <w:tcPr>
            <w:tcW w:w="9004" w:type="dxa"/>
            <w:gridSpan w:val="3"/>
            <w:vAlign w:val="center"/>
          </w:tcPr>
          <w:p w14:paraId="61C10612" w14:textId="30BD0AE2" w:rsidR="007038A4" w:rsidRDefault="007038A4" w:rsidP="000252FA">
            <w:pPr>
              <w:spacing w:after="0" w:line="240" w:lineRule="auto"/>
              <w:jc w:val="center"/>
              <w:rPr>
                <w:rFonts w:ascii="Times New Roman" w:hAnsi="Times New Roman" w:cs="Times New Roman"/>
                <w:bCs/>
                <w:sz w:val="26"/>
                <w:szCs w:val="26"/>
              </w:rPr>
            </w:pPr>
            <w:r w:rsidRPr="00F15EA7">
              <w:rPr>
                <w:rFonts w:ascii="Times New Roman" w:hAnsi="Times New Roman" w:cs="Times New Roman"/>
                <w:b/>
                <w:bCs/>
                <w:sz w:val="26"/>
                <w:szCs w:val="26"/>
              </w:rPr>
              <w:lastRenderedPageBreak/>
              <w:t>VI.</w:t>
            </w:r>
            <w:r w:rsidR="000252FA">
              <w:rPr>
                <w:rFonts w:ascii="Times New Roman" w:hAnsi="Times New Roman" w:cs="Times New Roman"/>
                <w:b/>
                <w:bCs/>
                <w:sz w:val="26"/>
                <w:szCs w:val="26"/>
              </w:rPr>
              <w:t> </w:t>
            </w:r>
            <w:r w:rsidRPr="00F15EA7">
              <w:rPr>
                <w:rFonts w:ascii="Times New Roman" w:hAnsi="Times New Roman" w:cs="Times New Roman"/>
                <w:b/>
                <w:bCs/>
                <w:sz w:val="26"/>
                <w:szCs w:val="26"/>
              </w:rPr>
              <w:t>Sabiedrības līdzdalība un komunikācijas aktivitātes</w:t>
            </w:r>
          </w:p>
        </w:tc>
      </w:tr>
      <w:tr w:rsidR="007038A4" w:rsidRPr="00F15EA7" w14:paraId="17A08B03" w14:textId="2CD393BB" w:rsidTr="00B96D6E">
        <w:trPr>
          <w:tblCellSpacing w:w="15" w:type="dxa"/>
        </w:trPr>
        <w:tc>
          <w:tcPr>
            <w:tcW w:w="506" w:type="dxa"/>
            <w:tcBorders>
              <w:right w:val="outset" w:sz="6" w:space="0" w:color="auto"/>
            </w:tcBorders>
          </w:tcPr>
          <w:p w14:paraId="7A1F2377" w14:textId="458D1E22" w:rsidR="007038A4" w:rsidRPr="00C41CA9" w:rsidRDefault="007038A4" w:rsidP="007038A4">
            <w:pPr>
              <w:spacing w:after="0" w:line="240" w:lineRule="auto"/>
              <w:rPr>
                <w:rFonts w:ascii="Times New Roman" w:hAnsi="Times New Roman" w:cs="Times New Roman"/>
                <w:bCs/>
                <w:sz w:val="26"/>
                <w:szCs w:val="26"/>
              </w:rPr>
            </w:pPr>
            <w:r w:rsidRPr="00C41CA9">
              <w:rPr>
                <w:rFonts w:ascii="Times New Roman" w:hAnsi="Times New Roman" w:cs="Times New Roman"/>
                <w:bCs/>
                <w:sz w:val="26"/>
                <w:szCs w:val="26"/>
              </w:rPr>
              <w:t>1.</w:t>
            </w:r>
          </w:p>
        </w:tc>
        <w:tc>
          <w:tcPr>
            <w:tcW w:w="2277" w:type="dxa"/>
            <w:tcBorders>
              <w:left w:val="outset" w:sz="6" w:space="0" w:color="auto"/>
              <w:right w:val="outset" w:sz="6" w:space="0" w:color="auto"/>
            </w:tcBorders>
          </w:tcPr>
          <w:p w14:paraId="4610A384" w14:textId="0892877E" w:rsidR="007038A4" w:rsidRPr="00C41CA9" w:rsidRDefault="007038A4" w:rsidP="007038A4">
            <w:pPr>
              <w:spacing w:after="0" w:line="240" w:lineRule="auto"/>
              <w:rPr>
                <w:rFonts w:ascii="Times New Roman" w:hAnsi="Times New Roman" w:cs="Times New Roman"/>
                <w:bCs/>
                <w:sz w:val="26"/>
                <w:szCs w:val="26"/>
              </w:rPr>
            </w:pPr>
            <w:r w:rsidRPr="00C41CA9">
              <w:rPr>
                <w:rFonts w:ascii="Times New Roman" w:hAnsi="Times New Roman" w:cs="Times New Roman"/>
                <w:sz w:val="26"/>
                <w:szCs w:val="26"/>
              </w:rPr>
              <w:t>Plānotās sabiedrības līdzdalības un komunikācijas aktivitātes saistībā ar projektu</w:t>
            </w:r>
          </w:p>
        </w:tc>
        <w:tc>
          <w:tcPr>
            <w:tcW w:w="6161" w:type="dxa"/>
            <w:tcBorders>
              <w:left w:val="outset" w:sz="6" w:space="0" w:color="auto"/>
            </w:tcBorders>
          </w:tcPr>
          <w:p w14:paraId="6D03B511" w14:textId="301E2F68" w:rsidR="007038A4" w:rsidRPr="00C41CA9" w:rsidRDefault="007038A4" w:rsidP="0014306F">
            <w:pPr>
              <w:pStyle w:val="NormalWeb"/>
              <w:spacing w:line="252" w:lineRule="auto"/>
              <w:jc w:val="both"/>
              <w:rPr>
                <w:rFonts w:ascii="Times New Roman" w:hAnsi="Times New Roman" w:cs="Times New Roman"/>
                <w:iCs/>
                <w:spacing w:val="-2"/>
                <w:sz w:val="26"/>
                <w:szCs w:val="26"/>
              </w:rPr>
            </w:pPr>
            <w:r w:rsidRPr="00C41CA9">
              <w:rPr>
                <w:rFonts w:ascii="Times New Roman" w:hAnsi="Times New Roman" w:cs="Times New Roman"/>
                <w:sz w:val="26"/>
                <w:szCs w:val="26"/>
              </w:rPr>
              <w:t xml:space="preserve">Informācija par Noteikumu projektu tika publicēta Finanšu ministrijas tīmekļa </w:t>
            </w:r>
            <w:r w:rsidR="000252FA" w:rsidRPr="0014306F">
              <w:rPr>
                <w:rFonts w:ascii="Times New Roman" w:hAnsi="Times New Roman" w:cs="Times New Roman"/>
                <w:sz w:val="26"/>
                <w:szCs w:val="26"/>
              </w:rPr>
              <w:t xml:space="preserve">vietnē </w:t>
            </w:r>
            <w:r w:rsidRPr="00C41CA9">
              <w:rPr>
                <w:rFonts w:ascii="Times New Roman" w:hAnsi="Times New Roman" w:cs="Times New Roman"/>
                <w:iCs/>
                <w:sz w:val="26"/>
                <w:szCs w:val="26"/>
              </w:rPr>
              <w:t>sadaļā “Sabiedrības līdzdalība”</w:t>
            </w:r>
            <w:r w:rsidR="00544D11">
              <w:rPr>
                <w:rFonts w:ascii="Times New Roman" w:hAnsi="Times New Roman" w:cs="Times New Roman"/>
                <w:iCs/>
                <w:sz w:val="26"/>
                <w:szCs w:val="26"/>
              </w:rPr>
              <w:t> </w:t>
            </w:r>
            <w:r w:rsidRPr="00C41CA9">
              <w:rPr>
                <w:rFonts w:ascii="Times New Roman" w:hAnsi="Times New Roman" w:cs="Times New Roman"/>
                <w:iCs/>
                <w:sz w:val="26"/>
                <w:szCs w:val="26"/>
              </w:rPr>
              <w:t xml:space="preserve">– “Tiesību aktu projekti” – “Nodokļu politika”. </w:t>
            </w:r>
            <w:r w:rsidR="000252FA" w:rsidRPr="0014306F">
              <w:rPr>
                <w:rFonts w:ascii="Times New Roman" w:hAnsi="Times New Roman" w:cs="Times New Roman"/>
                <w:iCs/>
                <w:sz w:val="26"/>
                <w:szCs w:val="26"/>
              </w:rPr>
              <w:t>Tādējādi</w:t>
            </w:r>
            <w:r w:rsidRPr="00C41CA9">
              <w:rPr>
                <w:rFonts w:ascii="Times New Roman" w:hAnsi="Times New Roman" w:cs="Times New Roman"/>
                <w:iCs/>
                <w:spacing w:val="-2"/>
                <w:sz w:val="26"/>
                <w:szCs w:val="26"/>
              </w:rPr>
              <w:t xml:space="preserve"> sabiedrības pārstāvji varēja līdzdarboties Noteikumu projekta izstrādē, </w:t>
            </w:r>
            <w:proofErr w:type="spellStart"/>
            <w:r w:rsidRPr="00C41CA9">
              <w:rPr>
                <w:rFonts w:ascii="Times New Roman" w:hAnsi="Times New Roman" w:cs="Times New Roman"/>
                <w:iCs/>
                <w:spacing w:val="-2"/>
                <w:sz w:val="26"/>
                <w:szCs w:val="26"/>
              </w:rPr>
              <w:t>rakstveidā</w:t>
            </w:r>
            <w:proofErr w:type="spellEnd"/>
            <w:r w:rsidRPr="00C41CA9">
              <w:rPr>
                <w:rFonts w:ascii="Times New Roman" w:hAnsi="Times New Roman" w:cs="Times New Roman"/>
                <w:iCs/>
                <w:spacing w:val="-2"/>
                <w:sz w:val="26"/>
                <w:szCs w:val="26"/>
              </w:rPr>
              <w:t xml:space="preserve"> sniedzot viedokļus par projektu.</w:t>
            </w:r>
            <w:r w:rsidRPr="00C41CA9">
              <w:rPr>
                <w:rFonts w:ascii="Times New Roman" w:hAnsi="Times New Roman" w:cs="Times New Roman"/>
                <w:iCs/>
                <w:sz w:val="26"/>
                <w:szCs w:val="26"/>
              </w:rPr>
              <w:t xml:space="preserve"> </w:t>
            </w:r>
            <w:r w:rsidRPr="00C41CA9">
              <w:rPr>
                <w:rFonts w:ascii="Times New Roman" w:hAnsi="Times New Roman" w:cs="Times New Roman"/>
                <w:iCs/>
                <w:spacing w:val="-2"/>
                <w:sz w:val="26"/>
                <w:szCs w:val="26"/>
              </w:rPr>
              <w:t>Tāpat sabiedrības pārstāvji varēs sniegt viedokļus par Noteikumu projektu pēc tā izsludināšanas Valsts sekretāru sanāksmē.</w:t>
            </w:r>
          </w:p>
          <w:p w14:paraId="4BD728A7" w14:textId="38D3F142" w:rsidR="007038A4" w:rsidRPr="00C41CA9" w:rsidRDefault="007038A4" w:rsidP="0014306F">
            <w:pPr>
              <w:spacing w:after="0" w:line="240" w:lineRule="auto"/>
              <w:jc w:val="both"/>
              <w:rPr>
                <w:rFonts w:ascii="Times New Roman" w:hAnsi="Times New Roman" w:cs="Times New Roman"/>
                <w:bCs/>
                <w:sz w:val="26"/>
                <w:szCs w:val="26"/>
              </w:rPr>
            </w:pPr>
            <w:r w:rsidRPr="00C41CA9">
              <w:rPr>
                <w:rFonts w:ascii="Times New Roman" w:hAnsi="Times New Roman" w:cs="Times New Roman"/>
                <w:sz w:val="26"/>
                <w:szCs w:val="26"/>
              </w:rPr>
              <w:t>Noteikumu projekts nosūtīts viedokļa sniegšanai Latvijas Finanšu nozares asociācijai un diviem licencētajiem  kredītinformācijas birojiem (</w:t>
            </w:r>
            <w:r w:rsidRPr="00C41CA9">
              <w:rPr>
                <w:rFonts w:ascii="Times New Roman" w:hAnsi="Times New Roman" w:cs="Times New Roman"/>
                <w:color w:val="000000" w:themeColor="text1"/>
                <w:sz w:val="26"/>
                <w:szCs w:val="26"/>
              </w:rPr>
              <w:t>AS “Kredītinformācijas Birojs</w:t>
            </w:r>
            <w:r w:rsidR="000252FA" w:rsidRPr="0014306F">
              <w:rPr>
                <w:rFonts w:ascii="Times New Roman" w:hAnsi="Times New Roman" w:cs="Times New Roman"/>
                <w:color w:val="000000" w:themeColor="text1"/>
                <w:sz w:val="26"/>
                <w:szCs w:val="26"/>
              </w:rPr>
              <w:t>”</w:t>
            </w:r>
            <w:r w:rsidRPr="00C41CA9">
              <w:rPr>
                <w:rFonts w:ascii="Times New Roman" w:hAnsi="Times New Roman" w:cs="Times New Roman"/>
                <w:color w:val="000000" w:themeColor="text1"/>
                <w:sz w:val="26"/>
                <w:szCs w:val="26"/>
              </w:rPr>
              <w:t xml:space="preserve"> un AS “CREFO Birojs”</w:t>
            </w:r>
            <w:r w:rsidRPr="00C41CA9">
              <w:rPr>
                <w:rFonts w:ascii="Times New Roman" w:hAnsi="Times New Roman" w:cs="Times New Roman"/>
                <w:sz w:val="26"/>
                <w:szCs w:val="26"/>
              </w:rPr>
              <w:t>).</w:t>
            </w:r>
          </w:p>
        </w:tc>
      </w:tr>
      <w:tr w:rsidR="007038A4" w:rsidRPr="00F15EA7" w14:paraId="5D6FD623" w14:textId="77777777" w:rsidTr="00B96D6E">
        <w:trPr>
          <w:tblCellSpacing w:w="15" w:type="dxa"/>
        </w:trPr>
        <w:tc>
          <w:tcPr>
            <w:tcW w:w="506" w:type="dxa"/>
            <w:tcBorders>
              <w:right w:val="outset" w:sz="6" w:space="0" w:color="auto"/>
            </w:tcBorders>
          </w:tcPr>
          <w:p w14:paraId="08C91402" w14:textId="06C8A15B" w:rsidR="007038A4" w:rsidRPr="00C41CA9" w:rsidRDefault="007038A4" w:rsidP="007038A4">
            <w:pPr>
              <w:spacing w:after="0" w:line="240" w:lineRule="auto"/>
              <w:rPr>
                <w:rFonts w:ascii="Times New Roman" w:hAnsi="Times New Roman" w:cs="Times New Roman"/>
                <w:bCs/>
                <w:sz w:val="26"/>
                <w:szCs w:val="26"/>
              </w:rPr>
            </w:pPr>
            <w:r w:rsidRPr="00C41CA9">
              <w:rPr>
                <w:rFonts w:ascii="Times New Roman" w:hAnsi="Times New Roman" w:cs="Times New Roman"/>
                <w:sz w:val="26"/>
                <w:szCs w:val="26"/>
              </w:rPr>
              <w:t>2.</w:t>
            </w:r>
          </w:p>
        </w:tc>
        <w:tc>
          <w:tcPr>
            <w:tcW w:w="2277" w:type="dxa"/>
            <w:tcBorders>
              <w:left w:val="outset" w:sz="6" w:space="0" w:color="auto"/>
              <w:right w:val="outset" w:sz="6" w:space="0" w:color="auto"/>
            </w:tcBorders>
          </w:tcPr>
          <w:p w14:paraId="251143E8" w14:textId="59E2D242" w:rsidR="007038A4" w:rsidRPr="00C41CA9" w:rsidRDefault="007038A4" w:rsidP="007038A4">
            <w:pPr>
              <w:spacing w:after="0" w:line="240" w:lineRule="auto"/>
              <w:rPr>
                <w:rFonts w:ascii="Times New Roman" w:hAnsi="Times New Roman" w:cs="Times New Roman"/>
                <w:sz w:val="26"/>
                <w:szCs w:val="26"/>
              </w:rPr>
            </w:pPr>
            <w:r w:rsidRPr="00C41CA9">
              <w:rPr>
                <w:rFonts w:ascii="Times New Roman" w:hAnsi="Times New Roman" w:cs="Times New Roman"/>
                <w:sz w:val="26"/>
                <w:szCs w:val="26"/>
              </w:rPr>
              <w:t>Sabiedrības līdzdalība projekta izstrādē</w:t>
            </w:r>
          </w:p>
        </w:tc>
        <w:tc>
          <w:tcPr>
            <w:tcW w:w="6161" w:type="dxa"/>
            <w:tcBorders>
              <w:left w:val="outset" w:sz="6" w:space="0" w:color="auto"/>
            </w:tcBorders>
          </w:tcPr>
          <w:p w14:paraId="6DA922A3" w14:textId="25C95BF2" w:rsidR="007038A4" w:rsidRPr="00C41CA9" w:rsidRDefault="007038A4" w:rsidP="00F07CB9">
            <w:pPr>
              <w:jc w:val="both"/>
              <w:rPr>
                <w:rFonts w:ascii="Times New Roman" w:hAnsi="Times New Roman" w:cs="Times New Roman"/>
                <w:sz w:val="26"/>
                <w:szCs w:val="26"/>
              </w:rPr>
            </w:pPr>
            <w:r w:rsidRPr="00C41CA9">
              <w:rPr>
                <w:rFonts w:ascii="Times New Roman" w:hAnsi="Times New Roman" w:cs="Times New Roman"/>
                <w:iCs/>
                <w:spacing w:val="-2"/>
                <w:sz w:val="26"/>
                <w:szCs w:val="26"/>
              </w:rPr>
              <w:t xml:space="preserve">Sabiedrības pārstāvji varēja līdzdarboties Noteikumu projekta izstrādē, </w:t>
            </w:r>
            <w:proofErr w:type="spellStart"/>
            <w:r w:rsidRPr="00C41CA9">
              <w:rPr>
                <w:rFonts w:ascii="Times New Roman" w:hAnsi="Times New Roman" w:cs="Times New Roman"/>
                <w:iCs/>
                <w:spacing w:val="-2"/>
                <w:sz w:val="26"/>
                <w:szCs w:val="26"/>
              </w:rPr>
              <w:t>rakstveidā</w:t>
            </w:r>
            <w:proofErr w:type="spellEnd"/>
            <w:r w:rsidRPr="00C41CA9">
              <w:rPr>
                <w:rFonts w:ascii="Times New Roman" w:hAnsi="Times New Roman" w:cs="Times New Roman"/>
                <w:iCs/>
                <w:spacing w:val="-2"/>
                <w:sz w:val="26"/>
                <w:szCs w:val="26"/>
              </w:rPr>
              <w:t xml:space="preserve"> sniedzot viedokļus par projektu, kas </w:t>
            </w:r>
            <w:r w:rsidRPr="00C41CA9">
              <w:rPr>
                <w:rFonts w:ascii="Times New Roman" w:hAnsi="Times New Roman" w:cs="Times New Roman"/>
                <w:iCs/>
                <w:sz w:val="26"/>
                <w:szCs w:val="26"/>
              </w:rPr>
              <w:t>2020.</w:t>
            </w:r>
            <w:r w:rsidR="000252FA" w:rsidRPr="0014306F">
              <w:rPr>
                <w:rFonts w:ascii="Times New Roman" w:hAnsi="Times New Roman" w:cs="Times New Roman"/>
                <w:iCs/>
                <w:sz w:val="26"/>
                <w:szCs w:val="26"/>
              </w:rPr>
              <w:t> </w:t>
            </w:r>
            <w:r w:rsidRPr="00C41CA9">
              <w:rPr>
                <w:rFonts w:ascii="Times New Roman" w:hAnsi="Times New Roman" w:cs="Times New Roman"/>
                <w:iCs/>
                <w:sz w:val="26"/>
                <w:szCs w:val="26"/>
              </w:rPr>
              <w:t>gada 13.</w:t>
            </w:r>
            <w:r w:rsidR="000252FA" w:rsidRPr="0014306F">
              <w:rPr>
                <w:rFonts w:ascii="Times New Roman" w:hAnsi="Times New Roman" w:cs="Times New Roman"/>
                <w:iCs/>
                <w:sz w:val="26"/>
                <w:szCs w:val="26"/>
              </w:rPr>
              <w:t> </w:t>
            </w:r>
            <w:r w:rsidRPr="00C41CA9">
              <w:rPr>
                <w:rFonts w:ascii="Times New Roman" w:hAnsi="Times New Roman" w:cs="Times New Roman"/>
                <w:iCs/>
                <w:sz w:val="26"/>
                <w:szCs w:val="26"/>
              </w:rPr>
              <w:t>jūlijā publicēts</w:t>
            </w:r>
            <w:r w:rsidRPr="00C41CA9">
              <w:rPr>
                <w:rFonts w:ascii="Times New Roman" w:hAnsi="Times New Roman" w:cs="Times New Roman"/>
                <w:sz w:val="26"/>
                <w:szCs w:val="26"/>
              </w:rPr>
              <w:t xml:space="preserve"> Finanšu ministrijas tīmekļa vietnē sadaļā “Sabiedrības līdzdalība”</w:t>
            </w:r>
            <w:r w:rsidR="00C41CA9">
              <w:rPr>
                <w:rFonts w:ascii="Times New Roman" w:hAnsi="Times New Roman" w:cs="Times New Roman"/>
                <w:sz w:val="26"/>
                <w:szCs w:val="26"/>
              </w:rPr>
              <w:t> </w:t>
            </w:r>
            <w:r w:rsidRPr="00C41CA9">
              <w:rPr>
                <w:rFonts w:ascii="Times New Roman" w:hAnsi="Times New Roman" w:cs="Times New Roman"/>
                <w:sz w:val="26"/>
                <w:szCs w:val="26"/>
              </w:rPr>
              <w:t>– “Tiesību aktu projekti”</w:t>
            </w:r>
            <w:r w:rsidR="000252FA" w:rsidRPr="0014306F">
              <w:rPr>
                <w:rFonts w:ascii="Times New Roman" w:hAnsi="Times New Roman" w:cs="Times New Roman"/>
                <w:sz w:val="26"/>
                <w:szCs w:val="26"/>
              </w:rPr>
              <w:t> </w:t>
            </w:r>
            <w:r w:rsidRPr="00C41CA9">
              <w:rPr>
                <w:rFonts w:ascii="Times New Roman" w:hAnsi="Times New Roman" w:cs="Times New Roman"/>
                <w:sz w:val="26"/>
                <w:szCs w:val="26"/>
              </w:rPr>
              <w:t>–“Nodokļu politika”</w:t>
            </w:r>
            <w:r w:rsidR="00F07CB9" w:rsidRPr="0014306F">
              <w:rPr>
                <w:rFonts w:ascii="Times New Roman" w:hAnsi="Times New Roman" w:cs="Times New Roman"/>
                <w:sz w:val="26"/>
                <w:szCs w:val="26"/>
              </w:rPr>
              <w:t xml:space="preserve"> (</w:t>
            </w:r>
            <w:hyperlink r:id="rId14" w:anchor="project659" w:history="1">
              <w:r w:rsidRPr="00C41CA9">
                <w:rPr>
                  <w:rStyle w:val="Hyperlink"/>
                  <w:rFonts w:ascii="Times New Roman" w:hAnsi="Times New Roman" w:cs="Times New Roman"/>
                  <w:sz w:val="26"/>
                  <w:szCs w:val="26"/>
                </w:rPr>
                <w:t>https://www.fm.gov.lv/lv/sabiedribas_lidzdaliba/tiesibu_aktu_projekti/nodoklu_politika#project659</w:t>
              </w:r>
            </w:hyperlink>
            <w:r w:rsidR="00F07CB9" w:rsidRPr="0014306F">
              <w:rPr>
                <w:rStyle w:val="Hyperlink"/>
                <w:rFonts w:ascii="Times New Roman" w:hAnsi="Times New Roman" w:cs="Times New Roman"/>
                <w:sz w:val="26"/>
                <w:szCs w:val="26"/>
              </w:rPr>
              <w:t>)</w:t>
            </w:r>
            <w:r w:rsidR="00544D11">
              <w:rPr>
                <w:rStyle w:val="Hyperlink"/>
                <w:rFonts w:ascii="Times New Roman" w:hAnsi="Times New Roman" w:cs="Times New Roman"/>
                <w:sz w:val="26"/>
                <w:szCs w:val="26"/>
              </w:rPr>
              <w:t>.</w:t>
            </w:r>
          </w:p>
          <w:p w14:paraId="2266D115" w14:textId="0CA2C04D" w:rsidR="007038A4" w:rsidRPr="00C41CA9" w:rsidRDefault="007038A4" w:rsidP="0014306F">
            <w:pPr>
              <w:pStyle w:val="NormalWeb"/>
              <w:spacing w:line="252" w:lineRule="auto"/>
              <w:jc w:val="both"/>
              <w:rPr>
                <w:rFonts w:ascii="Times New Roman" w:hAnsi="Times New Roman" w:cs="Times New Roman"/>
                <w:sz w:val="26"/>
                <w:szCs w:val="26"/>
              </w:rPr>
            </w:pPr>
            <w:r w:rsidRPr="00C41CA9">
              <w:rPr>
                <w:rFonts w:ascii="Times New Roman" w:hAnsi="Times New Roman" w:cs="Times New Roman"/>
                <w:sz w:val="26"/>
                <w:szCs w:val="26"/>
              </w:rPr>
              <w:t>Noteikumu projekta izstrādes gaitā iesaistīta Latvijas Finanšu nozares asociācija un kredītinformācijas biroji, kas atbalsta Noteikumu projektā iekļauto regulējumu.</w:t>
            </w:r>
          </w:p>
        </w:tc>
      </w:tr>
      <w:tr w:rsidR="007038A4" w:rsidRPr="00F15EA7" w14:paraId="756B0C95" w14:textId="77777777" w:rsidTr="00B96D6E">
        <w:trPr>
          <w:tblCellSpacing w:w="15" w:type="dxa"/>
        </w:trPr>
        <w:tc>
          <w:tcPr>
            <w:tcW w:w="506" w:type="dxa"/>
            <w:tcBorders>
              <w:right w:val="outset" w:sz="6" w:space="0" w:color="auto"/>
            </w:tcBorders>
          </w:tcPr>
          <w:p w14:paraId="15E52EB1" w14:textId="6A0106B1" w:rsidR="007038A4" w:rsidRPr="00C41CA9" w:rsidRDefault="007038A4" w:rsidP="007038A4">
            <w:pPr>
              <w:spacing w:after="0" w:line="240" w:lineRule="auto"/>
              <w:rPr>
                <w:rFonts w:ascii="Times New Roman" w:hAnsi="Times New Roman" w:cs="Times New Roman"/>
                <w:sz w:val="26"/>
                <w:szCs w:val="26"/>
              </w:rPr>
            </w:pPr>
            <w:r w:rsidRPr="00C41CA9">
              <w:rPr>
                <w:rFonts w:ascii="Times New Roman" w:hAnsi="Times New Roman" w:cs="Times New Roman"/>
                <w:sz w:val="26"/>
                <w:szCs w:val="26"/>
              </w:rPr>
              <w:t>3.</w:t>
            </w:r>
          </w:p>
        </w:tc>
        <w:tc>
          <w:tcPr>
            <w:tcW w:w="2277" w:type="dxa"/>
            <w:tcBorders>
              <w:left w:val="outset" w:sz="6" w:space="0" w:color="auto"/>
              <w:right w:val="outset" w:sz="6" w:space="0" w:color="auto"/>
            </w:tcBorders>
          </w:tcPr>
          <w:p w14:paraId="143CEC08" w14:textId="41F6E6B1" w:rsidR="007038A4" w:rsidRPr="00C41CA9" w:rsidRDefault="007038A4" w:rsidP="007038A4">
            <w:pPr>
              <w:spacing w:after="0" w:line="240" w:lineRule="auto"/>
              <w:rPr>
                <w:rFonts w:ascii="Times New Roman" w:hAnsi="Times New Roman" w:cs="Times New Roman"/>
                <w:sz w:val="26"/>
                <w:szCs w:val="26"/>
              </w:rPr>
            </w:pPr>
            <w:r w:rsidRPr="00C41CA9">
              <w:rPr>
                <w:rFonts w:ascii="Times New Roman" w:hAnsi="Times New Roman" w:cs="Times New Roman"/>
                <w:sz w:val="26"/>
                <w:szCs w:val="26"/>
              </w:rPr>
              <w:t>Sabiedrības līdzdalības rezultāti</w:t>
            </w:r>
          </w:p>
        </w:tc>
        <w:tc>
          <w:tcPr>
            <w:tcW w:w="6161" w:type="dxa"/>
            <w:tcBorders>
              <w:left w:val="outset" w:sz="6" w:space="0" w:color="auto"/>
            </w:tcBorders>
          </w:tcPr>
          <w:p w14:paraId="0037BD6F" w14:textId="37FCDCD6" w:rsidR="007038A4" w:rsidRPr="00C41CA9" w:rsidRDefault="007038A4" w:rsidP="00F07CB9">
            <w:pPr>
              <w:jc w:val="both"/>
              <w:rPr>
                <w:rFonts w:ascii="Times New Roman" w:hAnsi="Times New Roman" w:cs="Times New Roman"/>
                <w:iCs/>
                <w:spacing w:val="-2"/>
                <w:sz w:val="26"/>
                <w:szCs w:val="26"/>
              </w:rPr>
            </w:pPr>
            <w:r w:rsidRPr="00C41CA9">
              <w:rPr>
                <w:rFonts w:ascii="Times New Roman" w:hAnsi="Times New Roman" w:cs="Times New Roman"/>
                <w:iCs/>
                <w:sz w:val="26"/>
                <w:szCs w:val="26"/>
              </w:rPr>
              <w:t>Sabiedrības pārstāvju iebildumi un priekšlikumi nav saņemti</w:t>
            </w:r>
            <w:r w:rsidRPr="00C41CA9">
              <w:rPr>
                <w:rFonts w:ascii="Times New Roman" w:hAnsi="Times New Roman" w:cs="Times New Roman"/>
                <w:sz w:val="26"/>
                <w:szCs w:val="26"/>
              </w:rPr>
              <w:t>.</w:t>
            </w:r>
          </w:p>
        </w:tc>
      </w:tr>
      <w:tr w:rsidR="007038A4" w:rsidRPr="00F15EA7" w14:paraId="2C554C56" w14:textId="77777777" w:rsidTr="00B96D6E">
        <w:trPr>
          <w:tblCellSpacing w:w="15" w:type="dxa"/>
        </w:trPr>
        <w:tc>
          <w:tcPr>
            <w:tcW w:w="506" w:type="dxa"/>
            <w:tcBorders>
              <w:right w:val="outset" w:sz="6" w:space="0" w:color="auto"/>
            </w:tcBorders>
          </w:tcPr>
          <w:p w14:paraId="778573E2" w14:textId="4987EDF8" w:rsidR="007038A4" w:rsidRPr="00C41CA9" w:rsidRDefault="007038A4" w:rsidP="007038A4">
            <w:pPr>
              <w:spacing w:after="0" w:line="240" w:lineRule="auto"/>
              <w:rPr>
                <w:rFonts w:ascii="Times New Roman" w:hAnsi="Times New Roman" w:cs="Times New Roman"/>
                <w:sz w:val="26"/>
                <w:szCs w:val="26"/>
              </w:rPr>
            </w:pPr>
            <w:r w:rsidRPr="00C41CA9">
              <w:rPr>
                <w:rFonts w:ascii="Times New Roman" w:hAnsi="Times New Roman" w:cs="Times New Roman"/>
                <w:sz w:val="26"/>
                <w:szCs w:val="26"/>
              </w:rPr>
              <w:t>4.</w:t>
            </w:r>
          </w:p>
        </w:tc>
        <w:tc>
          <w:tcPr>
            <w:tcW w:w="2277" w:type="dxa"/>
            <w:tcBorders>
              <w:left w:val="outset" w:sz="6" w:space="0" w:color="auto"/>
              <w:right w:val="outset" w:sz="6" w:space="0" w:color="auto"/>
            </w:tcBorders>
          </w:tcPr>
          <w:p w14:paraId="55BB93D8" w14:textId="3E8F054A" w:rsidR="007038A4" w:rsidRPr="00C41CA9" w:rsidRDefault="007038A4" w:rsidP="007038A4">
            <w:pPr>
              <w:spacing w:after="0" w:line="240" w:lineRule="auto"/>
              <w:rPr>
                <w:rFonts w:ascii="Times New Roman" w:hAnsi="Times New Roman" w:cs="Times New Roman"/>
                <w:sz w:val="26"/>
                <w:szCs w:val="26"/>
              </w:rPr>
            </w:pPr>
            <w:r w:rsidRPr="00C41CA9">
              <w:rPr>
                <w:rFonts w:ascii="Times New Roman" w:hAnsi="Times New Roman" w:cs="Times New Roman"/>
                <w:sz w:val="26"/>
                <w:szCs w:val="26"/>
              </w:rPr>
              <w:t>Cita informācija</w:t>
            </w:r>
          </w:p>
        </w:tc>
        <w:tc>
          <w:tcPr>
            <w:tcW w:w="6161" w:type="dxa"/>
            <w:tcBorders>
              <w:left w:val="outset" w:sz="6" w:space="0" w:color="auto"/>
            </w:tcBorders>
          </w:tcPr>
          <w:p w14:paraId="1823B14B" w14:textId="0FCABD14" w:rsidR="007038A4" w:rsidRPr="00C41CA9" w:rsidRDefault="007038A4" w:rsidP="007038A4">
            <w:pPr>
              <w:jc w:val="both"/>
              <w:rPr>
                <w:rFonts w:ascii="Times New Roman" w:hAnsi="Times New Roman" w:cs="Times New Roman"/>
                <w:iCs/>
                <w:spacing w:val="-2"/>
                <w:sz w:val="26"/>
                <w:szCs w:val="26"/>
              </w:rPr>
            </w:pPr>
            <w:r w:rsidRPr="00C41CA9">
              <w:rPr>
                <w:rFonts w:ascii="Times New Roman" w:hAnsi="Times New Roman" w:cs="Times New Roman"/>
                <w:sz w:val="26"/>
                <w:szCs w:val="26"/>
              </w:rPr>
              <w:t>Nav.</w:t>
            </w:r>
          </w:p>
        </w:tc>
      </w:tr>
    </w:tbl>
    <w:tbl>
      <w:tblPr>
        <w:tblpPr w:leftFromText="180" w:rightFromText="180" w:vertAnchor="text" w:horzAnchor="margin" w:tblpY="-151"/>
        <w:tblW w:w="5005"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5"/>
        <w:gridCol w:w="2078"/>
        <w:gridCol w:w="6411"/>
      </w:tblGrid>
      <w:tr w:rsidR="006865DA" w:rsidRPr="00F15EA7" w14:paraId="1B930850" w14:textId="77777777" w:rsidTr="00B96D6E">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7F37D27D" w14:textId="38D91860" w:rsidR="006865DA" w:rsidRPr="00F15EA7" w:rsidRDefault="006865DA" w:rsidP="00544D11">
            <w:pPr>
              <w:spacing w:after="0" w:line="240" w:lineRule="auto"/>
              <w:rPr>
                <w:rFonts w:ascii="Times New Roman" w:hAnsi="Times New Roman" w:cs="Times New Roman"/>
                <w:b/>
                <w:sz w:val="26"/>
                <w:szCs w:val="26"/>
              </w:rPr>
            </w:pPr>
            <w:r w:rsidRPr="00F15EA7">
              <w:rPr>
                <w:rFonts w:ascii="Times New Roman" w:hAnsi="Times New Roman" w:cs="Times New Roman"/>
                <w:b/>
                <w:sz w:val="26"/>
                <w:szCs w:val="26"/>
              </w:rPr>
              <w:lastRenderedPageBreak/>
              <w:t>VII.</w:t>
            </w:r>
            <w:r w:rsidR="00544D11">
              <w:rPr>
                <w:rFonts w:ascii="Times New Roman" w:hAnsi="Times New Roman" w:cs="Times New Roman"/>
                <w:b/>
                <w:sz w:val="26"/>
                <w:szCs w:val="26"/>
              </w:rPr>
              <w:t> </w:t>
            </w:r>
            <w:r w:rsidRPr="00F15EA7">
              <w:rPr>
                <w:rFonts w:ascii="Times New Roman" w:hAnsi="Times New Roman" w:cs="Times New Roman"/>
                <w:b/>
                <w:sz w:val="26"/>
                <w:szCs w:val="26"/>
              </w:rPr>
              <w:t>Tiesību akta projekta izpildes nodrošināšana un tās ietekme uz institūcijām</w:t>
            </w:r>
          </w:p>
        </w:tc>
      </w:tr>
      <w:tr w:rsidR="006865DA" w:rsidRPr="00F15EA7" w14:paraId="76AE6819" w14:textId="77777777" w:rsidTr="00B96D6E">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72B2A520" w14:textId="77777777" w:rsidR="006865DA" w:rsidRPr="00C41CA9" w:rsidRDefault="006865DA" w:rsidP="006865DA">
            <w:pPr>
              <w:spacing w:after="0" w:line="240" w:lineRule="auto"/>
              <w:rPr>
                <w:rFonts w:ascii="Times New Roman" w:hAnsi="Times New Roman" w:cs="Times New Roman"/>
                <w:sz w:val="26"/>
                <w:szCs w:val="26"/>
              </w:rPr>
            </w:pPr>
            <w:r w:rsidRPr="00C41CA9">
              <w:rPr>
                <w:rFonts w:ascii="Times New Roman" w:hAnsi="Times New Roman" w:cs="Times New Roman"/>
                <w:sz w:val="26"/>
                <w:szCs w:val="26"/>
              </w:rPr>
              <w:t>1.</w:t>
            </w:r>
          </w:p>
        </w:tc>
        <w:tc>
          <w:tcPr>
            <w:tcW w:w="1137" w:type="pct"/>
            <w:tcBorders>
              <w:top w:val="outset" w:sz="6" w:space="0" w:color="auto"/>
              <w:left w:val="outset" w:sz="6" w:space="0" w:color="auto"/>
              <w:bottom w:val="outset" w:sz="6" w:space="0" w:color="auto"/>
              <w:right w:val="outset" w:sz="6" w:space="0" w:color="auto"/>
            </w:tcBorders>
            <w:hideMark/>
          </w:tcPr>
          <w:p w14:paraId="4A75A214" w14:textId="77777777" w:rsidR="006865DA" w:rsidRPr="00C41CA9" w:rsidRDefault="006865DA" w:rsidP="006865DA">
            <w:pPr>
              <w:spacing w:after="0" w:line="240" w:lineRule="auto"/>
              <w:rPr>
                <w:rFonts w:ascii="Times New Roman" w:hAnsi="Times New Roman" w:cs="Times New Roman"/>
                <w:sz w:val="26"/>
                <w:szCs w:val="26"/>
              </w:rPr>
            </w:pPr>
            <w:r w:rsidRPr="00C41CA9">
              <w:rPr>
                <w:rFonts w:ascii="Times New Roman" w:hAnsi="Times New Roman" w:cs="Times New Roman"/>
                <w:sz w:val="26"/>
                <w:szCs w:val="26"/>
              </w:rPr>
              <w:t>Projekta izpildē iesaistītās institūcijas</w:t>
            </w:r>
          </w:p>
        </w:tc>
        <w:tc>
          <w:tcPr>
            <w:tcW w:w="3502" w:type="pct"/>
            <w:tcBorders>
              <w:top w:val="outset" w:sz="6" w:space="0" w:color="auto"/>
              <w:left w:val="outset" w:sz="6" w:space="0" w:color="auto"/>
              <w:bottom w:val="outset" w:sz="6" w:space="0" w:color="auto"/>
              <w:right w:val="outset" w:sz="6" w:space="0" w:color="auto"/>
            </w:tcBorders>
            <w:hideMark/>
          </w:tcPr>
          <w:p w14:paraId="1DD7B102" w14:textId="77777777" w:rsidR="006865DA" w:rsidRPr="00C41CA9" w:rsidRDefault="00A86078" w:rsidP="00A47178">
            <w:pPr>
              <w:spacing w:after="0" w:line="240" w:lineRule="auto"/>
              <w:rPr>
                <w:rFonts w:ascii="Times New Roman" w:eastAsia="Times New Roman" w:hAnsi="Times New Roman" w:cs="Times New Roman"/>
                <w:sz w:val="26"/>
                <w:szCs w:val="26"/>
                <w:lang w:eastAsia="lv-LV"/>
              </w:rPr>
            </w:pPr>
            <w:r w:rsidRPr="00C41CA9">
              <w:rPr>
                <w:rFonts w:ascii="Times New Roman" w:hAnsi="Times New Roman" w:cs="Times New Roman"/>
                <w:sz w:val="26"/>
                <w:szCs w:val="26"/>
              </w:rPr>
              <w:t>VID</w:t>
            </w:r>
            <w:r w:rsidR="00A47178" w:rsidRPr="00C41CA9">
              <w:rPr>
                <w:rFonts w:ascii="Times New Roman" w:hAnsi="Times New Roman" w:cs="Times New Roman"/>
                <w:sz w:val="26"/>
                <w:szCs w:val="26"/>
              </w:rPr>
              <w:t xml:space="preserve">, </w:t>
            </w:r>
            <w:r w:rsidR="008D47A7" w:rsidRPr="00C41CA9">
              <w:rPr>
                <w:rFonts w:ascii="Times New Roman" w:hAnsi="Times New Roman" w:cs="Times New Roman"/>
                <w:color w:val="000000" w:themeColor="text1"/>
                <w:sz w:val="26"/>
                <w:szCs w:val="26"/>
              </w:rPr>
              <w:t>Finanšu ministrija</w:t>
            </w:r>
            <w:r w:rsidR="006865DA" w:rsidRPr="00C41CA9">
              <w:rPr>
                <w:rFonts w:ascii="Times New Roman" w:hAnsi="Times New Roman" w:cs="Times New Roman"/>
                <w:sz w:val="26"/>
                <w:szCs w:val="26"/>
              </w:rPr>
              <w:t>.</w:t>
            </w:r>
          </w:p>
        </w:tc>
      </w:tr>
      <w:tr w:rsidR="006865DA" w:rsidRPr="00F15EA7" w14:paraId="7577C1C2" w14:textId="77777777" w:rsidTr="00B96D6E">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1BDC8723" w14:textId="77777777" w:rsidR="006865DA" w:rsidRPr="00C41CA9" w:rsidRDefault="006865DA" w:rsidP="006865DA">
            <w:pPr>
              <w:spacing w:after="0" w:line="240" w:lineRule="auto"/>
              <w:rPr>
                <w:rFonts w:ascii="Times New Roman" w:hAnsi="Times New Roman" w:cs="Times New Roman"/>
                <w:sz w:val="26"/>
                <w:szCs w:val="26"/>
              </w:rPr>
            </w:pPr>
            <w:r w:rsidRPr="00C41CA9">
              <w:rPr>
                <w:rFonts w:ascii="Times New Roman" w:hAnsi="Times New Roman" w:cs="Times New Roman"/>
                <w:sz w:val="26"/>
                <w:szCs w:val="26"/>
              </w:rPr>
              <w:t>2.</w:t>
            </w:r>
          </w:p>
        </w:tc>
        <w:tc>
          <w:tcPr>
            <w:tcW w:w="1137" w:type="pct"/>
            <w:tcBorders>
              <w:top w:val="outset" w:sz="6" w:space="0" w:color="auto"/>
              <w:left w:val="outset" w:sz="6" w:space="0" w:color="auto"/>
              <w:bottom w:val="outset" w:sz="6" w:space="0" w:color="auto"/>
              <w:right w:val="outset" w:sz="6" w:space="0" w:color="auto"/>
            </w:tcBorders>
            <w:hideMark/>
          </w:tcPr>
          <w:p w14:paraId="76390D86" w14:textId="77777777" w:rsidR="006865DA" w:rsidRPr="00C41CA9" w:rsidRDefault="006865DA" w:rsidP="006865DA">
            <w:pPr>
              <w:spacing w:after="0" w:line="240" w:lineRule="auto"/>
              <w:rPr>
                <w:rFonts w:ascii="Times New Roman" w:hAnsi="Times New Roman" w:cs="Times New Roman"/>
                <w:sz w:val="26"/>
                <w:szCs w:val="26"/>
              </w:rPr>
            </w:pPr>
            <w:r w:rsidRPr="00C41CA9">
              <w:rPr>
                <w:rFonts w:ascii="Times New Roman" w:hAnsi="Times New Roman" w:cs="Times New Roman"/>
                <w:sz w:val="26"/>
                <w:szCs w:val="26"/>
              </w:rPr>
              <w:t>Projekta izpildes ietekme uz pārvaldes funkcijām un institucionālo struktūru.</w:t>
            </w:r>
            <w:r w:rsidRPr="00C41CA9">
              <w:rPr>
                <w:rFonts w:ascii="Times New Roman" w:hAnsi="Times New Roman" w:cs="Times New Roman"/>
                <w:sz w:val="26"/>
                <w:szCs w:val="26"/>
              </w:rPr>
              <w:br/>
              <w:t>Jaunu institūciju izveide, esošu institūciju likvidācija vai reorganizācija, to ietekme uz institūcijas cilvēkresursiem</w:t>
            </w:r>
          </w:p>
        </w:tc>
        <w:tc>
          <w:tcPr>
            <w:tcW w:w="3502" w:type="pct"/>
            <w:tcBorders>
              <w:top w:val="outset" w:sz="6" w:space="0" w:color="auto"/>
              <w:left w:val="outset" w:sz="6" w:space="0" w:color="auto"/>
              <w:bottom w:val="outset" w:sz="6" w:space="0" w:color="auto"/>
              <w:right w:val="outset" w:sz="6" w:space="0" w:color="auto"/>
            </w:tcBorders>
            <w:hideMark/>
          </w:tcPr>
          <w:p w14:paraId="05C8B649" w14:textId="41EED9FF" w:rsidR="00F15EA7" w:rsidRPr="00C41CA9" w:rsidRDefault="0018002C" w:rsidP="00F15EA7">
            <w:pPr>
              <w:shd w:val="clear" w:color="auto" w:fill="FFFFFF"/>
              <w:jc w:val="both"/>
              <w:rPr>
                <w:rFonts w:ascii="Times New Roman" w:hAnsi="Times New Roman" w:cs="Times New Roman"/>
                <w:sz w:val="26"/>
                <w:szCs w:val="26"/>
              </w:rPr>
            </w:pPr>
            <w:r w:rsidRPr="00C41CA9">
              <w:rPr>
                <w:rFonts w:ascii="Times New Roman" w:hAnsi="Times New Roman" w:cs="Times New Roman"/>
                <w:sz w:val="26"/>
                <w:szCs w:val="26"/>
              </w:rPr>
              <w:t>Noteikumu p</w:t>
            </w:r>
            <w:r w:rsidR="00F15EA7" w:rsidRPr="00C41CA9">
              <w:rPr>
                <w:rFonts w:ascii="Times New Roman" w:hAnsi="Times New Roman" w:cs="Times New Roman"/>
                <w:sz w:val="26"/>
                <w:szCs w:val="26"/>
              </w:rPr>
              <w:t>rojekts nepaplašina iestādes</w:t>
            </w:r>
            <w:r w:rsidR="00A86078" w:rsidRPr="00C41CA9">
              <w:rPr>
                <w:rFonts w:ascii="Times New Roman" w:hAnsi="Times New Roman" w:cs="Times New Roman"/>
                <w:sz w:val="26"/>
                <w:szCs w:val="26"/>
              </w:rPr>
              <w:t xml:space="preserve"> funkcijas</w:t>
            </w:r>
            <w:r w:rsidR="00F15EA7" w:rsidRPr="00C41CA9">
              <w:rPr>
                <w:rFonts w:ascii="Times New Roman" w:hAnsi="Times New Roman" w:cs="Times New Roman"/>
                <w:sz w:val="26"/>
                <w:szCs w:val="26"/>
              </w:rPr>
              <w:t xml:space="preserve">. </w:t>
            </w:r>
          </w:p>
          <w:p w14:paraId="0005B184" w14:textId="0FBB6E2C" w:rsidR="004B1368" w:rsidRPr="00C41CA9" w:rsidRDefault="0018002C" w:rsidP="0018002C">
            <w:pPr>
              <w:shd w:val="clear" w:color="auto" w:fill="FFFFFF"/>
              <w:jc w:val="both"/>
              <w:rPr>
                <w:rFonts w:ascii="Times New Roman" w:hAnsi="Times New Roman" w:cs="Times New Roman"/>
                <w:sz w:val="26"/>
                <w:szCs w:val="26"/>
              </w:rPr>
            </w:pPr>
            <w:r w:rsidRPr="00C41CA9">
              <w:rPr>
                <w:rFonts w:ascii="Times New Roman" w:hAnsi="Times New Roman" w:cs="Times New Roman"/>
                <w:sz w:val="26"/>
                <w:szCs w:val="26"/>
              </w:rPr>
              <w:t>Noteikumu p</w:t>
            </w:r>
            <w:r w:rsidR="00F15EA7" w:rsidRPr="00C41CA9">
              <w:rPr>
                <w:rFonts w:ascii="Times New Roman" w:hAnsi="Times New Roman" w:cs="Times New Roman"/>
                <w:sz w:val="26"/>
                <w:szCs w:val="26"/>
              </w:rPr>
              <w:t xml:space="preserve">rojektam nav ietekmes uz jaunu institūciju izveidi, esošu institūciju likvidāciju vai reorganizāciju. Nav nepieciešams veidot jaunas darba vietas, </w:t>
            </w:r>
            <w:r w:rsidRPr="00C41CA9">
              <w:rPr>
                <w:rFonts w:ascii="Times New Roman" w:hAnsi="Times New Roman" w:cs="Times New Roman"/>
                <w:sz w:val="26"/>
                <w:szCs w:val="26"/>
              </w:rPr>
              <w:t xml:space="preserve">Noteikumu </w:t>
            </w:r>
            <w:r w:rsidR="00F15EA7" w:rsidRPr="00C41CA9">
              <w:rPr>
                <w:rFonts w:ascii="Times New Roman" w:hAnsi="Times New Roman" w:cs="Times New Roman"/>
                <w:sz w:val="26"/>
                <w:szCs w:val="26"/>
              </w:rPr>
              <w:t>projektā noteiktās prasības paredzēts īstenot esošo cilvēkresursu ietvaros</w:t>
            </w:r>
            <w:r w:rsidR="00F15EA7" w:rsidRPr="00C41CA9">
              <w:rPr>
                <w:rFonts w:ascii="Times New Roman" w:hAnsi="Times New Roman" w:cs="Times New Roman"/>
                <w:sz w:val="26"/>
                <w:szCs w:val="26"/>
                <w:lang w:eastAsia="lv-LV"/>
              </w:rPr>
              <w:t>.</w:t>
            </w:r>
            <w:r w:rsidR="00F15EA7" w:rsidRPr="00C41CA9">
              <w:rPr>
                <w:rFonts w:ascii="Times New Roman" w:eastAsia="Times New Roman" w:hAnsi="Times New Roman" w:cs="Times New Roman"/>
                <w:sz w:val="26"/>
                <w:szCs w:val="26"/>
                <w:lang w:eastAsia="lv-LV"/>
              </w:rPr>
              <w:t xml:space="preserve"> </w:t>
            </w:r>
          </w:p>
        </w:tc>
      </w:tr>
      <w:tr w:rsidR="006865DA" w:rsidRPr="00F15EA7" w14:paraId="307AD870" w14:textId="77777777" w:rsidTr="00B96D6E">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0E512126" w14:textId="77777777" w:rsidR="006865DA" w:rsidRPr="00C41CA9" w:rsidRDefault="006865DA" w:rsidP="006865DA">
            <w:pPr>
              <w:spacing w:after="0" w:line="240" w:lineRule="auto"/>
              <w:rPr>
                <w:rFonts w:ascii="Times New Roman" w:hAnsi="Times New Roman" w:cs="Times New Roman"/>
                <w:sz w:val="26"/>
                <w:szCs w:val="26"/>
              </w:rPr>
            </w:pPr>
            <w:r w:rsidRPr="00C41CA9">
              <w:rPr>
                <w:rFonts w:ascii="Times New Roman" w:hAnsi="Times New Roman" w:cs="Times New Roman"/>
                <w:sz w:val="26"/>
                <w:szCs w:val="26"/>
              </w:rPr>
              <w:t>3.</w:t>
            </w:r>
          </w:p>
        </w:tc>
        <w:tc>
          <w:tcPr>
            <w:tcW w:w="1137" w:type="pct"/>
            <w:tcBorders>
              <w:top w:val="outset" w:sz="6" w:space="0" w:color="auto"/>
              <w:left w:val="outset" w:sz="6" w:space="0" w:color="auto"/>
              <w:bottom w:val="outset" w:sz="6" w:space="0" w:color="auto"/>
              <w:right w:val="outset" w:sz="6" w:space="0" w:color="auto"/>
            </w:tcBorders>
            <w:hideMark/>
          </w:tcPr>
          <w:p w14:paraId="59715ED5" w14:textId="77777777" w:rsidR="006865DA" w:rsidRPr="00C41CA9" w:rsidRDefault="006865DA" w:rsidP="006865DA">
            <w:pPr>
              <w:spacing w:after="0" w:line="240" w:lineRule="auto"/>
              <w:rPr>
                <w:rFonts w:ascii="Times New Roman" w:hAnsi="Times New Roman" w:cs="Times New Roman"/>
                <w:sz w:val="26"/>
                <w:szCs w:val="26"/>
              </w:rPr>
            </w:pPr>
            <w:r w:rsidRPr="00C41CA9">
              <w:rPr>
                <w:rFonts w:ascii="Times New Roman" w:hAnsi="Times New Roman" w:cs="Times New Roman"/>
                <w:sz w:val="26"/>
                <w:szCs w:val="26"/>
              </w:rPr>
              <w:t>Cita informācija</w:t>
            </w:r>
          </w:p>
        </w:tc>
        <w:tc>
          <w:tcPr>
            <w:tcW w:w="3502" w:type="pct"/>
            <w:tcBorders>
              <w:top w:val="outset" w:sz="6" w:space="0" w:color="auto"/>
              <w:left w:val="outset" w:sz="6" w:space="0" w:color="auto"/>
              <w:bottom w:val="outset" w:sz="6" w:space="0" w:color="auto"/>
              <w:right w:val="outset" w:sz="6" w:space="0" w:color="auto"/>
            </w:tcBorders>
            <w:hideMark/>
          </w:tcPr>
          <w:p w14:paraId="6D4FFBC6" w14:textId="77777777" w:rsidR="006865DA" w:rsidRPr="00C41CA9" w:rsidRDefault="000D5AA0" w:rsidP="006865DA">
            <w:pPr>
              <w:spacing w:after="0" w:line="240" w:lineRule="auto"/>
              <w:rPr>
                <w:rFonts w:ascii="Times New Roman" w:hAnsi="Times New Roman" w:cs="Times New Roman"/>
                <w:sz w:val="26"/>
                <w:szCs w:val="26"/>
              </w:rPr>
            </w:pPr>
            <w:r w:rsidRPr="00C41CA9">
              <w:rPr>
                <w:rFonts w:ascii="Times New Roman" w:hAnsi="Times New Roman" w:cs="Times New Roman"/>
                <w:sz w:val="26"/>
                <w:szCs w:val="26"/>
              </w:rPr>
              <w:t>Nav</w:t>
            </w:r>
            <w:r w:rsidR="00A32B9A" w:rsidRPr="00C41CA9">
              <w:rPr>
                <w:rFonts w:ascii="Times New Roman" w:hAnsi="Times New Roman" w:cs="Times New Roman"/>
                <w:sz w:val="26"/>
                <w:szCs w:val="26"/>
              </w:rPr>
              <w:t>.</w:t>
            </w:r>
          </w:p>
        </w:tc>
      </w:tr>
    </w:tbl>
    <w:p w14:paraId="73CDFDC0" w14:textId="77777777" w:rsidR="00E13DC4" w:rsidRDefault="00E13DC4" w:rsidP="006C6BCE">
      <w:pPr>
        <w:spacing w:after="0" w:line="240" w:lineRule="auto"/>
        <w:rPr>
          <w:rFonts w:ascii="Times New Roman" w:hAnsi="Times New Roman" w:cs="Times New Roman"/>
          <w:sz w:val="28"/>
          <w:szCs w:val="28"/>
        </w:rPr>
      </w:pPr>
    </w:p>
    <w:p w14:paraId="408CB060" w14:textId="0B5FAC4C" w:rsidR="006C6BCE" w:rsidRPr="00591A4B" w:rsidRDefault="00D32E06" w:rsidP="00544D11">
      <w:pPr>
        <w:tabs>
          <w:tab w:val="left" w:pos="7371"/>
        </w:tabs>
        <w:spacing w:after="0" w:line="240" w:lineRule="auto"/>
        <w:rPr>
          <w:rFonts w:ascii="Times New Roman" w:hAnsi="Times New Roman" w:cs="Times New Roman"/>
          <w:sz w:val="28"/>
          <w:szCs w:val="28"/>
        </w:rPr>
      </w:pPr>
      <w:r>
        <w:rPr>
          <w:rFonts w:ascii="Times New Roman" w:hAnsi="Times New Roman" w:cs="Times New Roman"/>
          <w:sz w:val="28"/>
          <w:szCs w:val="28"/>
        </w:rPr>
        <w:t>Finanšu</w:t>
      </w:r>
      <w:r w:rsidR="006C6BCE" w:rsidRPr="00591A4B">
        <w:rPr>
          <w:rFonts w:ascii="Times New Roman" w:hAnsi="Times New Roman" w:cs="Times New Roman"/>
          <w:sz w:val="28"/>
          <w:szCs w:val="28"/>
        </w:rPr>
        <w:t xml:space="preserve"> ministrs</w:t>
      </w:r>
      <w:r w:rsidR="006C6BCE" w:rsidRPr="00591A4B">
        <w:rPr>
          <w:rFonts w:ascii="Times New Roman" w:hAnsi="Times New Roman" w:cs="Times New Roman"/>
          <w:sz w:val="28"/>
          <w:szCs w:val="28"/>
        </w:rPr>
        <w:tab/>
      </w:r>
      <w:r>
        <w:rPr>
          <w:rFonts w:ascii="Times New Roman" w:hAnsi="Times New Roman" w:cs="Times New Roman"/>
          <w:sz w:val="28"/>
          <w:szCs w:val="28"/>
        </w:rPr>
        <w:t>Jānis Reirs</w:t>
      </w:r>
    </w:p>
    <w:p w14:paraId="70573601" w14:textId="77777777" w:rsidR="00516D94" w:rsidRDefault="00516D94" w:rsidP="006C6BCE">
      <w:pPr>
        <w:spacing w:after="0" w:line="240" w:lineRule="auto"/>
        <w:rPr>
          <w:rFonts w:ascii="Times New Roman" w:hAnsi="Times New Roman" w:cs="Times New Roman"/>
          <w:sz w:val="28"/>
          <w:szCs w:val="28"/>
        </w:rPr>
      </w:pPr>
    </w:p>
    <w:p w14:paraId="5CBFAA1D" w14:textId="76EA5D5B" w:rsidR="006C6BCE" w:rsidRPr="00591A4B" w:rsidRDefault="006C6BCE" w:rsidP="00544D11">
      <w:pPr>
        <w:tabs>
          <w:tab w:val="left" w:pos="7371"/>
        </w:tabs>
        <w:spacing w:after="0" w:line="240" w:lineRule="auto"/>
        <w:rPr>
          <w:rFonts w:ascii="Times New Roman" w:hAnsi="Times New Roman" w:cs="Times New Roman"/>
          <w:sz w:val="28"/>
          <w:szCs w:val="28"/>
        </w:rPr>
      </w:pPr>
      <w:r w:rsidRPr="00591A4B">
        <w:rPr>
          <w:rFonts w:ascii="Times New Roman" w:hAnsi="Times New Roman" w:cs="Times New Roman"/>
          <w:sz w:val="28"/>
          <w:szCs w:val="28"/>
        </w:rPr>
        <w:t>Vīza: Valsts sekretār</w:t>
      </w:r>
      <w:r w:rsidR="00F07CB9">
        <w:rPr>
          <w:rFonts w:ascii="Times New Roman" w:hAnsi="Times New Roman" w:cs="Times New Roman"/>
          <w:sz w:val="28"/>
          <w:szCs w:val="28"/>
        </w:rPr>
        <w:t>e</w:t>
      </w:r>
      <w:r w:rsidR="00544D11">
        <w:rPr>
          <w:rFonts w:ascii="Times New Roman" w:hAnsi="Times New Roman" w:cs="Times New Roman"/>
          <w:sz w:val="28"/>
          <w:szCs w:val="28"/>
        </w:rPr>
        <w:tab/>
      </w:r>
      <w:r w:rsidR="00D32E06">
        <w:rPr>
          <w:rFonts w:ascii="Times New Roman" w:hAnsi="Times New Roman" w:cs="Times New Roman"/>
          <w:sz w:val="28"/>
          <w:szCs w:val="28"/>
        </w:rPr>
        <w:t>Baiba Bāne</w:t>
      </w:r>
    </w:p>
    <w:p w14:paraId="3FEE0E26" w14:textId="77777777" w:rsidR="00A86078" w:rsidRDefault="00A86078" w:rsidP="00BE0136">
      <w:pPr>
        <w:tabs>
          <w:tab w:val="left" w:pos="6237"/>
        </w:tabs>
        <w:spacing w:after="0" w:line="240" w:lineRule="auto"/>
        <w:rPr>
          <w:rFonts w:ascii="Times New Roman" w:hAnsi="Times New Roman" w:cs="Times New Roman"/>
          <w:sz w:val="28"/>
          <w:szCs w:val="28"/>
        </w:rPr>
      </w:pPr>
    </w:p>
    <w:p w14:paraId="2AA1AC0F" w14:textId="77777777" w:rsidR="00846B5A" w:rsidRDefault="00846B5A" w:rsidP="00BE0136">
      <w:pPr>
        <w:tabs>
          <w:tab w:val="left" w:pos="6237"/>
        </w:tabs>
        <w:spacing w:after="0" w:line="240" w:lineRule="auto"/>
        <w:rPr>
          <w:rFonts w:ascii="Times New Roman" w:hAnsi="Times New Roman" w:cs="Times New Roman"/>
          <w:sz w:val="28"/>
          <w:szCs w:val="28"/>
        </w:rPr>
      </w:pPr>
    </w:p>
    <w:p w14:paraId="175296A4" w14:textId="77777777" w:rsidR="00800A5C" w:rsidRPr="0014306F" w:rsidRDefault="008D47A7" w:rsidP="00800A5C">
      <w:pPr>
        <w:spacing w:after="0" w:line="240" w:lineRule="auto"/>
        <w:rPr>
          <w:rFonts w:ascii="Times New Roman" w:eastAsia="Times New Roman" w:hAnsi="Times New Roman" w:cs="Times New Roman"/>
          <w:sz w:val="24"/>
          <w:szCs w:val="24"/>
        </w:rPr>
      </w:pPr>
      <w:r w:rsidRPr="0014306F">
        <w:rPr>
          <w:rFonts w:ascii="Times New Roman" w:eastAsia="Times New Roman" w:hAnsi="Times New Roman" w:cs="Times New Roman"/>
          <w:sz w:val="24"/>
          <w:szCs w:val="24"/>
        </w:rPr>
        <w:t>Rūbežnīks</w:t>
      </w:r>
      <w:r w:rsidR="003E5263" w:rsidRPr="0014306F">
        <w:rPr>
          <w:rFonts w:ascii="Times New Roman" w:eastAsia="Times New Roman" w:hAnsi="Times New Roman" w:cs="Times New Roman"/>
          <w:sz w:val="24"/>
          <w:szCs w:val="24"/>
        </w:rPr>
        <w:t xml:space="preserve"> 67121841</w:t>
      </w:r>
    </w:p>
    <w:p w14:paraId="5669C73A" w14:textId="77777777" w:rsidR="00D32E06" w:rsidRPr="0014306F" w:rsidRDefault="008D47A7" w:rsidP="00B51314">
      <w:pPr>
        <w:spacing w:after="0" w:line="240" w:lineRule="auto"/>
        <w:rPr>
          <w:rFonts w:ascii="Times New Roman" w:hAnsi="Times New Roman"/>
          <w:sz w:val="24"/>
          <w:szCs w:val="24"/>
        </w:rPr>
      </w:pPr>
      <w:r w:rsidRPr="0014306F">
        <w:rPr>
          <w:rFonts w:ascii="Times New Roman" w:hAnsi="Times New Roman" w:cs="Times New Roman"/>
          <w:sz w:val="24"/>
          <w:szCs w:val="24"/>
        </w:rPr>
        <w:t>Uldis.Rubezniks@vid.gov.lv</w:t>
      </w:r>
    </w:p>
    <w:sectPr w:rsidR="00D32E06" w:rsidRPr="0014306F" w:rsidSect="00544D11">
      <w:headerReference w:type="default" r:id="rId15"/>
      <w:footerReference w:type="default" r:id="rId16"/>
      <w:footerReference w:type="first" r:id="rId17"/>
      <w:pgSz w:w="11906" w:h="16838"/>
      <w:pgMar w:top="1134" w:right="1134" w:bottom="1134" w:left="1701" w:header="709"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E661F" w14:textId="77777777" w:rsidR="00CC2F78" w:rsidRDefault="00CC2F78" w:rsidP="00894C55">
      <w:pPr>
        <w:spacing w:after="0" w:line="240" w:lineRule="auto"/>
      </w:pPr>
      <w:r>
        <w:separator/>
      </w:r>
    </w:p>
  </w:endnote>
  <w:endnote w:type="continuationSeparator" w:id="0">
    <w:p w14:paraId="342FDD7F" w14:textId="77777777" w:rsidR="00CC2F78" w:rsidRDefault="00CC2F78" w:rsidP="00894C55">
      <w:pPr>
        <w:spacing w:after="0" w:line="240" w:lineRule="auto"/>
      </w:pPr>
      <w:r>
        <w:continuationSeparator/>
      </w:r>
    </w:p>
  </w:endnote>
  <w:endnote w:type="continuationNotice" w:id="1">
    <w:p w14:paraId="61276A4E" w14:textId="77777777" w:rsidR="00CC2F78" w:rsidRDefault="00CC2F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3D522" w14:textId="77777777" w:rsidR="000252FA" w:rsidRPr="00A3304F" w:rsidRDefault="000252FA" w:rsidP="00A3304F">
    <w:pPr>
      <w:pStyle w:val="Footer"/>
      <w:rPr>
        <w:rFonts w:ascii="Times New Roman" w:hAnsi="Times New Roman" w:cs="Times New Roman"/>
        <w:sz w:val="20"/>
        <w:szCs w:val="20"/>
      </w:rPr>
    </w:pPr>
    <w:r w:rsidRPr="00A3304F">
      <w:rPr>
        <w:rFonts w:ascii="Times New Roman" w:hAnsi="Times New Roman" w:cs="Times New Roman"/>
        <w:sz w:val="20"/>
        <w:szCs w:val="20"/>
      </w:rPr>
      <w:fldChar w:fldCharType="begin"/>
    </w:r>
    <w:r w:rsidRPr="00A3304F">
      <w:rPr>
        <w:rFonts w:ascii="Times New Roman" w:hAnsi="Times New Roman" w:cs="Times New Roman"/>
        <w:sz w:val="20"/>
        <w:szCs w:val="20"/>
      </w:rPr>
      <w:instrText xml:space="preserve"> FILENAME   \* MERGEFORMAT </w:instrText>
    </w:r>
    <w:r w:rsidRPr="00A3304F">
      <w:rPr>
        <w:rFonts w:ascii="Times New Roman" w:hAnsi="Times New Roman" w:cs="Times New Roman"/>
        <w:sz w:val="20"/>
        <w:szCs w:val="20"/>
      </w:rPr>
      <w:fldChar w:fldCharType="separate"/>
    </w:r>
    <w:r>
      <w:rPr>
        <w:rFonts w:ascii="Times New Roman" w:hAnsi="Times New Roman" w:cs="Times New Roman"/>
        <w:noProof/>
        <w:sz w:val="20"/>
        <w:szCs w:val="20"/>
      </w:rPr>
      <w:t>FMAnot_300920_groz_MK 760</w:t>
    </w:r>
    <w:r w:rsidRPr="00A3304F">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16163" w14:textId="77777777" w:rsidR="000252FA" w:rsidRPr="00B51314" w:rsidRDefault="000252FA" w:rsidP="009A1C86">
    <w:pPr>
      <w:pStyle w:val="Footer"/>
      <w:rPr>
        <w:rFonts w:ascii="Times New Roman" w:hAnsi="Times New Roman" w:cs="Times New Roman"/>
        <w:sz w:val="20"/>
        <w:szCs w:val="20"/>
      </w:rPr>
    </w:pPr>
    <w:r w:rsidRPr="009A1C86">
      <w:rPr>
        <w:rFonts w:ascii="Times New Roman" w:hAnsi="Times New Roman" w:cs="Times New Roman"/>
        <w:sz w:val="20"/>
        <w:szCs w:val="20"/>
      </w:rPr>
      <w:t>FMAnot_300920_groz_MK 760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741BB" w14:textId="77777777" w:rsidR="00CC2F78" w:rsidRDefault="00CC2F78" w:rsidP="00894C55">
      <w:pPr>
        <w:spacing w:after="0" w:line="240" w:lineRule="auto"/>
      </w:pPr>
      <w:r>
        <w:separator/>
      </w:r>
    </w:p>
  </w:footnote>
  <w:footnote w:type="continuationSeparator" w:id="0">
    <w:p w14:paraId="65A24957" w14:textId="77777777" w:rsidR="00CC2F78" w:rsidRDefault="00CC2F78" w:rsidP="00894C55">
      <w:pPr>
        <w:spacing w:after="0" w:line="240" w:lineRule="auto"/>
      </w:pPr>
      <w:r>
        <w:continuationSeparator/>
      </w:r>
    </w:p>
  </w:footnote>
  <w:footnote w:type="continuationNotice" w:id="1">
    <w:p w14:paraId="62F9FBDF" w14:textId="77777777" w:rsidR="00CC2F78" w:rsidRDefault="00CC2F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613E0E55" w14:textId="5D216701" w:rsidR="000252FA" w:rsidRPr="00C25B49" w:rsidRDefault="000252FA">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544D11">
          <w:rPr>
            <w:rFonts w:ascii="Times New Roman" w:hAnsi="Times New Roman" w:cs="Times New Roman"/>
            <w:noProof/>
            <w:sz w:val="24"/>
            <w:szCs w:val="20"/>
          </w:rPr>
          <w:t>8</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526EE"/>
    <w:multiLevelType w:val="hybridMultilevel"/>
    <w:tmpl w:val="6022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72BA7"/>
    <w:multiLevelType w:val="hybridMultilevel"/>
    <w:tmpl w:val="BCEC1F66"/>
    <w:lvl w:ilvl="0" w:tplc="5E2A0BBA">
      <w:start w:val="2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8975921"/>
    <w:multiLevelType w:val="hybridMultilevel"/>
    <w:tmpl w:val="16BCA7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E8D1EBF"/>
    <w:multiLevelType w:val="hybridMultilevel"/>
    <w:tmpl w:val="790071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75B1F78"/>
    <w:multiLevelType w:val="multilevel"/>
    <w:tmpl w:val="DEA04C6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56" w:hanging="720"/>
      </w:pPr>
    </w:lvl>
    <w:lvl w:ilvl="3">
      <w:start w:val="1"/>
      <w:numFmt w:val="decimal"/>
      <w:lvlText w:val="%1.%2.%3.%4."/>
      <w:lvlJc w:val="left"/>
      <w:pPr>
        <w:ind w:left="924" w:hanging="720"/>
      </w:pPr>
    </w:lvl>
    <w:lvl w:ilvl="4">
      <w:start w:val="1"/>
      <w:numFmt w:val="decimal"/>
      <w:lvlText w:val="%1.%2.%3.%4.%5."/>
      <w:lvlJc w:val="left"/>
      <w:pPr>
        <w:ind w:left="1352" w:hanging="1080"/>
      </w:pPr>
    </w:lvl>
    <w:lvl w:ilvl="5">
      <w:start w:val="1"/>
      <w:numFmt w:val="decimal"/>
      <w:lvlText w:val="%1.%2.%3.%4.%5.%6."/>
      <w:lvlJc w:val="left"/>
      <w:pPr>
        <w:ind w:left="1420" w:hanging="1080"/>
      </w:pPr>
    </w:lvl>
    <w:lvl w:ilvl="6">
      <w:start w:val="1"/>
      <w:numFmt w:val="decimal"/>
      <w:lvlText w:val="%1.%2.%3.%4.%5.%6.%7."/>
      <w:lvlJc w:val="left"/>
      <w:pPr>
        <w:ind w:left="1848" w:hanging="1440"/>
      </w:pPr>
    </w:lvl>
    <w:lvl w:ilvl="7">
      <w:start w:val="1"/>
      <w:numFmt w:val="decimal"/>
      <w:lvlText w:val="%1.%2.%3.%4.%5.%6.%7.%8."/>
      <w:lvlJc w:val="left"/>
      <w:pPr>
        <w:ind w:left="1916" w:hanging="1440"/>
      </w:pPr>
    </w:lvl>
    <w:lvl w:ilvl="8">
      <w:start w:val="1"/>
      <w:numFmt w:val="decimal"/>
      <w:lvlText w:val="%1.%2.%3.%4.%5.%6.%7.%8.%9."/>
      <w:lvlJc w:val="left"/>
      <w:pPr>
        <w:ind w:left="2344" w:hanging="1800"/>
      </w:pPr>
    </w:lvl>
  </w:abstractNum>
  <w:abstractNum w:abstractNumId="5" w15:restartNumberingAfterBreak="0">
    <w:nsid w:val="4D102046"/>
    <w:multiLevelType w:val="hybridMultilevel"/>
    <w:tmpl w:val="C4CEB4B4"/>
    <w:lvl w:ilvl="0" w:tplc="0426000F">
      <w:start w:val="1"/>
      <w:numFmt w:val="decimal"/>
      <w:lvlText w:val="%1."/>
      <w:lvlJc w:val="left"/>
      <w:pPr>
        <w:ind w:left="720" w:hanging="360"/>
      </w:pPr>
    </w:lvl>
    <w:lvl w:ilvl="1" w:tplc="3EBE7D98">
      <w:start w:val="1"/>
      <w:numFmt w:val="decimal"/>
      <w:lvlText w:val="2.%2."/>
      <w:lvlJc w:val="left"/>
      <w:pPr>
        <w:ind w:left="1440" w:hanging="360"/>
      </w:pPr>
      <w:rPr>
        <w:rFont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525470A"/>
    <w:multiLevelType w:val="hybridMultilevel"/>
    <w:tmpl w:val="369A01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9E56A43"/>
    <w:multiLevelType w:val="hybridMultilevel"/>
    <w:tmpl w:val="44083BC2"/>
    <w:lvl w:ilvl="0" w:tplc="AD0AEE66">
      <w:start w:val="1"/>
      <w:numFmt w:val="decimal"/>
      <w:lvlText w:val="%1."/>
      <w:lvlJc w:val="left"/>
      <w:pPr>
        <w:ind w:left="1785" w:hanging="1065"/>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5E535C78"/>
    <w:multiLevelType w:val="hybridMultilevel"/>
    <w:tmpl w:val="49442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A84874"/>
    <w:multiLevelType w:val="hybridMultilevel"/>
    <w:tmpl w:val="1AE669EE"/>
    <w:lvl w:ilvl="0" w:tplc="37FADCF2">
      <w:start w:val="1"/>
      <w:numFmt w:val="decimal"/>
      <w:lvlText w:val="%1)"/>
      <w:lvlJc w:val="left"/>
      <w:pPr>
        <w:ind w:left="647" w:hanging="360"/>
      </w:pPr>
      <w:rPr>
        <w:rFonts w:hint="default"/>
        <w:color w:val="auto"/>
      </w:rPr>
    </w:lvl>
    <w:lvl w:ilvl="1" w:tplc="04260019" w:tentative="1">
      <w:start w:val="1"/>
      <w:numFmt w:val="lowerLetter"/>
      <w:lvlText w:val="%2."/>
      <w:lvlJc w:val="left"/>
      <w:pPr>
        <w:ind w:left="1367" w:hanging="360"/>
      </w:pPr>
    </w:lvl>
    <w:lvl w:ilvl="2" w:tplc="0426001B" w:tentative="1">
      <w:start w:val="1"/>
      <w:numFmt w:val="lowerRoman"/>
      <w:lvlText w:val="%3."/>
      <w:lvlJc w:val="right"/>
      <w:pPr>
        <w:ind w:left="2087" w:hanging="180"/>
      </w:pPr>
    </w:lvl>
    <w:lvl w:ilvl="3" w:tplc="0426000F" w:tentative="1">
      <w:start w:val="1"/>
      <w:numFmt w:val="decimal"/>
      <w:lvlText w:val="%4."/>
      <w:lvlJc w:val="left"/>
      <w:pPr>
        <w:ind w:left="2807" w:hanging="360"/>
      </w:pPr>
    </w:lvl>
    <w:lvl w:ilvl="4" w:tplc="04260019" w:tentative="1">
      <w:start w:val="1"/>
      <w:numFmt w:val="lowerLetter"/>
      <w:lvlText w:val="%5."/>
      <w:lvlJc w:val="left"/>
      <w:pPr>
        <w:ind w:left="3527" w:hanging="360"/>
      </w:pPr>
    </w:lvl>
    <w:lvl w:ilvl="5" w:tplc="0426001B" w:tentative="1">
      <w:start w:val="1"/>
      <w:numFmt w:val="lowerRoman"/>
      <w:lvlText w:val="%6."/>
      <w:lvlJc w:val="right"/>
      <w:pPr>
        <w:ind w:left="4247" w:hanging="180"/>
      </w:pPr>
    </w:lvl>
    <w:lvl w:ilvl="6" w:tplc="0426000F" w:tentative="1">
      <w:start w:val="1"/>
      <w:numFmt w:val="decimal"/>
      <w:lvlText w:val="%7."/>
      <w:lvlJc w:val="left"/>
      <w:pPr>
        <w:ind w:left="4967" w:hanging="360"/>
      </w:pPr>
    </w:lvl>
    <w:lvl w:ilvl="7" w:tplc="04260019" w:tentative="1">
      <w:start w:val="1"/>
      <w:numFmt w:val="lowerLetter"/>
      <w:lvlText w:val="%8."/>
      <w:lvlJc w:val="left"/>
      <w:pPr>
        <w:ind w:left="5687" w:hanging="360"/>
      </w:pPr>
    </w:lvl>
    <w:lvl w:ilvl="8" w:tplc="0426001B" w:tentative="1">
      <w:start w:val="1"/>
      <w:numFmt w:val="lowerRoman"/>
      <w:lvlText w:val="%9."/>
      <w:lvlJc w:val="right"/>
      <w:pPr>
        <w:ind w:left="6407" w:hanging="180"/>
      </w:pPr>
    </w:lvl>
  </w:abstractNum>
  <w:abstractNum w:abstractNumId="10" w15:restartNumberingAfterBreak="0">
    <w:nsid w:val="710C3894"/>
    <w:multiLevelType w:val="hybridMultilevel"/>
    <w:tmpl w:val="CB62E91C"/>
    <w:lvl w:ilvl="0" w:tplc="226E2280">
      <w:start w:val="1"/>
      <w:numFmt w:val="decimal"/>
      <w:lvlText w:val="%1)"/>
      <w:lvlJc w:val="left"/>
      <w:pPr>
        <w:ind w:left="647" w:hanging="360"/>
      </w:pPr>
      <w:rPr>
        <w:rFonts w:hint="default"/>
      </w:rPr>
    </w:lvl>
    <w:lvl w:ilvl="1" w:tplc="04260019" w:tentative="1">
      <w:start w:val="1"/>
      <w:numFmt w:val="lowerLetter"/>
      <w:lvlText w:val="%2."/>
      <w:lvlJc w:val="left"/>
      <w:pPr>
        <w:ind w:left="1367" w:hanging="360"/>
      </w:pPr>
    </w:lvl>
    <w:lvl w:ilvl="2" w:tplc="0426001B" w:tentative="1">
      <w:start w:val="1"/>
      <w:numFmt w:val="lowerRoman"/>
      <w:lvlText w:val="%3."/>
      <w:lvlJc w:val="right"/>
      <w:pPr>
        <w:ind w:left="2087" w:hanging="180"/>
      </w:pPr>
    </w:lvl>
    <w:lvl w:ilvl="3" w:tplc="0426000F" w:tentative="1">
      <w:start w:val="1"/>
      <w:numFmt w:val="decimal"/>
      <w:lvlText w:val="%4."/>
      <w:lvlJc w:val="left"/>
      <w:pPr>
        <w:ind w:left="2807" w:hanging="360"/>
      </w:pPr>
    </w:lvl>
    <w:lvl w:ilvl="4" w:tplc="04260019" w:tentative="1">
      <w:start w:val="1"/>
      <w:numFmt w:val="lowerLetter"/>
      <w:lvlText w:val="%5."/>
      <w:lvlJc w:val="left"/>
      <w:pPr>
        <w:ind w:left="3527" w:hanging="360"/>
      </w:pPr>
    </w:lvl>
    <w:lvl w:ilvl="5" w:tplc="0426001B" w:tentative="1">
      <w:start w:val="1"/>
      <w:numFmt w:val="lowerRoman"/>
      <w:lvlText w:val="%6."/>
      <w:lvlJc w:val="right"/>
      <w:pPr>
        <w:ind w:left="4247" w:hanging="180"/>
      </w:pPr>
    </w:lvl>
    <w:lvl w:ilvl="6" w:tplc="0426000F" w:tentative="1">
      <w:start w:val="1"/>
      <w:numFmt w:val="decimal"/>
      <w:lvlText w:val="%7."/>
      <w:lvlJc w:val="left"/>
      <w:pPr>
        <w:ind w:left="4967" w:hanging="360"/>
      </w:pPr>
    </w:lvl>
    <w:lvl w:ilvl="7" w:tplc="04260019" w:tentative="1">
      <w:start w:val="1"/>
      <w:numFmt w:val="lowerLetter"/>
      <w:lvlText w:val="%8."/>
      <w:lvlJc w:val="left"/>
      <w:pPr>
        <w:ind w:left="5687" w:hanging="360"/>
      </w:pPr>
    </w:lvl>
    <w:lvl w:ilvl="8" w:tplc="0426001B" w:tentative="1">
      <w:start w:val="1"/>
      <w:numFmt w:val="lowerRoman"/>
      <w:lvlText w:val="%9."/>
      <w:lvlJc w:val="right"/>
      <w:pPr>
        <w:ind w:left="6407" w:hanging="180"/>
      </w:pPr>
    </w:lvl>
  </w:abstractNum>
  <w:abstractNum w:abstractNumId="11" w15:restartNumberingAfterBreak="0">
    <w:nsid w:val="748D282A"/>
    <w:multiLevelType w:val="hybridMultilevel"/>
    <w:tmpl w:val="764A8018"/>
    <w:lvl w:ilvl="0" w:tplc="31A4C180">
      <w:start w:val="1"/>
      <w:numFmt w:val="decimal"/>
      <w:lvlText w:val="%1)"/>
      <w:lvlJc w:val="left"/>
      <w:pPr>
        <w:ind w:left="718" w:hanging="525"/>
      </w:pPr>
      <w:rPr>
        <w:rFonts w:hint="default"/>
      </w:rPr>
    </w:lvl>
    <w:lvl w:ilvl="1" w:tplc="04260019" w:tentative="1">
      <w:start w:val="1"/>
      <w:numFmt w:val="lowerLetter"/>
      <w:lvlText w:val="%2."/>
      <w:lvlJc w:val="left"/>
      <w:pPr>
        <w:ind w:left="1273" w:hanging="360"/>
      </w:pPr>
    </w:lvl>
    <w:lvl w:ilvl="2" w:tplc="0426001B" w:tentative="1">
      <w:start w:val="1"/>
      <w:numFmt w:val="lowerRoman"/>
      <w:lvlText w:val="%3."/>
      <w:lvlJc w:val="right"/>
      <w:pPr>
        <w:ind w:left="1993" w:hanging="180"/>
      </w:pPr>
    </w:lvl>
    <w:lvl w:ilvl="3" w:tplc="0426000F" w:tentative="1">
      <w:start w:val="1"/>
      <w:numFmt w:val="decimal"/>
      <w:lvlText w:val="%4."/>
      <w:lvlJc w:val="left"/>
      <w:pPr>
        <w:ind w:left="2713" w:hanging="360"/>
      </w:pPr>
    </w:lvl>
    <w:lvl w:ilvl="4" w:tplc="04260019" w:tentative="1">
      <w:start w:val="1"/>
      <w:numFmt w:val="lowerLetter"/>
      <w:lvlText w:val="%5."/>
      <w:lvlJc w:val="left"/>
      <w:pPr>
        <w:ind w:left="3433" w:hanging="360"/>
      </w:pPr>
    </w:lvl>
    <w:lvl w:ilvl="5" w:tplc="0426001B" w:tentative="1">
      <w:start w:val="1"/>
      <w:numFmt w:val="lowerRoman"/>
      <w:lvlText w:val="%6."/>
      <w:lvlJc w:val="right"/>
      <w:pPr>
        <w:ind w:left="4153" w:hanging="180"/>
      </w:pPr>
    </w:lvl>
    <w:lvl w:ilvl="6" w:tplc="0426000F" w:tentative="1">
      <w:start w:val="1"/>
      <w:numFmt w:val="decimal"/>
      <w:lvlText w:val="%7."/>
      <w:lvlJc w:val="left"/>
      <w:pPr>
        <w:ind w:left="4873" w:hanging="360"/>
      </w:pPr>
    </w:lvl>
    <w:lvl w:ilvl="7" w:tplc="04260019" w:tentative="1">
      <w:start w:val="1"/>
      <w:numFmt w:val="lowerLetter"/>
      <w:lvlText w:val="%8."/>
      <w:lvlJc w:val="left"/>
      <w:pPr>
        <w:ind w:left="5593" w:hanging="360"/>
      </w:pPr>
    </w:lvl>
    <w:lvl w:ilvl="8" w:tplc="0426001B" w:tentative="1">
      <w:start w:val="1"/>
      <w:numFmt w:val="lowerRoman"/>
      <w:lvlText w:val="%9."/>
      <w:lvlJc w:val="right"/>
      <w:pPr>
        <w:ind w:left="6313"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0"/>
  </w:num>
  <w:num w:numId="9">
    <w:abstractNumId w:val="10"/>
  </w:num>
  <w:num w:numId="10">
    <w:abstractNumId w:val="9"/>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trackRevisions/>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3628"/>
    <w:rsid w:val="00010DED"/>
    <w:rsid w:val="00011748"/>
    <w:rsid w:val="00012171"/>
    <w:rsid w:val="00012A3F"/>
    <w:rsid w:val="00013951"/>
    <w:rsid w:val="00020779"/>
    <w:rsid w:val="000252FA"/>
    <w:rsid w:val="0003216F"/>
    <w:rsid w:val="00032245"/>
    <w:rsid w:val="00032F7F"/>
    <w:rsid w:val="000423B8"/>
    <w:rsid w:val="00047039"/>
    <w:rsid w:val="00050E5A"/>
    <w:rsid w:val="00057C4B"/>
    <w:rsid w:val="00060C81"/>
    <w:rsid w:val="000648A6"/>
    <w:rsid w:val="00064E9A"/>
    <w:rsid w:val="00067C72"/>
    <w:rsid w:val="00074E9D"/>
    <w:rsid w:val="0008184C"/>
    <w:rsid w:val="0008265A"/>
    <w:rsid w:val="000868D7"/>
    <w:rsid w:val="00086DDD"/>
    <w:rsid w:val="000875E9"/>
    <w:rsid w:val="000934E8"/>
    <w:rsid w:val="00095FA3"/>
    <w:rsid w:val="000967B8"/>
    <w:rsid w:val="000A00F8"/>
    <w:rsid w:val="000A1592"/>
    <w:rsid w:val="000A3EA1"/>
    <w:rsid w:val="000A6A99"/>
    <w:rsid w:val="000B077B"/>
    <w:rsid w:val="000B1416"/>
    <w:rsid w:val="000B14D5"/>
    <w:rsid w:val="000B4EF8"/>
    <w:rsid w:val="000C2845"/>
    <w:rsid w:val="000D2A66"/>
    <w:rsid w:val="000D3C37"/>
    <w:rsid w:val="000D5AA0"/>
    <w:rsid w:val="000D6291"/>
    <w:rsid w:val="000D6455"/>
    <w:rsid w:val="000E078E"/>
    <w:rsid w:val="000E4C09"/>
    <w:rsid w:val="000E7FC9"/>
    <w:rsid w:val="000F3DA3"/>
    <w:rsid w:val="000F447C"/>
    <w:rsid w:val="000F462D"/>
    <w:rsid w:val="000F5989"/>
    <w:rsid w:val="000F6D3E"/>
    <w:rsid w:val="001026FC"/>
    <w:rsid w:val="00103715"/>
    <w:rsid w:val="001062DF"/>
    <w:rsid w:val="00110958"/>
    <w:rsid w:val="001173AC"/>
    <w:rsid w:val="0012052C"/>
    <w:rsid w:val="0012647F"/>
    <w:rsid w:val="00130DB6"/>
    <w:rsid w:val="00134EFE"/>
    <w:rsid w:val="00141622"/>
    <w:rsid w:val="0014306F"/>
    <w:rsid w:val="00147668"/>
    <w:rsid w:val="00150CD6"/>
    <w:rsid w:val="00155605"/>
    <w:rsid w:val="00155B03"/>
    <w:rsid w:val="00161313"/>
    <w:rsid w:val="00161616"/>
    <w:rsid w:val="001634B6"/>
    <w:rsid w:val="0016356E"/>
    <w:rsid w:val="00163E63"/>
    <w:rsid w:val="001765BF"/>
    <w:rsid w:val="0018002C"/>
    <w:rsid w:val="0018224C"/>
    <w:rsid w:val="00183CEF"/>
    <w:rsid w:val="00184057"/>
    <w:rsid w:val="001861E4"/>
    <w:rsid w:val="0018622F"/>
    <w:rsid w:val="001901FF"/>
    <w:rsid w:val="00192DED"/>
    <w:rsid w:val="001959AB"/>
    <w:rsid w:val="001A0E75"/>
    <w:rsid w:val="001A7FCB"/>
    <w:rsid w:val="001B75F9"/>
    <w:rsid w:val="001C3725"/>
    <w:rsid w:val="001C48C6"/>
    <w:rsid w:val="001C590D"/>
    <w:rsid w:val="001D6EE9"/>
    <w:rsid w:val="001E0EAC"/>
    <w:rsid w:val="001E2270"/>
    <w:rsid w:val="001E3EC4"/>
    <w:rsid w:val="001F2CA7"/>
    <w:rsid w:val="001F3254"/>
    <w:rsid w:val="00210B3C"/>
    <w:rsid w:val="00211C1D"/>
    <w:rsid w:val="00211FBE"/>
    <w:rsid w:val="00212306"/>
    <w:rsid w:val="002131C1"/>
    <w:rsid w:val="00214B75"/>
    <w:rsid w:val="00217B8C"/>
    <w:rsid w:val="002211A8"/>
    <w:rsid w:val="00225BD9"/>
    <w:rsid w:val="00231E78"/>
    <w:rsid w:val="00241708"/>
    <w:rsid w:val="00241F63"/>
    <w:rsid w:val="00243426"/>
    <w:rsid w:val="00250376"/>
    <w:rsid w:val="0025350D"/>
    <w:rsid w:val="002559CF"/>
    <w:rsid w:val="00255C28"/>
    <w:rsid w:val="00257880"/>
    <w:rsid w:val="00267BDA"/>
    <w:rsid w:val="00271D3C"/>
    <w:rsid w:val="002742D8"/>
    <w:rsid w:val="00275A58"/>
    <w:rsid w:val="00280689"/>
    <w:rsid w:val="002816D8"/>
    <w:rsid w:val="00281B51"/>
    <w:rsid w:val="00290653"/>
    <w:rsid w:val="00297F83"/>
    <w:rsid w:val="002A0952"/>
    <w:rsid w:val="002A5FB2"/>
    <w:rsid w:val="002A6C47"/>
    <w:rsid w:val="002B1764"/>
    <w:rsid w:val="002C32CE"/>
    <w:rsid w:val="002C627D"/>
    <w:rsid w:val="002D11C0"/>
    <w:rsid w:val="002D242B"/>
    <w:rsid w:val="002E1C05"/>
    <w:rsid w:val="002E2E6E"/>
    <w:rsid w:val="002E3C2A"/>
    <w:rsid w:val="002E4107"/>
    <w:rsid w:val="002E4820"/>
    <w:rsid w:val="002E4A5B"/>
    <w:rsid w:val="002E5EFB"/>
    <w:rsid w:val="002E78DB"/>
    <w:rsid w:val="002F0491"/>
    <w:rsid w:val="002F207D"/>
    <w:rsid w:val="002F3553"/>
    <w:rsid w:val="002F3C69"/>
    <w:rsid w:val="002F4E69"/>
    <w:rsid w:val="002F52A0"/>
    <w:rsid w:val="0030029C"/>
    <w:rsid w:val="00300EE6"/>
    <w:rsid w:val="00302ABB"/>
    <w:rsid w:val="00310C65"/>
    <w:rsid w:val="0031272C"/>
    <w:rsid w:val="003152B6"/>
    <w:rsid w:val="003220B5"/>
    <w:rsid w:val="00323F2B"/>
    <w:rsid w:val="003271C7"/>
    <w:rsid w:val="003272A2"/>
    <w:rsid w:val="00330615"/>
    <w:rsid w:val="00330F85"/>
    <w:rsid w:val="00336C2B"/>
    <w:rsid w:val="00341C7D"/>
    <w:rsid w:val="0034345D"/>
    <w:rsid w:val="00343FD4"/>
    <w:rsid w:val="0034503E"/>
    <w:rsid w:val="003473EC"/>
    <w:rsid w:val="003514EF"/>
    <w:rsid w:val="00355C41"/>
    <w:rsid w:val="00357842"/>
    <w:rsid w:val="00361875"/>
    <w:rsid w:val="00364B79"/>
    <w:rsid w:val="0037451D"/>
    <w:rsid w:val="0037565D"/>
    <w:rsid w:val="00380798"/>
    <w:rsid w:val="0038165D"/>
    <w:rsid w:val="00393C50"/>
    <w:rsid w:val="003947C9"/>
    <w:rsid w:val="003A13A5"/>
    <w:rsid w:val="003B0BF9"/>
    <w:rsid w:val="003B106D"/>
    <w:rsid w:val="003B3F14"/>
    <w:rsid w:val="003C2A7B"/>
    <w:rsid w:val="003C3EE0"/>
    <w:rsid w:val="003C4BF3"/>
    <w:rsid w:val="003C5189"/>
    <w:rsid w:val="003C77B3"/>
    <w:rsid w:val="003D05FF"/>
    <w:rsid w:val="003D439C"/>
    <w:rsid w:val="003D5A8D"/>
    <w:rsid w:val="003D5FEA"/>
    <w:rsid w:val="003D7EF4"/>
    <w:rsid w:val="003E064A"/>
    <w:rsid w:val="003E0791"/>
    <w:rsid w:val="003E2C67"/>
    <w:rsid w:val="003E305F"/>
    <w:rsid w:val="003E5263"/>
    <w:rsid w:val="003E66CA"/>
    <w:rsid w:val="003E7E02"/>
    <w:rsid w:val="003F0C98"/>
    <w:rsid w:val="003F28AC"/>
    <w:rsid w:val="003F4810"/>
    <w:rsid w:val="003F5D22"/>
    <w:rsid w:val="003F60CB"/>
    <w:rsid w:val="003F7DB8"/>
    <w:rsid w:val="003F7EB8"/>
    <w:rsid w:val="00404BDD"/>
    <w:rsid w:val="004064EF"/>
    <w:rsid w:val="0040787B"/>
    <w:rsid w:val="00411473"/>
    <w:rsid w:val="004143D3"/>
    <w:rsid w:val="0041585D"/>
    <w:rsid w:val="00416D00"/>
    <w:rsid w:val="00420508"/>
    <w:rsid w:val="00422237"/>
    <w:rsid w:val="00435B75"/>
    <w:rsid w:val="00435D5E"/>
    <w:rsid w:val="0044109F"/>
    <w:rsid w:val="004454FE"/>
    <w:rsid w:val="00450DAB"/>
    <w:rsid w:val="0045107E"/>
    <w:rsid w:val="00456E40"/>
    <w:rsid w:val="0046008D"/>
    <w:rsid w:val="00466996"/>
    <w:rsid w:val="00466E81"/>
    <w:rsid w:val="00471CA8"/>
    <w:rsid w:val="00471F27"/>
    <w:rsid w:val="0047480C"/>
    <w:rsid w:val="00474C64"/>
    <w:rsid w:val="00477752"/>
    <w:rsid w:val="00482A28"/>
    <w:rsid w:val="0048486A"/>
    <w:rsid w:val="004913D7"/>
    <w:rsid w:val="004966EF"/>
    <w:rsid w:val="00496915"/>
    <w:rsid w:val="00496BCC"/>
    <w:rsid w:val="004A19FE"/>
    <w:rsid w:val="004A1E61"/>
    <w:rsid w:val="004A4E6B"/>
    <w:rsid w:val="004B1368"/>
    <w:rsid w:val="004B77C6"/>
    <w:rsid w:val="004C24DC"/>
    <w:rsid w:val="004C290D"/>
    <w:rsid w:val="004C3D54"/>
    <w:rsid w:val="004C69CE"/>
    <w:rsid w:val="004D05A6"/>
    <w:rsid w:val="004D23C1"/>
    <w:rsid w:val="004D6281"/>
    <w:rsid w:val="004D63FC"/>
    <w:rsid w:val="004D6BD3"/>
    <w:rsid w:val="004E13BE"/>
    <w:rsid w:val="004E2D02"/>
    <w:rsid w:val="004E6815"/>
    <w:rsid w:val="004E73B6"/>
    <w:rsid w:val="004F07D5"/>
    <w:rsid w:val="004F1A12"/>
    <w:rsid w:val="0050178F"/>
    <w:rsid w:val="005069AD"/>
    <w:rsid w:val="00506CD4"/>
    <w:rsid w:val="00507E3E"/>
    <w:rsid w:val="0051459A"/>
    <w:rsid w:val="0051504A"/>
    <w:rsid w:val="005152DC"/>
    <w:rsid w:val="00516D94"/>
    <w:rsid w:val="00520A73"/>
    <w:rsid w:val="0052363A"/>
    <w:rsid w:val="00526738"/>
    <w:rsid w:val="00530623"/>
    <w:rsid w:val="0053433F"/>
    <w:rsid w:val="00536BE5"/>
    <w:rsid w:val="00540C37"/>
    <w:rsid w:val="00540CD1"/>
    <w:rsid w:val="00542651"/>
    <w:rsid w:val="00543248"/>
    <w:rsid w:val="00544D11"/>
    <w:rsid w:val="005471A0"/>
    <w:rsid w:val="0055011D"/>
    <w:rsid w:val="00550C0E"/>
    <w:rsid w:val="00552071"/>
    <w:rsid w:val="005544EA"/>
    <w:rsid w:val="00557008"/>
    <w:rsid w:val="00557A68"/>
    <w:rsid w:val="00560272"/>
    <w:rsid w:val="0056366D"/>
    <w:rsid w:val="00563D14"/>
    <w:rsid w:val="00564813"/>
    <w:rsid w:val="00572C7F"/>
    <w:rsid w:val="005853BF"/>
    <w:rsid w:val="00586969"/>
    <w:rsid w:val="00590D2D"/>
    <w:rsid w:val="00591A4B"/>
    <w:rsid w:val="005925D0"/>
    <w:rsid w:val="00594D3D"/>
    <w:rsid w:val="00594D5A"/>
    <w:rsid w:val="005A0C67"/>
    <w:rsid w:val="005A0DFB"/>
    <w:rsid w:val="005A1505"/>
    <w:rsid w:val="005A29B9"/>
    <w:rsid w:val="005A4AD2"/>
    <w:rsid w:val="005A4E87"/>
    <w:rsid w:val="005A6E62"/>
    <w:rsid w:val="005A7CBF"/>
    <w:rsid w:val="005B0BC1"/>
    <w:rsid w:val="005B28DF"/>
    <w:rsid w:val="005B2E46"/>
    <w:rsid w:val="005C4B67"/>
    <w:rsid w:val="005D5A74"/>
    <w:rsid w:val="005D5B0E"/>
    <w:rsid w:val="005E50AF"/>
    <w:rsid w:val="005E782B"/>
    <w:rsid w:val="005F3EF6"/>
    <w:rsid w:val="00603E1B"/>
    <w:rsid w:val="006055F5"/>
    <w:rsid w:val="0060783F"/>
    <w:rsid w:val="00610AA2"/>
    <w:rsid w:val="00612EAB"/>
    <w:rsid w:val="00613854"/>
    <w:rsid w:val="00616DDF"/>
    <w:rsid w:val="00626A52"/>
    <w:rsid w:val="00632BE0"/>
    <w:rsid w:val="00633417"/>
    <w:rsid w:val="00633D2A"/>
    <w:rsid w:val="00634435"/>
    <w:rsid w:val="00635687"/>
    <w:rsid w:val="00636AE7"/>
    <w:rsid w:val="006379DA"/>
    <w:rsid w:val="00640C0A"/>
    <w:rsid w:val="00640DE9"/>
    <w:rsid w:val="006444D4"/>
    <w:rsid w:val="00645BB3"/>
    <w:rsid w:val="006525C1"/>
    <w:rsid w:val="00652708"/>
    <w:rsid w:val="00655F2C"/>
    <w:rsid w:val="00657769"/>
    <w:rsid w:val="0065789C"/>
    <w:rsid w:val="00660FEE"/>
    <w:rsid w:val="00661D05"/>
    <w:rsid w:val="00664E77"/>
    <w:rsid w:val="00665997"/>
    <w:rsid w:val="00670019"/>
    <w:rsid w:val="00682065"/>
    <w:rsid w:val="0068413F"/>
    <w:rsid w:val="00684394"/>
    <w:rsid w:val="006865DA"/>
    <w:rsid w:val="00690470"/>
    <w:rsid w:val="0069231D"/>
    <w:rsid w:val="00694302"/>
    <w:rsid w:val="006973E2"/>
    <w:rsid w:val="006A0B33"/>
    <w:rsid w:val="006A32C0"/>
    <w:rsid w:val="006A569A"/>
    <w:rsid w:val="006B4E98"/>
    <w:rsid w:val="006B5614"/>
    <w:rsid w:val="006C0918"/>
    <w:rsid w:val="006C3260"/>
    <w:rsid w:val="006C6BCE"/>
    <w:rsid w:val="006D3050"/>
    <w:rsid w:val="006D3144"/>
    <w:rsid w:val="006D5469"/>
    <w:rsid w:val="006D716B"/>
    <w:rsid w:val="006E1081"/>
    <w:rsid w:val="006E3364"/>
    <w:rsid w:val="006E3C22"/>
    <w:rsid w:val="006F045C"/>
    <w:rsid w:val="006F3314"/>
    <w:rsid w:val="007038A4"/>
    <w:rsid w:val="00704AC3"/>
    <w:rsid w:val="00706D86"/>
    <w:rsid w:val="00706EE2"/>
    <w:rsid w:val="00710C55"/>
    <w:rsid w:val="00710E5C"/>
    <w:rsid w:val="00715E3C"/>
    <w:rsid w:val="00716CF9"/>
    <w:rsid w:val="00720585"/>
    <w:rsid w:val="00720E90"/>
    <w:rsid w:val="007236B7"/>
    <w:rsid w:val="00724060"/>
    <w:rsid w:val="007249CF"/>
    <w:rsid w:val="00730DC0"/>
    <w:rsid w:val="00736DBB"/>
    <w:rsid w:val="007437D9"/>
    <w:rsid w:val="00745A75"/>
    <w:rsid w:val="00753375"/>
    <w:rsid w:val="0076276B"/>
    <w:rsid w:val="00762F11"/>
    <w:rsid w:val="007656F5"/>
    <w:rsid w:val="007679C9"/>
    <w:rsid w:val="007679FA"/>
    <w:rsid w:val="0077060A"/>
    <w:rsid w:val="00770DC0"/>
    <w:rsid w:val="0077121B"/>
    <w:rsid w:val="0077178E"/>
    <w:rsid w:val="00773AF6"/>
    <w:rsid w:val="00776BA7"/>
    <w:rsid w:val="00777524"/>
    <w:rsid w:val="00777F3F"/>
    <w:rsid w:val="00783359"/>
    <w:rsid w:val="00787ECB"/>
    <w:rsid w:val="00794170"/>
    <w:rsid w:val="00794BE1"/>
    <w:rsid w:val="00795F71"/>
    <w:rsid w:val="007A004A"/>
    <w:rsid w:val="007A2691"/>
    <w:rsid w:val="007A3534"/>
    <w:rsid w:val="007A61C9"/>
    <w:rsid w:val="007B097A"/>
    <w:rsid w:val="007B098E"/>
    <w:rsid w:val="007B3457"/>
    <w:rsid w:val="007B5D20"/>
    <w:rsid w:val="007C4438"/>
    <w:rsid w:val="007C7345"/>
    <w:rsid w:val="007D2AAA"/>
    <w:rsid w:val="007D7ABD"/>
    <w:rsid w:val="007D7F49"/>
    <w:rsid w:val="007E3A79"/>
    <w:rsid w:val="007E5F7A"/>
    <w:rsid w:val="007E73AB"/>
    <w:rsid w:val="007F55B4"/>
    <w:rsid w:val="007F5908"/>
    <w:rsid w:val="007F67CB"/>
    <w:rsid w:val="007F6B23"/>
    <w:rsid w:val="00800A5C"/>
    <w:rsid w:val="008013EE"/>
    <w:rsid w:val="008112F1"/>
    <w:rsid w:val="00812FDA"/>
    <w:rsid w:val="00814854"/>
    <w:rsid w:val="00816C11"/>
    <w:rsid w:val="00816D5C"/>
    <w:rsid w:val="0081714D"/>
    <w:rsid w:val="00825FEA"/>
    <w:rsid w:val="008321D7"/>
    <w:rsid w:val="00833CEF"/>
    <w:rsid w:val="0083645A"/>
    <w:rsid w:val="008369FD"/>
    <w:rsid w:val="0084141D"/>
    <w:rsid w:val="00842475"/>
    <w:rsid w:val="00846B5A"/>
    <w:rsid w:val="00850DAD"/>
    <w:rsid w:val="00852E40"/>
    <w:rsid w:val="00857777"/>
    <w:rsid w:val="0086461E"/>
    <w:rsid w:val="00865F36"/>
    <w:rsid w:val="00866143"/>
    <w:rsid w:val="00866D5D"/>
    <w:rsid w:val="008671E7"/>
    <w:rsid w:val="00867DE8"/>
    <w:rsid w:val="0087195B"/>
    <w:rsid w:val="00872F0B"/>
    <w:rsid w:val="0087327A"/>
    <w:rsid w:val="008833DD"/>
    <w:rsid w:val="0088398B"/>
    <w:rsid w:val="0088709B"/>
    <w:rsid w:val="00890ECA"/>
    <w:rsid w:val="00891394"/>
    <w:rsid w:val="00891FD9"/>
    <w:rsid w:val="0089349A"/>
    <w:rsid w:val="00894C55"/>
    <w:rsid w:val="008A26DD"/>
    <w:rsid w:val="008A3B10"/>
    <w:rsid w:val="008A4307"/>
    <w:rsid w:val="008A4ADE"/>
    <w:rsid w:val="008B4315"/>
    <w:rsid w:val="008B71B7"/>
    <w:rsid w:val="008B7D91"/>
    <w:rsid w:val="008B7DD3"/>
    <w:rsid w:val="008C28E3"/>
    <w:rsid w:val="008C3E81"/>
    <w:rsid w:val="008C58E0"/>
    <w:rsid w:val="008D1CBE"/>
    <w:rsid w:val="008D47A7"/>
    <w:rsid w:val="008E1953"/>
    <w:rsid w:val="008E28D4"/>
    <w:rsid w:val="008E2B70"/>
    <w:rsid w:val="008E2F09"/>
    <w:rsid w:val="008E4997"/>
    <w:rsid w:val="008E7638"/>
    <w:rsid w:val="008F4224"/>
    <w:rsid w:val="008F67D6"/>
    <w:rsid w:val="00907BE4"/>
    <w:rsid w:val="00907DF6"/>
    <w:rsid w:val="009101D2"/>
    <w:rsid w:val="009121BF"/>
    <w:rsid w:val="00914C58"/>
    <w:rsid w:val="00917D34"/>
    <w:rsid w:val="009343DA"/>
    <w:rsid w:val="00936D48"/>
    <w:rsid w:val="00936DD9"/>
    <w:rsid w:val="00943B86"/>
    <w:rsid w:val="00943E99"/>
    <w:rsid w:val="009442E9"/>
    <w:rsid w:val="00945997"/>
    <w:rsid w:val="009507AB"/>
    <w:rsid w:val="009532D5"/>
    <w:rsid w:val="009554AE"/>
    <w:rsid w:val="00961C48"/>
    <w:rsid w:val="00961DB2"/>
    <w:rsid w:val="0096220D"/>
    <w:rsid w:val="0096264B"/>
    <w:rsid w:val="009709CB"/>
    <w:rsid w:val="009741E5"/>
    <w:rsid w:val="00974D6A"/>
    <w:rsid w:val="00974EC3"/>
    <w:rsid w:val="009751E4"/>
    <w:rsid w:val="00975FB4"/>
    <w:rsid w:val="00976BAF"/>
    <w:rsid w:val="00991768"/>
    <w:rsid w:val="00991C92"/>
    <w:rsid w:val="00993518"/>
    <w:rsid w:val="009A0544"/>
    <w:rsid w:val="009A1BF7"/>
    <w:rsid w:val="009A1C86"/>
    <w:rsid w:val="009A2654"/>
    <w:rsid w:val="009A29D7"/>
    <w:rsid w:val="009A403B"/>
    <w:rsid w:val="009B5109"/>
    <w:rsid w:val="009C2577"/>
    <w:rsid w:val="009C6996"/>
    <w:rsid w:val="009C6AC9"/>
    <w:rsid w:val="009C7E92"/>
    <w:rsid w:val="009D4058"/>
    <w:rsid w:val="009D4FAF"/>
    <w:rsid w:val="009E02B4"/>
    <w:rsid w:val="009E0976"/>
    <w:rsid w:val="009E0F7C"/>
    <w:rsid w:val="009E766D"/>
    <w:rsid w:val="009F1154"/>
    <w:rsid w:val="009F2510"/>
    <w:rsid w:val="00A0158B"/>
    <w:rsid w:val="00A01E29"/>
    <w:rsid w:val="00A03F74"/>
    <w:rsid w:val="00A101F3"/>
    <w:rsid w:val="00A10FC3"/>
    <w:rsid w:val="00A12D8A"/>
    <w:rsid w:val="00A1349B"/>
    <w:rsid w:val="00A203D3"/>
    <w:rsid w:val="00A203D4"/>
    <w:rsid w:val="00A214ED"/>
    <w:rsid w:val="00A22ADD"/>
    <w:rsid w:val="00A2581E"/>
    <w:rsid w:val="00A324F3"/>
    <w:rsid w:val="00A32B9A"/>
    <w:rsid w:val="00A3304F"/>
    <w:rsid w:val="00A3750C"/>
    <w:rsid w:val="00A37C13"/>
    <w:rsid w:val="00A37E84"/>
    <w:rsid w:val="00A449D2"/>
    <w:rsid w:val="00A4665B"/>
    <w:rsid w:val="00A47178"/>
    <w:rsid w:val="00A54A5E"/>
    <w:rsid w:val="00A6073E"/>
    <w:rsid w:val="00A60749"/>
    <w:rsid w:val="00A65F64"/>
    <w:rsid w:val="00A67DBF"/>
    <w:rsid w:val="00A74666"/>
    <w:rsid w:val="00A7473D"/>
    <w:rsid w:val="00A823C7"/>
    <w:rsid w:val="00A82A57"/>
    <w:rsid w:val="00A85545"/>
    <w:rsid w:val="00A85581"/>
    <w:rsid w:val="00A86078"/>
    <w:rsid w:val="00A909C4"/>
    <w:rsid w:val="00A917D7"/>
    <w:rsid w:val="00A93FB4"/>
    <w:rsid w:val="00A97AEF"/>
    <w:rsid w:val="00AA00A0"/>
    <w:rsid w:val="00AA4C9F"/>
    <w:rsid w:val="00AA5D0C"/>
    <w:rsid w:val="00AA718A"/>
    <w:rsid w:val="00AA7E46"/>
    <w:rsid w:val="00AB4A84"/>
    <w:rsid w:val="00AB5957"/>
    <w:rsid w:val="00AB67FE"/>
    <w:rsid w:val="00AC0732"/>
    <w:rsid w:val="00AC58B2"/>
    <w:rsid w:val="00AC797B"/>
    <w:rsid w:val="00AD3810"/>
    <w:rsid w:val="00AD4C61"/>
    <w:rsid w:val="00AD4CBD"/>
    <w:rsid w:val="00AD650C"/>
    <w:rsid w:val="00AD6579"/>
    <w:rsid w:val="00AD7AB3"/>
    <w:rsid w:val="00AE5567"/>
    <w:rsid w:val="00AF0948"/>
    <w:rsid w:val="00AF1239"/>
    <w:rsid w:val="00AF2946"/>
    <w:rsid w:val="00AF3FEF"/>
    <w:rsid w:val="00AF49B7"/>
    <w:rsid w:val="00AF50F1"/>
    <w:rsid w:val="00AF5C39"/>
    <w:rsid w:val="00AF7970"/>
    <w:rsid w:val="00AF79F1"/>
    <w:rsid w:val="00B07C6A"/>
    <w:rsid w:val="00B16480"/>
    <w:rsid w:val="00B176BF"/>
    <w:rsid w:val="00B17B2E"/>
    <w:rsid w:val="00B2165C"/>
    <w:rsid w:val="00B268EB"/>
    <w:rsid w:val="00B279FA"/>
    <w:rsid w:val="00B43BFF"/>
    <w:rsid w:val="00B5000A"/>
    <w:rsid w:val="00B50910"/>
    <w:rsid w:val="00B51314"/>
    <w:rsid w:val="00B522D4"/>
    <w:rsid w:val="00B55748"/>
    <w:rsid w:val="00B67424"/>
    <w:rsid w:val="00B83110"/>
    <w:rsid w:val="00B83C71"/>
    <w:rsid w:val="00B84555"/>
    <w:rsid w:val="00B870E3"/>
    <w:rsid w:val="00B8759C"/>
    <w:rsid w:val="00B877C3"/>
    <w:rsid w:val="00B949D5"/>
    <w:rsid w:val="00B94D45"/>
    <w:rsid w:val="00B96D6E"/>
    <w:rsid w:val="00B96DB9"/>
    <w:rsid w:val="00B97975"/>
    <w:rsid w:val="00BA145D"/>
    <w:rsid w:val="00BA20AA"/>
    <w:rsid w:val="00BA2382"/>
    <w:rsid w:val="00BA4761"/>
    <w:rsid w:val="00BA5311"/>
    <w:rsid w:val="00BA54C6"/>
    <w:rsid w:val="00BB2AC1"/>
    <w:rsid w:val="00BB3ABE"/>
    <w:rsid w:val="00BB720B"/>
    <w:rsid w:val="00BC0437"/>
    <w:rsid w:val="00BC2B1D"/>
    <w:rsid w:val="00BC2F26"/>
    <w:rsid w:val="00BC436B"/>
    <w:rsid w:val="00BC79E5"/>
    <w:rsid w:val="00BD3C5E"/>
    <w:rsid w:val="00BD3F40"/>
    <w:rsid w:val="00BD4425"/>
    <w:rsid w:val="00BD668D"/>
    <w:rsid w:val="00BD7499"/>
    <w:rsid w:val="00BE0136"/>
    <w:rsid w:val="00BE1BBC"/>
    <w:rsid w:val="00BE1BF1"/>
    <w:rsid w:val="00BE1D88"/>
    <w:rsid w:val="00BE3295"/>
    <w:rsid w:val="00BE5B1E"/>
    <w:rsid w:val="00BF3FE1"/>
    <w:rsid w:val="00BF5FEE"/>
    <w:rsid w:val="00BF7382"/>
    <w:rsid w:val="00BF7FC1"/>
    <w:rsid w:val="00C0057C"/>
    <w:rsid w:val="00C06779"/>
    <w:rsid w:val="00C11D05"/>
    <w:rsid w:val="00C1333C"/>
    <w:rsid w:val="00C14948"/>
    <w:rsid w:val="00C15704"/>
    <w:rsid w:val="00C15A31"/>
    <w:rsid w:val="00C1618F"/>
    <w:rsid w:val="00C2000F"/>
    <w:rsid w:val="00C21834"/>
    <w:rsid w:val="00C25B49"/>
    <w:rsid w:val="00C41CA9"/>
    <w:rsid w:val="00C41EBD"/>
    <w:rsid w:val="00C43969"/>
    <w:rsid w:val="00C51876"/>
    <w:rsid w:val="00C563DB"/>
    <w:rsid w:val="00C62DED"/>
    <w:rsid w:val="00C65637"/>
    <w:rsid w:val="00C6663E"/>
    <w:rsid w:val="00C66C61"/>
    <w:rsid w:val="00C672B4"/>
    <w:rsid w:val="00C704BF"/>
    <w:rsid w:val="00C7215F"/>
    <w:rsid w:val="00C7646B"/>
    <w:rsid w:val="00C80D12"/>
    <w:rsid w:val="00C850F0"/>
    <w:rsid w:val="00C91419"/>
    <w:rsid w:val="00C9339A"/>
    <w:rsid w:val="00C94A5F"/>
    <w:rsid w:val="00C94FE8"/>
    <w:rsid w:val="00C96C6F"/>
    <w:rsid w:val="00C9736B"/>
    <w:rsid w:val="00CA0ABC"/>
    <w:rsid w:val="00CA12DE"/>
    <w:rsid w:val="00CA38C5"/>
    <w:rsid w:val="00CB0961"/>
    <w:rsid w:val="00CB09A8"/>
    <w:rsid w:val="00CB26BD"/>
    <w:rsid w:val="00CB2D8B"/>
    <w:rsid w:val="00CB3A49"/>
    <w:rsid w:val="00CC0324"/>
    <w:rsid w:val="00CC0D2D"/>
    <w:rsid w:val="00CC1FA8"/>
    <w:rsid w:val="00CC2F78"/>
    <w:rsid w:val="00CC5835"/>
    <w:rsid w:val="00CD1B47"/>
    <w:rsid w:val="00CD63B1"/>
    <w:rsid w:val="00CD6ED6"/>
    <w:rsid w:val="00CE0B22"/>
    <w:rsid w:val="00CE2A30"/>
    <w:rsid w:val="00CE2D8C"/>
    <w:rsid w:val="00CE5657"/>
    <w:rsid w:val="00CF1588"/>
    <w:rsid w:val="00CF39ED"/>
    <w:rsid w:val="00CF7A0E"/>
    <w:rsid w:val="00D02EB2"/>
    <w:rsid w:val="00D133F8"/>
    <w:rsid w:val="00D137B7"/>
    <w:rsid w:val="00D14A3E"/>
    <w:rsid w:val="00D14CF9"/>
    <w:rsid w:val="00D1545A"/>
    <w:rsid w:val="00D15898"/>
    <w:rsid w:val="00D166BF"/>
    <w:rsid w:val="00D17270"/>
    <w:rsid w:val="00D22DBD"/>
    <w:rsid w:val="00D25114"/>
    <w:rsid w:val="00D25194"/>
    <w:rsid w:val="00D31F6F"/>
    <w:rsid w:val="00D32CD9"/>
    <w:rsid w:val="00D32E06"/>
    <w:rsid w:val="00D33295"/>
    <w:rsid w:val="00D340B2"/>
    <w:rsid w:val="00D400AF"/>
    <w:rsid w:val="00D40CF3"/>
    <w:rsid w:val="00D431F5"/>
    <w:rsid w:val="00D46101"/>
    <w:rsid w:val="00D51310"/>
    <w:rsid w:val="00D5561E"/>
    <w:rsid w:val="00D60631"/>
    <w:rsid w:val="00D61D70"/>
    <w:rsid w:val="00D6323B"/>
    <w:rsid w:val="00D73EA8"/>
    <w:rsid w:val="00D82B44"/>
    <w:rsid w:val="00D82D9E"/>
    <w:rsid w:val="00D82F06"/>
    <w:rsid w:val="00D839B3"/>
    <w:rsid w:val="00D879F3"/>
    <w:rsid w:val="00D87E77"/>
    <w:rsid w:val="00D9124A"/>
    <w:rsid w:val="00D9305F"/>
    <w:rsid w:val="00DA0E84"/>
    <w:rsid w:val="00DA2FB1"/>
    <w:rsid w:val="00DA318A"/>
    <w:rsid w:val="00DA55BD"/>
    <w:rsid w:val="00DB4F26"/>
    <w:rsid w:val="00DB69F0"/>
    <w:rsid w:val="00DC0A64"/>
    <w:rsid w:val="00DC57C5"/>
    <w:rsid w:val="00DC7B5F"/>
    <w:rsid w:val="00DD0A29"/>
    <w:rsid w:val="00DE175C"/>
    <w:rsid w:val="00DE58D3"/>
    <w:rsid w:val="00DF01B4"/>
    <w:rsid w:val="00DF1409"/>
    <w:rsid w:val="00DF4CCA"/>
    <w:rsid w:val="00DF4FF9"/>
    <w:rsid w:val="00DF60A3"/>
    <w:rsid w:val="00E02010"/>
    <w:rsid w:val="00E03EB6"/>
    <w:rsid w:val="00E070B6"/>
    <w:rsid w:val="00E07D12"/>
    <w:rsid w:val="00E1092C"/>
    <w:rsid w:val="00E11F9D"/>
    <w:rsid w:val="00E13DC4"/>
    <w:rsid w:val="00E14336"/>
    <w:rsid w:val="00E22DE2"/>
    <w:rsid w:val="00E23162"/>
    <w:rsid w:val="00E23A5E"/>
    <w:rsid w:val="00E27DAF"/>
    <w:rsid w:val="00E32A12"/>
    <w:rsid w:val="00E32E8C"/>
    <w:rsid w:val="00E338E5"/>
    <w:rsid w:val="00E3716B"/>
    <w:rsid w:val="00E37749"/>
    <w:rsid w:val="00E42555"/>
    <w:rsid w:val="00E43097"/>
    <w:rsid w:val="00E44B3F"/>
    <w:rsid w:val="00E47B89"/>
    <w:rsid w:val="00E50FA1"/>
    <w:rsid w:val="00E5323B"/>
    <w:rsid w:val="00E539B0"/>
    <w:rsid w:val="00E64AD2"/>
    <w:rsid w:val="00E661D1"/>
    <w:rsid w:val="00E66412"/>
    <w:rsid w:val="00E840B7"/>
    <w:rsid w:val="00E8749E"/>
    <w:rsid w:val="00E90C01"/>
    <w:rsid w:val="00E96C8F"/>
    <w:rsid w:val="00EA3022"/>
    <w:rsid w:val="00EA45C3"/>
    <w:rsid w:val="00EA486E"/>
    <w:rsid w:val="00EA51FE"/>
    <w:rsid w:val="00EB08FE"/>
    <w:rsid w:val="00EB3568"/>
    <w:rsid w:val="00EC12BB"/>
    <w:rsid w:val="00EC6DA7"/>
    <w:rsid w:val="00EC7ECF"/>
    <w:rsid w:val="00ED62A3"/>
    <w:rsid w:val="00ED6B55"/>
    <w:rsid w:val="00ED755E"/>
    <w:rsid w:val="00ED7B78"/>
    <w:rsid w:val="00EE48B3"/>
    <w:rsid w:val="00EE513A"/>
    <w:rsid w:val="00EE71E4"/>
    <w:rsid w:val="00EF269E"/>
    <w:rsid w:val="00EF2F71"/>
    <w:rsid w:val="00EF3F89"/>
    <w:rsid w:val="00EF403A"/>
    <w:rsid w:val="00EF4F7E"/>
    <w:rsid w:val="00F037E6"/>
    <w:rsid w:val="00F04CDA"/>
    <w:rsid w:val="00F07CB9"/>
    <w:rsid w:val="00F123F9"/>
    <w:rsid w:val="00F14B3D"/>
    <w:rsid w:val="00F15EA7"/>
    <w:rsid w:val="00F26596"/>
    <w:rsid w:val="00F26C58"/>
    <w:rsid w:val="00F27648"/>
    <w:rsid w:val="00F300D1"/>
    <w:rsid w:val="00F3144A"/>
    <w:rsid w:val="00F372BA"/>
    <w:rsid w:val="00F44B90"/>
    <w:rsid w:val="00F475A5"/>
    <w:rsid w:val="00F50780"/>
    <w:rsid w:val="00F507C2"/>
    <w:rsid w:val="00F50B12"/>
    <w:rsid w:val="00F54A9B"/>
    <w:rsid w:val="00F55316"/>
    <w:rsid w:val="00F5554F"/>
    <w:rsid w:val="00F556E5"/>
    <w:rsid w:val="00F56FF9"/>
    <w:rsid w:val="00F57B0C"/>
    <w:rsid w:val="00F6528D"/>
    <w:rsid w:val="00F668CF"/>
    <w:rsid w:val="00F71F93"/>
    <w:rsid w:val="00F76D54"/>
    <w:rsid w:val="00F7783C"/>
    <w:rsid w:val="00F800D6"/>
    <w:rsid w:val="00F8337D"/>
    <w:rsid w:val="00F8715F"/>
    <w:rsid w:val="00F951E7"/>
    <w:rsid w:val="00F9527B"/>
    <w:rsid w:val="00FA2278"/>
    <w:rsid w:val="00FA252D"/>
    <w:rsid w:val="00FA2E3A"/>
    <w:rsid w:val="00FA5888"/>
    <w:rsid w:val="00FB1A4F"/>
    <w:rsid w:val="00FB1FCB"/>
    <w:rsid w:val="00FC69C6"/>
    <w:rsid w:val="00FD3DF2"/>
    <w:rsid w:val="00FD73FB"/>
    <w:rsid w:val="00FD758F"/>
    <w:rsid w:val="00FE0F7C"/>
    <w:rsid w:val="00FE4708"/>
    <w:rsid w:val="00FF2C37"/>
    <w:rsid w:val="00FF5927"/>
    <w:rsid w:val="00FF5D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23B260"/>
  <w15:docId w15:val="{9523974A-B54F-4A75-B27B-8D31AC58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ListParagraph">
    <w:name w:val="List Paragraph"/>
    <w:basedOn w:val="Normal"/>
    <w:uiPriority w:val="34"/>
    <w:qFormat/>
    <w:rsid w:val="00DF60A3"/>
    <w:pPr>
      <w:ind w:left="720"/>
      <w:contextualSpacing/>
    </w:pPr>
  </w:style>
  <w:style w:type="character" w:styleId="CommentReference">
    <w:name w:val="annotation reference"/>
    <w:basedOn w:val="DefaultParagraphFont"/>
    <w:uiPriority w:val="99"/>
    <w:semiHidden/>
    <w:unhideWhenUsed/>
    <w:rsid w:val="00A4665B"/>
    <w:rPr>
      <w:sz w:val="16"/>
      <w:szCs w:val="16"/>
    </w:rPr>
  </w:style>
  <w:style w:type="paragraph" w:styleId="CommentText">
    <w:name w:val="annotation text"/>
    <w:basedOn w:val="Normal"/>
    <w:link w:val="CommentTextChar"/>
    <w:uiPriority w:val="99"/>
    <w:semiHidden/>
    <w:unhideWhenUsed/>
    <w:rsid w:val="00A4665B"/>
    <w:pPr>
      <w:spacing w:line="240" w:lineRule="auto"/>
    </w:pPr>
    <w:rPr>
      <w:sz w:val="20"/>
      <w:szCs w:val="20"/>
    </w:rPr>
  </w:style>
  <w:style w:type="character" w:customStyle="1" w:styleId="CommentTextChar">
    <w:name w:val="Comment Text Char"/>
    <w:basedOn w:val="DefaultParagraphFont"/>
    <w:link w:val="CommentText"/>
    <w:uiPriority w:val="99"/>
    <w:semiHidden/>
    <w:rsid w:val="00A4665B"/>
    <w:rPr>
      <w:sz w:val="20"/>
      <w:szCs w:val="20"/>
    </w:rPr>
  </w:style>
  <w:style w:type="paragraph" w:styleId="CommentSubject">
    <w:name w:val="annotation subject"/>
    <w:basedOn w:val="CommentText"/>
    <w:next w:val="CommentText"/>
    <w:link w:val="CommentSubjectChar"/>
    <w:uiPriority w:val="99"/>
    <w:semiHidden/>
    <w:unhideWhenUsed/>
    <w:rsid w:val="00A4665B"/>
    <w:rPr>
      <w:b/>
      <w:bCs/>
    </w:rPr>
  </w:style>
  <w:style w:type="character" w:customStyle="1" w:styleId="CommentSubjectChar">
    <w:name w:val="Comment Subject Char"/>
    <w:basedOn w:val="CommentTextChar"/>
    <w:link w:val="CommentSubject"/>
    <w:uiPriority w:val="99"/>
    <w:semiHidden/>
    <w:rsid w:val="00A4665B"/>
    <w:rPr>
      <w:b/>
      <w:bCs/>
      <w:sz w:val="20"/>
      <w:szCs w:val="20"/>
    </w:rPr>
  </w:style>
  <w:style w:type="paragraph" w:customStyle="1" w:styleId="RakstzCharCharRakstzCharCharRakstz">
    <w:name w:val="Rakstz. Char Char Rakstz. Char Char Rakstz."/>
    <w:basedOn w:val="Normal"/>
    <w:rsid w:val="0044109F"/>
    <w:pPr>
      <w:spacing w:line="240" w:lineRule="exact"/>
    </w:pPr>
    <w:rPr>
      <w:rFonts w:ascii="Tahoma" w:eastAsia="Times New Roman" w:hAnsi="Tahoma" w:cs="Tahoma"/>
      <w:sz w:val="20"/>
      <w:szCs w:val="20"/>
      <w:lang w:val="en-US"/>
    </w:rPr>
  </w:style>
  <w:style w:type="character" w:customStyle="1" w:styleId="UnresolvedMention1">
    <w:name w:val="Unresolved Mention1"/>
    <w:basedOn w:val="DefaultParagraphFont"/>
    <w:uiPriority w:val="99"/>
    <w:semiHidden/>
    <w:unhideWhenUsed/>
    <w:rsid w:val="00846B5A"/>
    <w:rPr>
      <w:color w:val="605E5C"/>
      <w:shd w:val="clear" w:color="auto" w:fill="E1DFDD"/>
    </w:rPr>
  </w:style>
  <w:style w:type="paragraph" w:styleId="NoSpacing">
    <w:name w:val="No Spacing"/>
    <w:basedOn w:val="Normal"/>
    <w:link w:val="NoSpacingChar"/>
    <w:uiPriority w:val="1"/>
    <w:qFormat/>
    <w:rsid w:val="004966EF"/>
    <w:pPr>
      <w:spacing w:after="0" w:line="240" w:lineRule="auto"/>
    </w:pPr>
    <w:rPr>
      <w:sz w:val="20"/>
      <w:szCs w:val="20"/>
      <w:lang w:val="en-GB"/>
    </w:rPr>
  </w:style>
  <w:style w:type="character" w:customStyle="1" w:styleId="NoSpacingChar">
    <w:name w:val="No Spacing Char"/>
    <w:basedOn w:val="DefaultParagraphFont"/>
    <w:link w:val="NoSpacing"/>
    <w:uiPriority w:val="1"/>
    <w:rsid w:val="004966EF"/>
    <w:rPr>
      <w:sz w:val="20"/>
      <w:szCs w:val="20"/>
      <w:lang w:val="en-GB"/>
    </w:rPr>
  </w:style>
  <w:style w:type="paragraph" w:styleId="NormalWeb">
    <w:name w:val="Normal (Web)"/>
    <w:basedOn w:val="Normal"/>
    <w:uiPriority w:val="99"/>
    <w:unhideWhenUsed/>
    <w:rsid w:val="004966EF"/>
    <w:pPr>
      <w:spacing w:after="0" w:line="240" w:lineRule="auto"/>
    </w:pPr>
    <w:rPr>
      <w:rFonts w:ascii="Calibri" w:hAnsi="Calibri" w:cs="Calibri"/>
      <w:lang w:eastAsia="lv-LV"/>
    </w:rPr>
  </w:style>
  <w:style w:type="paragraph" w:styleId="Revision">
    <w:name w:val="Revision"/>
    <w:hidden/>
    <w:uiPriority w:val="99"/>
    <w:semiHidden/>
    <w:rsid w:val="001F32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59887">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64504443">
      <w:bodyDiv w:val="1"/>
      <w:marLeft w:val="0"/>
      <w:marRight w:val="0"/>
      <w:marTop w:val="0"/>
      <w:marBottom w:val="0"/>
      <w:divBdr>
        <w:top w:val="none" w:sz="0" w:space="0" w:color="auto"/>
        <w:left w:val="none" w:sz="0" w:space="0" w:color="auto"/>
        <w:bottom w:val="none" w:sz="0" w:space="0" w:color="auto"/>
        <w:right w:val="none" w:sz="0" w:space="0" w:color="auto"/>
      </w:divBdr>
    </w:div>
    <w:div w:id="298730538">
      <w:bodyDiv w:val="1"/>
      <w:marLeft w:val="0"/>
      <w:marRight w:val="0"/>
      <w:marTop w:val="0"/>
      <w:marBottom w:val="0"/>
      <w:divBdr>
        <w:top w:val="none" w:sz="0" w:space="0" w:color="auto"/>
        <w:left w:val="none" w:sz="0" w:space="0" w:color="auto"/>
        <w:bottom w:val="none" w:sz="0" w:space="0" w:color="auto"/>
        <w:right w:val="none" w:sz="0" w:space="0" w:color="auto"/>
      </w:divBdr>
    </w:div>
    <w:div w:id="599216123">
      <w:bodyDiv w:val="1"/>
      <w:marLeft w:val="0"/>
      <w:marRight w:val="0"/>
      <w:marTop w:val="0"/>
      <w:marBottom w:val="0"/>
      <w:divBdr>
        <w:top w:val="none" w:sz="0" w:space="0" w:color="auto"/>
        <w:left w:val="none" w:sz="0" w:space="0" w:color="auto"/>
        <w:bottom w:val="none" w:sz="0" w:space="0" w:color="auto"/>
        <w:right w:val="none" w:sz="0" w:space="0" w:color="auto"/>
      </w:divBdr>
    </w:div>
    <w:div w:id="638845813">
      <w:bodyDiv w:val="1"/>
      <w:marLeft w:val="0"/>
      <w:marRight w:val="0"/>
      <w:marTop w:val="0"/>
      <w:marBottom w:val="0"/>
      <w:divBdr>
        <w:top w:val="none" w:sz="0" w:space="0" w:color="auto"/>
        <w:left w:val="none" w:sz="0" w:space="0" w:color="auto"/>
        <w:bottom w:val="none" w:sz="0" w:space="0" w:color="auto"/>
        <w:right w:val="none" w:sz="0" w:space="0" w:color="auto"/>
      </w:divBdr>
    </w:div>
    <w:div w:id="822046810">
      <w:bodyDiv w:val="1"/>
      <w:marLeft w:val="0"/>
      <w:marRight w:val="0"/>
      <w:marTop w:val="0"/>
      <w:marBottom w:val="0"/>
      <w:divBdr>
        <w:top w:val="none" w:sz="0" w:space="0" w:color="auto"/>
        <w:left w:val="none" w:sz="0" w:space="0" w:color="auto"/>
        <w:bottom w:val="none" w:sz="0" w:space="0" w:color="auto"/>
        <w:right w:val="none" w:sz="0" w:space="0" w:color="auto"/>
      </w:divBdr>
    </w:div>
    <w:div w:id="1007556486">
      <w:bodyDiv w:val="1"/>
      <w:marLeft w:val="0"/>
      <w:marRight w:val="0"/>
      <w:marTop w:val="0"/>
      <w:marBottom w:val="0"/>
      <w:divBdr>
        <w:top w:val="none" w:sz="0" w:space="0" w:color="auto"/>
        <w:left w:val="none" w:sz="0" w:space="0" w:color="auto"/>
        <w:bottom w:val="none" w:sz="0" w:space="0" w:color="auto"/>
        <w:right w:val="none" w:sz="0" w:space="0" w:color="auto"/>
      </w:divBdr>
    </w:div>
    <w:div w:id="1243489268">
      <w:bodyDiv w:val="1"/>
      <w:marLeft w:val="0"/>
      <w:marRight w:val="0"/>
      <w:marTop w:val="0"/>
      <w:marBottom w:val="0"/>
      <w:divBdr>
        <w:top w:val="none" w:sz="0" w:space="0" w:color="auto"/>
        <w:left w:val="none" w:sz="0" w:space="0" w:color="auto"/>
        <w:bottom w:val="none" w:sz="0" w:space="0" w:color="auto"/>
        <w:right w:val="none" w:sz="0" w:space="0" w:color="auto"/>
      </w:divBdr>
    </w:div>
    <w:div w:id="1360887258">
      <w:bodyDiv w:val="1"/>
      <w:marLeft w:val="0"/>
      <w:marRight w:val="0"/>
      <w:marTop w:val="0"/>
      <w:marBottom w:val="0"/>
      <w:divBdr>
        <w:top w:val="none" w:sz="0" w:space="0" w:color="auto"/>
        <w:left w:val="none" w:sz="0" w:space="0" w:color="auto"/>
        <w:bottom w:val="none" w:sz="0" w:space="0" w:color="auto"/>
        <w:right w:val="none" w:sz="0" w:space="0" w:color="auto"/>
      </w:divBdr>
    </w:div>
    <w:div w:id="1376809126">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2054229418">
      <w:bodyDiv w:val="1"/>
      <w:marLeft w:val="0"/>
      <w:marRight w:val="0"/>
      <w:marTop w:val="0"/>
      <w:marBottom w:val="0"/>
      <w:divBdr>
        <w:top w:val="none" w:sz="0" w:space="0" w:color="auto"/>
        <w:left w:val="none" w:sz="0" w:space="0" w:color="auto"/>
        <w:bottom w:val="none" w:sz="0" w:space="0" w:color="auto"/>
        <w:right w:val="none" w:sz="0" w:space="0" w:color="auto"/>
      </w:divBdr>
    </w:div>
    <w:div w:id="213767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45466-par-valsts-socialo-apdrosinasan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45466-par-valsts-socialo-apdrosinasan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45466-par-valsts-socialo-apdrosinasan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m.gov.lv/lv/sabiedribas_lidzdaliba/tiesibu_aktu_projekti/nodoklu_poli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Uldis Rūbežnīks (VID)</Vad_x012b_t_x0101_js>
    <NPK xmlns="b6da864e-06a3-40ee-a61e-0cd067b16413">1</NPK>
    <Kategorija xmlns="2e5bb04e-596e-45bd-9003-43ca78b1ba16">Anotācija</Kategorija>
    <DKP xmlns="2e5bb04e-596e-45bd-9003-43ca78b1ba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8DC893E7AF5C747B4CCAAAFF895F576" ma:contentTypeVersion="" ma:contentTypeDescription="Izveidot jaunu dokumentu." ma:contentTypeScope="" ma:versionID="0f71227dbd5b3fed2c151c1eebd99a29">
  <xsd:schema xmlns:xsd="http://www.w3.org/2001/XMLSchema" xmlns:xs="http://www.w3.org/2001/XMLSchema" xmlns:p="http://schemas.microsoft.com/office/2006/metadata/properties" xmlns:ns1="2e5bb04e-596e-45bd-9003-43ca78b1ba16" xmlns:ns4="b6da864e-06a3-40ee-a61e-0cd067b16413" targetNamespace="http://schemas.microsoft.com/office/2006/metadata/properties" ma:root="true" ma:fieldsID="f7db289b5b1acf6a7a7a6c8da8069ed7" ns1:_="" ns4:_="">
    <xsd:import namespace="2e5bb04e-596e-45bd-9003-43ca78b1ba16"/>
    <xsd:import namespace="b6da864e-06a3-40ee-a61e-0cd067b16413"/>
    <xsd:element name="properties">
      <xsd:complexType>
        <xsd:sequence>
          <xsd:element name="documentManagement">
            <xsd:complexType>
              <xsd:all>
                <xsd:element ref="ns1:DKP" minOccurs="0"/>
                <xsd:element ref="ns1:Kategorija"/>
                <xsd:element ref="ns1:Vad_x012b_t_x0101_js" minOccurs="0"/>
                <xsd:element ref="ns4:NP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DKP" ma:index="0" nillable="true" ma:displayName="TAP" ma:list="{23469F43-269A-47E0-8057-9F80EA2D130B}"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a864e-06a3-40ee-a61e-0cd067b16413" elementFormDefault="qualified">
    <xsd:import namespace="http://schemas.microsoft.com/office/2006/documentManagement/types"/>
    <xsd:import namespace="http://schemas.microsoft.com/office/infopath/2007/PartnerControls"/>
    <xsd:element name="NPK" ma:index="12" nillable="true" ma:displayName="NPK" ma:default="1" ma:format="Dropdown" ma:internalName="NPK">
      <xsd:simpleType>
        <xsd:restriction base="dms:Choice">
          <xsd:enumeration value="1"/>
          <xsd:enumeration value="2"/>
          <xsd:enumeration value="3"/>
          <xsd:enumeration value="4"/>
          <xsd:enumeration value="5"/>
          <xsd:enumeration value="6"/>
          <xsd:enumeration value="7"/>
          <xsd:enumeration value="8"/>
          <xsd:enumeration value="9"/>
          <xsd:enumeration value="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B30F3-8316-4D03-9BE0-82D6518EDF95}">
  <ds:schemaRefs>
    <ds:schemaRef ds:uri="http://purl.org/dc/elements/1.1/"/>
    <ds:schemaRef ds:uri="http://purl.org/dc/dcmitype/"/>
    <ds:schemaRef ds:uri="http://schemas.microsoft.com/office/2006/metadata/properties"/>
    <ds:schemaRef ds:uri="http://schemas.microsoft.com/office/infopath/2007/PartnerControls"/>
    <ds:schemaRef ds:uri="http://schemas.microsoft.com/office/2006/documentManagement/types"/>
    <ds:schemaRef ds:uri="2e5bb04e-596e-45bd-9003-43ca78b1ba16"/>
    <ds:schemaRef ds:uri="b6da864e-06a3-40ee-a61e-0cd067b16413"/>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04410B58-3EF7-4172-9774-4FF48009BF53}">
  <ds:schemaRefs>
    <ds:schemaRef ds:uri="http://schemas.microsoft.com/sharepoint/v3/contenttype/forms"/>
  </ds:schemaRefs>
</ds:datastoreItem>
</file>

<file path=customXml/itemProps3.xml><?xml version="1.0" encoding="utf-8"?>
<ds:datastoreItem xmlns:ds="http://schemas.openxmlformats.org/officeDocument/2006/customXml" ds:itemID="{19B93B2F-3684-4052-8DBC-F39BA2176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b6da864e-06a3-40ee-a61e-0cd067b1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7C10EB-900D-4A0F-BA27-002F718BB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11029</Words>
  <Characters>6288</Characters>
  <Application>Microsoft Office Word</Application>
  <DocSecurity>0</DocSecurity>
  <Lines>52</Lines>
  <Paragraphs>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Ministru kabineta noteikumu projekta “Grozījumi Ministru kabineta 2015.gada 22.decembra noteikumos Nr.760 “Kārtība, kādā kredītinformācijas birojs vai fiziskā persona pieprasa un Valsts ieņēmumu dienests sniedz informāciju par fiziskās personas ienākumiem</vt:lpstr>
      <vt:lpstr>Ministru kabineta noteikumu projekta „Grozījumi Ministru kabineta 2010. gada 7. decembra noteikumos Nr. 1098 „Noteikumi par rīcību ar administratīvo pārkāpumu lietās izņemto mantu un dokumentiem”” sākotnējās ietekmes novērtējuma ziņojums (anotācija)</vt:lpstr>
    </vt:vector>
  </TitlesOfParts>
  <Manager>Uldis.Rubezniks@vid.gov.lv</Manager>
  <Company>Valsts ieņēmumu dienests</Company>
  <LinksUpToDate>false</LinksUpToDate>
  <CharactersWithSpaces>17283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2015.gada 22.decembra noteikumos Nr.760 “Kārtība, kādā kredītinformācijas birojs vai fiziskā persona pieprasa un Valsts ieņēmumu dienests sniedz informāciju par fiziskās personas ienākumiem</dc:title>
  <dc:subject>noteikumu projekta anotācija</dc:subject>
  <dc:creator>Uldis Rūbežnīks (VID)</dc:creator>
  <dc:description>Uldis Rūbežnīks tel.67121841, Uldis.Rubezniks@vid.gov.lv</dc:description>
  <cp:lastModifiedBy>Inguna Dancīte</cp:lastModifiedBy>
  <cp:revision>2</cp:revision>
  <cp:lastPrinted>2020-06-08T07:25:00Z</cp:lastPrinted>
  <dcterms:created xsi:type="dcterms:W3CDTF">2021-02-02T14:17:00Z</dcterms:created>
  <dcterms:modified xsi:type="dcterms:W3CDTF">2021-02-02T14:17:00Z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0x01010078DC893E7AF5C747B4CCAAAFF895F576</vt:lpwstr>
  </property>
</Properties>
</file>