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14A6E" w14:textId="77777777" w:rsidR="00844D08" w:rsidRPr="00AD0871" w:rsidRDefault="00844D08" w:rsidP="00AD0871">
      <w:pPr>
        <w:shd w:val="clear" w:color="auto" w:fill="FFFFFF"/>
        <w:spacing w:line="240" w:lineRule="auto"/>
        <w:jc w:val="right"/>
        <w:rPr>
          <w:rFonts w:ascii="Calibri" w:eastAsia="Times New Roman" w:hAnsi="Calibri" w:cs="Times New Roman"/>
          <w:i/>
          <w:color w:val="000000"/>
          <w:lang w:val="lv-LV" w:eastAsia="lv-LV"/>
        </w:rPr>
      </w:pPr>
      <w:bookmarkStart w:id="0" w:name="_GoBack"/>
      <w:bookmarkEnd w:id="0"/>
      <w:r w:rsidRPr="00AD0871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br/>
      </w:r>
      <w:r w:rsidRPr="00AD0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lv-LV" w:eastAsia="lv-LV"/>
        </w:rPr>
        <w:t>Likumprojekts</w:t>
      </w:r>
    </w:p>
    <w:p w14:paraId="66B12E0F" w14:textId="77777777" w:rsidR="00844D08" w:rsidRPr="00AD0871" w:rsidRDefault="00844D08" w:rsidP="00AD087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lv-LV" w:eastAsia="lv-LV"/>
        </w:rPr>
      </w:pPr>
      <w:r w:rsidRPr="00AD0871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 </w:t>
      </w:r>
    </w:p>
    <w:p w14:paraId="3640D5F5" w14:textId="32F5D4C6" w:rsidR="00844D08" w:rsidRPr="00AD0871" w:rsidRDefault="00844D08" w:rsidP="00AD08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lv-LV" w:eastAsia="lv-LV"/>
        </w:rPr>
      </w:pPr>
      <w:r w:rsidRPr="00AD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lv-LV"/>
        </w:rPr>
        <w:t>Grozījumi</w:t>
      </w:r>
      <w:r w:rsidRPr="00AD0871">
        <w:rPr>
          <w:rFonts w:ascii="Times New Roman" w:eastAsia="Times New Roman" w:hAnsi="Times New Roman" w:cs="Times New Roman"/>
          <w:b/>
          <w:bCs/>
          <w:color w:val="000000"/>
          <w:sz w:val="28"/>
          <w:lang w:val="lv-LV" w:eastAsia="lv-LV"/>
        </w:rPr>
        <w:t> </w:t>
      </w:r>
      <w:r w:rsidR="004D1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lv-LV"/>
        </w:rPr>
        <w:t>Kredītiestāžu</w:t>
      </w:r>
      <w:r w:rsidRPr="00AD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lv-LV"/>
        </w:rPr>
        <w:t xml:space="preserve"> likumā</w:t>
      </w:r>
    </w:p>
    <w:p w14:paraId="705CF00B" w14:textId="77777777" w:rsidR="00844D08" w:rsidRPr="00AD0871" w:rsidRDefault="00844D08" w:rsidP="00AD08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lv-LV" w:eastAsia="lv-LV"/>
        </w:rPr>
      </w:pPr>
      <w:r w:rsidRPr="00AD0871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 </w:t>
      </w:r>
    </w:p>
    <w:p w14:paraId="3871C03F" w14:textId="78AE8343" w:rsidR="00844D08" w:rsidRPr="004D1BFD" w:rsidRDefault="00844D08" w:rsidP="00AD0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</w:pPr>
      <w:r w:rsidRPr="00C52F84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Izdarīt </w:t>
      </w:r>
      <w:r w:rsidR="004D1BFD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 xml:space="preserve">Kredītiestāžu </w:t>
      </w:r>
      <w:r w:rsidRPr="00C52F84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 xml:space="preserve">likumā </w:t>
      </w:r>
      <w:r w:rsidR="004D1BFD" w:rsidRPr="004D1B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 xml:space="preserve">(Latvijas Republikas Saeimas un Ministru Kabineta Ziņotājs, 1995, 23.nr.; 1996, 9., 14., 23.nr.; 1997, 23.nr.; 1998, 13.nr.; 2000, 13.nr.; 2002, 10., 23.nr.; 2003, 14.nr.; 2004, 2., 12., 23.nr.; 2005, 13., 14.nr.; 2006, 15.nr.; 2007, 7., 12.nr.; 2008, 14., 23.nr.; 2009, 6., 7., 17., 22.nr.; Latvijas Vēstnesis, 2010, 23., 51./52., 160.nr.; 2011, 4.nr.; 2012, 50., 56., 92.nr.; 2013, 61., 106., 193.nr.; 2014, 92.nr.; 2015, 29., 97., 124., 140., 248., 251.nr.; 2016, </w:t>
      </w:r>
      <w:r w:rsidR="004D1BFD" w:rsidRPr="00C358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117.</w:t>
      </w:r>
      <w:r w:rsidR="00C358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, 241.</w:t>
      </w:r>
      <w:r w:rsidR="004D1BFD" w:rsidRPr="00C358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nr.</w:t>
      </w:r>
      <w:r w:rsidR="00C358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 xml:space="preserve">; 2017, 152., 222.nr.; 2018, 45., 225.nr.; 2019, 52., 129., 259A.nr.; 2020, 123., 138.nr. </w:t>
      </w:r>
      <w:r w:rsidR="004D1BFD" w:rsidRPr="00C358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)</w:t>
      </w:r>
      <w:r w:rsidR="004D1BFD" w:rsidRPr="004D1B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 xml:space="preserve"> šādus grozījumus:</w:t>
      </w:r>
    </w:p>
    <w:p w14:paraId="7EE8FA3D" w14:textId="77777777" w:rsidR="00844D08" w:rsidRPr="00C52F84" w:rsidRDefault="00844D08" w:rsidP="00AD0871">
      <w:pPr>
        <w:spacing w:line="240" w:lineRule="auto"/>
        <w:rPr>
          <w:rFonts w:ascii="Times New Roman" w:hAnsi="Times New Roman" w:cs="Times New Roman"/>
          <w:sz w:val="28"/>
          <w:szCs w:val="28"/>
          <w:lang w:val="lv-LV"/>
        </w:rPr>
      </w:pPr>
    </w:p>
    <w:p w14:paraId="4AD4EFB2" w14:textId="6ADAB86D" w:rsidR="00AD0871" w:rsidRPr="00C52F84" w:rsidRDefault="00B7610F" w:rsidP="00AD0871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Izslēgt 1.panta pirmās daļas 11.</w:t>
      </w:r>
      <w:r w:rsidRPr="00B7610F">
        <w:rPr>
          <w:rFonts w:ascii="Times New Roman" w:hAnsi="Times New Roman" w:cs="Times New Roman"/>
          <w:sz w:val="28"/>
          <w:szCs w:val="28"/>
          <w:vertAlign w:val="superscript"/>
          <w:lang w:val="lv-LV"/>
        </w:rPr>
        <w:t>1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punktā vārdus “un ieguldījumu brokeru sabiedrība”.</w:t>
      </w:r>
    </w:p>
    <w:p w14:paraId="4E7AA527" w14:textId="156BB99A" w:rsidR="00844D08" w:rsidRPr="00C52F84" w:rsidRDefault="00FA1329" w:rsidP="00AD0871">
      <w:pPr>
        <w:pStyle w:val="ListParagraph"/>
        <w:numPr>
          <w:ilvl w:val="0"/>
          <w:numId w:val="5"/>
        </w:numPr>
        <w:spacing w:before="12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  <w:lang w:val="lv-LV"/>
        </w:rPr>
      </w:pPr>
      <w:r w:rsidRPr="00C52F84"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  <w:t xml:space="preserve">Papildināt </w:t>
      </w:r>
      <w:r w:rsidR="002574CE"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  <w:t>ar 11.</w:t>
      </w:r>
      <w:r w:rsidR="002574CE" w:rsidRPr="002574C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lv-LV" w:eastAsia="lv-LV"/>
        </w:rPr>
        <w:t>2</w:t>
      </w:r>
      <w:r w:rsidR="002574CE"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  <w:t xml:space="preserve"> pantu</w:t>
      </w:r>
      <w:r w:rsidR="00844D08" w:rsidRPr="00C52F84"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  <w:t xml:space="preserve"> šādā redakcijā:</w:t>
      </w:r>
    </w:p>
    <w:p w14:paraId="04956644" w14:textId="77777777" w:rsidR="00741171" w:rsidRPr="00741171" w:rsidRDefault="002574CE" w:rsidP="00741171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  <w:t>“</w:t>
      </w:r>
      <w:r w:rsidR="00741171" w:rsidRPr="00741171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t>11.</w:t>
      </w:r>
      <w:r w:rsidR="00741171" w:rsidRPr="00741171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  <w:lang w:val="lv-LV" w:eastAsia="lv-LV"/>
        </w:rPr>
        <w:t>2</w:t>
      </w:r>
      <w:r w:rsidR="00741171" w:rsidRPr="00741171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t xml:space="preserve"> pants</w:t>
      </w:r>
      <w:r w:rsidR="00741171"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 </w:t>
      </w:r>
    </w:p>
    <w:p w14:paraId="7280DFE5" w14:textId="17A93C5E" w:rsidR="00741171" w:rsidRPr="00741171" w:rsidRDefault="00741171" w:rsidP="00741171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(1)</w:t>
      </w:r>
      <w:r w:rsidR="00BA34B5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 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Ieguldījumu brokeru sabiedrība, kas sniedz Finanšu instrumentu tirgus likuma 3. panta ceturtās daļas 3. vai 6. punktā minēto ieguldījumu pakalpojumu un kura atbilst kādam no ES regulas Nr. 575/2013 4.panta 1.punkta “b” apakšpunktā minētajiem kritērijiem, iesniedz Finanšu un kapitāla tirgus komisijai iesniegumu kredītiestādes licences</w:t>
      </w:r>
      <w:r w:rsidR="00BA34B5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 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(atļaujas) saņemšanai vēlākais dienā, kad ir iestājies kāds no šādiem </w:t>
      </w:r>
      <w:r w:rsidR="005715EE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nosacījumiem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:</w:t>
      </w:r>
    </w:p>
    <w:p w14:paraId="551A3FF0" w14:textId="5985406F" w:rsidR="00741171" w:rsidRPr="00741171" w:rsidRDefault="00741171" w:rsidP="00741171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1) tās mēneša aktīvu kopsummas vidējais rādītājs, kas aprēķināts 12 secīgu mēnešu periodā, ir vienāds ar vai pārsniedz 30 miljardus</w:t>
      </w:r>
      <w:r w:rsidR="00BA34B5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 </w:t>
      </w:r>
      <w:r w:rsidR="00BA34B5" w:rsidRPr="00156F75">
        <w:rPr>
          <w:rFonts w:ascii="Times New Roman" w:hAnsi="Times New Roman" w:cs="Times New Roman"/>
          <w:i/>
          <w:noProof/>
          <w:sz w:val="28"/>
          <w:szCs w:val="28"/>
          <w:lang w:val="lv-LV" w:eastAsia="lv-LV"/>
        </w:rPr>
        <w:t>euro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;</w:t>
      </w:r>
    </w:p>
    <w:p w14:paraId="6B13BBD1" w14:textId="77777777" w:rsidR="00741171" w:rsidRPr="00741171" w:rsidRDefault="00741171" w:rsidP="00741171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2) mēneša kopējo aktīvu vidējais rādītājs, kas aprēķināts 12 secīgu mēnešu periodā, ir vienāds ar vai mazāks par 30 miljardiem </w:t>
      </w:r>
      <w:r w:rsidRPr="00156F75">
        <w:rPr>
          <w:rFonts w:ascii="Times New Roman" w:hAnsi="Times New Roman" w:cs="Times New Roman"/>
          <w:i/>
          <w:noProof/>
          <w:sz w:val="28"/>
          <w:szCs w:val="28"/>
          <w:lang w:val="lv-LV" w:eastAsia="lv-LV"/>
        </w:rPr>
        <w:t>euro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 un ieguldījumu brokeru sabiedrība ietilpst grupā, kuras kopējā vērtība, ko veido visu to grupas uzņēmumu kopējā konsolidēto aktīvu vērtība, pārsniedz 30 miljardus </w:t>
      </w:r>
      <w:r w:rsidRPr="00156F75">
        <w:rPr>
          <w:rFonts w:ascii="Times New Roman" w:hAnsi="Times New Roman" w:cs="Times New Roman"/>
          <w:i/>
          <w:noProof/>
          <w:sz w:val="28"/>
          <w:szCs w:val="28"/>
          <w:lang w:val="lv-LV" w:eastAsia="lv-LV"/>
        </w:rPr>
        <w:t>euro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, un katra šāda uzņēmuma aktīvu kopsumma atsevišķi ir mazāka par 30 miljardiem </w:t>
      </w:r>
      <w:r w:rsidRPr="00156F75">
        <w:rPr>
          <w:rFonts w:ascii="Times New Roman" w:hAnsi="Times New Roman" w:cs="Times New Roman"/>
          <w:i/>
          <w:noProof/>
          <w:sz w:val="28"/>
          <w:szCs w:val="28"/>
          <w:lang w:val="lv-LV" w:eastAsia="lv-LV"/>
        </w:rPr>
        <w:t>euro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, abus aprēķina kā vidējo rādītāju 12 secīgu mēnešu periodā.</w:t>
      </w:r>
    </w:p>
    <w:p w14:paraId="6F1934C3" w14:textId="01527C66" w:rsidR="00741171" w:rsidRPr="00741171" w:rsidRDefault="00741171" w:rsidP="00741171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(2) Ieguldījumu brokeru sabiedrība kredītiestādes licenci</w:t>
      </w:r>
      <w:r w:rsidR="00BA34B5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 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(atļauju) saņem ievērojot šā likuma II nodaļā noteiktās prasības.</w:t>
      </w:r>
    </w:p>
    <w:p w14:paraId="350A1626" w14:textId="2B912243" w:rsidR="00741171" w:rsidRPr="00741171" w:rsidRDefault="00741171" w:rsidP="00741171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lastRenderedPageBreak/>
        <w:t>(3) Informāciju, kas nepieciešama kredītiestādes licences</w:t>
      </w:r>
      <w:r w:rsidR="00BA34B5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 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(atļaujas) saņemšanai papildus šā likuma noteiktajām prasībām, nosaka tieši piemērojamie Eiropas Savienības tiesību akti.</w:t>
      </w:r>
    </w:p>
    <w:p w14:paraId="5F008CA4" w14:textId="3C3ED03E" w:rsidR="00741171" w:rsidRPr="00741171" w:rsidRDefault="00741171" w:rsidP="00741171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(4) Izskatot šā panta pirmajā daļā minēto iesniegumu kredītiestādes licences</w:t>
      </w:r>
      <w:r w:rsidR="00BA34B5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 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(atļaujas) saņemšanai, Finanšu un kapitāla tirgus komisija ņem vērā visu tai pieejamo informāciju par ieguldījumu brokeru sabiedrību, un nepieprasa to sniegt atkārtoti.</w:t>
      </w:r>
    </w:p>
    <w:p w14:paraId="33204B71" w14:textId="1E8F031B" w:rsidR="00741171" w:rsidRPr="00741171" w:rsidRDefault="00741171" w:rsidP="00741171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(5) Ieguldījumu brokeru sabiedrība, kura iesniedz Finanšu un kapitāla tirgus komisijai iesniegumu kredītiestādes licences</w:t>
      </w:r>
      <w:r w:rsidR="00BA34B5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 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(atļaujas) saņemšanai, ir tiesīga sniegt šā panta pirmajā daļā minētos ieguldījumu pakalpojumus līdz tā saņem kredītiestādes licenci</w:t>
      </w:r>
      <w:r w:rsidR="00BA34B5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 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(atļauju).</w:t>
      </w:r>
    </w:p>
    <w:p w14:paraId="63B15F64" w14:textId="318607AF" w:rsidR="00AD0871" w:rsidRDefault="00741171" w:rsidP="00741171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(6) Metodoloģiju, saskaņā ar kuru aprēķina šā panta pirmajā daļā </w:t>
      </w:r>
      <w:r w:rsidR="005715EE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 xml:space="preserve">noteikto 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t>nosaka tieši piemērojamie Eiropas Savienības tiesību akti.”.</w:t>
      </w:r>
    </w:p>
    <w:p w14:paraId="141D7E53" w14:textId="77777777" w:rsidR="00741171" w:rsidRPr="00741171" w:rsidRDefault="00741171" w:rsidP="00741171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</w:p>
    <w:p w14:paraId="271FF25A" w14:textId="7544AE9F" w:rsidR="00A97E7F" w:rsidRDefault="00A97E7F" w:rsidP="00A97E7F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contextualSpacing w:val="0"/>
        <w:rPr>
          <w:rFonts w:ascii="Times New Roman" w:hAnsi="Times New Roman" w:cs="Times New Roman"/>
          <w:sz w:val="28"/>
          <w:szCs w:val="28"/>
          <w:lang w:val="lv-LV"/>
        </w:rPr>
      </w:pPr>
      <w:r w:rsidRPr="00A97E7F">
        <w:rPr>
          <w:rFonts w:ascii="Times New Roman" w:hAnsi="Times New Roman" w:cs="Times New Roman"/>
          <w:sz w:val="28"/>
          <w:szCs w:val="28"/>
          <w:lang w:val="lv-LV"/>
        </w:rPr>
        <w:t>Izteikt 21.panta pirmo daļu šādā redakcij</w:t>
      </w:r>
      <w:r>
        <w:rPr>
          <w:rFonts w:ascii="Times New Roman" w:hAnsi="Times New Roman" w:cs="Times New Roman"/>
          <w:sz w:val="28"/>
          <w:szCs w:val="28"/>
          <w:lang w:val="lv-LV"/>
        </w:rPr>
        <w:t>ā:</w:t>
      </w:r>
    </w:p>
    <w:p w14:paraId="7CB452F0" w14:textId="6805D556" w:rsidR="00A97E7F" w:rsidRDefault="00A97E7F" w:rsidP="00A97E7F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“(1) </w:t>
      </w:r>
      <w:r w:rsidRPr="00A97E7F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Kredītiestādes sākotnējais kapitāls nedrīkst būt mazāks par pieciem miljoniem </w:t>
      </w:r>
      <w:r w:rsidRPr="00156F75">
        <w:rPr>
          <w:rFonts w:ascii="Times New Roman" w:hAnsi="Times New Roman" w:cs="Times New Roman"/>
          <w:i/>
          <w:noProof/>
          <w:sz w:val="28"/>
          <w:szCs w:val="28"/>
          <w:lang w:val="lv-LV"/>
        </w:rPr>
        <w:t>euro</w:t>
      </w:r>
      <w:r w:rsidRPr="00A97E7F">
        <w:rPr>
          <w:rFonts w:ascii="Times New Roman" w:hAnsi="Times New Roman" w:cs="Times New Roman"/>
          <w:noProof/>
          <w:sz w:val="28"/>
          <w:szCs w:val="28"/>
          <w:lang w:val="lv-LV"/>
        </w:rPr>
        <w:t>. Sākotnējo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</w:t>
      </w:r>
      <w:r w:rsidRPr="00A97E7F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kapitālu veido viens vai vairāki 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no ES regulas Nr. 575/2013 26.</w:t>
      </w:r>
      <w:r w:rsidRPr="00A97E7F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panta 1. punkta "a", "b", "c", "d" vai "e" apakšpunktā minētajiem </w:t>
      </w:r>
      <w:r w:rsidR="00156F75">
        <w:rPr>
          <w:rFonts w:ascii="Times New Roman" w:hAnsi="Times New Roman" w:cs="Times New Roman"/>
          <w:noProof/>
          <w:sz w:val="28"/>
          <w:szCs w:val="28"/>
          <w:lang w:val="lv-LV"/>
        </w:rPr>
        <w:t>elementiem</w:t>
      </w:r>
      <w:r w:rsidRPr="00A97E7F">
        <w:rPr>
          <w:rFonts w:ascii="Times New Roman" w:hAnsi="Times New Roman" w:cs="Times New Roman"/>
          <w:noProof/>
          <w:sz w:val="28"/>
          <w:szCs w:val="28"/>
          <w:lang w:val="lv-LV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”.</w:t>
      </w:r>
    </w:p>
    <w:p w14:paraId="52573C0A" w14:textId="1370CFF0" w:rsidR="00A97E7F" w:rsidRDefault="00A97E7F" w:rsidP="00A97E7F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contextualSpacing w:val="0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Papildināt 27.pantu ar 1.</w:t>
      </w:r>
      <w:r w:rsidRPr="00A97E7F">
        <w:rPr>
          <w:rFonts w:ascii="Times New Roman" w:hAnsi="Times New Roman" w:cs="Times New Roman"/>
          <w:sz w:val="28"/>
          <w:szCs w:val="28"/>
          <w:vertAlign w:val="superscript"/>
          <w:lang w:val="lv-LV"/>
        </w:rPr>
        <w:t>1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daļu šādā redakcijā:</w:t>
      </w:r>
    </w:p>
    <w:p w14:paraId="50B927D2" w14:textId="6A5C6399" w:rsidR="00D47936" w:rsidRPr="00D47936" w:rsidRDefault="00741171" w:rsidP="00741171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lv-LV"/>
        </w:rPr>
      </w:pPr>
      <w:r w:rsidRPr="00741171">
        <w:rPr>
          <w:rFonts w:ascii="Times New Roman" w:hAnsi="Times New Roman" w:cs="Times New Roman"/>
          <w:noProof/>
          <w:sz w:val="28"/>
          <w:szCs w:val="28"/>
          <w:lang w:val="lv-LV"/>
        </w:rPr>
        <w:t>“(1</w:t>
      </w:r>
      <w:r w:rsidRPr="00741171">
        <w:rPr>
          <w:rFonts w:ascii="Times New Roman" w:hAnsi="Times New Roman" w:cs="Times New Roman"/>
          <w:noProof/>
          <w:sz w:val="28"/>
          <w:szCs w:val="28"/>
          <w:vertAlign w:val="superscript"/>
          <w:lang w:val="lv-LV"/>
        </w:rPr>
        <w:t>1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) 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Finanšu un kapitāla tirgus k</w:t>
      </w:r>
      <w:r w:rsidRPr="006B4505">
        <w:rPr>
          <w:rFonts w:ascii="Times New Roman" w:hAnsi="Times New Roman" w:cs="Times New Roman"/>
          <w:noProof/>
          <w:sz w:val="28"/>
          <w:szCs w:val="28"/>
          <w:lang w:val="lv-LV"/>
        </w:rPr>
        <w:t>om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isija ir tiesīga anulēt 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/>
        </w:rPr>
        <w:t>kredītiestādes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licenci</w:t>
      </w:r>
      <w:r w:rsidR="00BA34B5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(atļauju)</w:t>
      </w:r>
      <w:r w:rsidRPr="006B4505">
        <w:rPr>
          <w:rFonts w:ascii="Times New Roman" w:hAnsi="Times New Roman" w:cs="Times New Roman"/>
          <w:noProof/>
          <w:sz w:val="28"/>
          <w:szCs w:val="28"/>
          <w:lang w:val="lv-LV"/>
        </w:rPr>
        <w:t>, kas izsniegta saskaņā ar</w:t>
      </w:r>
      <w:r w:rsidR="003B6E7E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šā likuma</w:t>
      </w:r>
      <w:r w:rsidRPr="006B4505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11.</w:t>
      </w:r>
      <w:r w:rsidRPr="00741171">
        <w:rPr>
          <w:rFonts w:ascii="Times New Roman" w:hAnsi="Times New Roman" w:cs="Times New Roman"/>
          <w:noProof/>
          <w:sz w:val="28"/>
          <w:szCs w:val="28"/>
          <w:vertAlign w:val="superscript"/>
          <w:lang w:val="lv-LV"/>
        </w:rPr>
        <w:t>2</w:t>
      </w:r>
      <w:r w:rsidRPr="006B4505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pantā 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noteikto</w:t>
      </w:r>
      <w:r w:rsidRPr="006B4505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, ja </w:t>
      </w:r>
      <w:r w:rsidRPr="00741171">
        <w:rPr>
          <w:rFonts w:ascii="Times New Roman" w:hAnsi="Times New Roman" w:cs="Times New Roman"/>
          <w:noProof/>
          <w:sz w:val="28"/>
          <w:szCs w:val="28"/>
          <w:lang w:val="lv-LV"/>
        </w:rPr>
        <w:t>ieguldījumu brokeru sabiedrība</w:t>
      </w:r>
      <w:r w:rsidRPr="006B4505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sniedz tikai Finanšu instrumentu tirgus likuma 3. panta ceturtās daļas 3. vai 6 punktā minētos pakalpojumus, un</w:t>
      </w:r>
      <w:r w:rsidR="003B6E7E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šā likuma</w:t>
      </w:r>
      <w:r w:rsidRPr="006B4505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11.</w:t>
      </w:r>
      <w:r w:rsidRPr="00741171">
        <w:rPr>
          <w:rFonts w:ascii="Times New Roman" w:hAnsi="Times New Roman" w:cs="Times New Roman"/>
          <w:noProof/>
          <w:sz w:val="28"/>
          <w:szCs w:val="28"/>
          <w:vertAlign w:val="superscript"/>
          <w:lang w:val="lv-LV"/>
        </w:rPr>
        <w:t>2</w:t>
      </w:r>
      <w:r w:rsidRPr="006B4505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panta pirmajā daļā 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noteiktais nav iestājies</w:t>
      </w:r>
      <w:r w:rsidRPr="006B4505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piecus gadus pēc kārtas.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”.</w:t>
      </w:r>
    </w:p>
    <w:p w14:paraId="26A57857" w14:textId="6D998A5C" w:rsidR="00E762F9" w:rsidRPr="00C52F84" w:rsidRDefault="00DE32E2" w:rsidP="00AD0871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</w:pPr>
      <w:r w:rsidRPr="00C52F84">
        <w:rPr>
          <w:rFonts w:ascii="Times New Roman" w:hAnsi="Times New Roman" w:cs="Times New Roman"/>
          <w:sz w:val="28"/>
          <w:szCs w:val="28"/>
          <w:lang w:val="lv-LV"/>
        </w:rPr>
        <w:t xml:space="preserve">Papildināt </w:t>
      </w:r>
      <w:r w:rsidR="006D4163">
        <w:rPr>
          <w:rFonts w:ascii="Times New Roman" w:hAnsi="Times New Roman" w:cs="Times New Roman"/>
          <w:sz w:val="28"/>
          <w:szCs w:val="28"/>
          <w:lang w:val="lv-LV"/>
        </w:rPr>
        <w:t>198</w:t>
      </w:r>
      <w:r w:rsidRPr="00C52F84">
        <w:rPr>
          <w:rFonts w:ascii="Times New Roman" w:hAnsi="Times New Roman" w:cs="Times New Roman"/>
          <w:sz w:val="28"/>
          <w:szCs w:val="28"/>
          <w:lang w:val="lv-LV"/>
        </w:rPr>
        <w:t xml:space="preserve">.pantu ar </w:t>
      </w:r>
      <w:r w:rsidR="006D4163">
        <w:rPr>
          <w:rFonts w:ascii="Times New Roman" w:hAnsi="Times New Roman" w:cs="Times New Roman"/>
          <w:sz w:val="28"/>
          <w:szCs w:val="28"/>
          <w:lang w:val="lv-LV"/>
        </w:rPr>
        <w:t>divpadsmito</w:t>
      </w:r>
      <w:r w:rsidRPr="00C52F84">
        <w:rPr>
          <w:rFonts w:ascii="Times New Roman" w:hAnsi="Times New Roman" w:cs="Times New Roman"/>
          <w:sz w:val="28"/>
          <w:szCs w:val="28"/>
          <w:lang w:val="lv-LV"/>
        </w:rPr>
        <w:t xml:space="preserve"> daļu šādā redakcijā</w:t>
      </w:r>
      <w:r w:rsidR="008B100C" w:rsidRPr="00C52F84">
        <w:rPr>
          <w:rFonts w:ascii="Times New Roman" w:hAnsi="Times New Roman" w:cs="Times New Roman"/>
          <w:sz w:val="28"/>
          <w:szCs w:val="28"/>
          <w:lang w:val="lv-LV"/>
        </w:rPr>
        <w:t>:</w:t>
      </w:r>
    </w:p>
    <w:p w14:paraId="4AAF7EEB" w14:textId="2A9D5C4F" w:rsidR="009B55BE" w:rsidRDefault="00F60A1F" w:rsidP="0061638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lv-LV"/>
        </w:rPr>
      </w:pPr>
      <w:r>
        <w:rPr>
          <w:rFonts w:ascii="Times New Roman" w:hAnsi="Times New Roman" w:cs="Times New Roman"/>
          <w:noProof/>
          <w:sz w:val="28"/>
          <w:szCs w:val="28"/>
          <w:lang w:val="lv-LV"/>
        </w:rPr>
        <w:t>“</w:t>
      </w:r>
      <w:r w:rsidRPr="00F60A1F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(12) Par pakalpojumu sniegšanu bez </w:t>
      </w:r>
      <w:r w:rsidR="00B126ED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kredītiestādes </w:t>
      </w:r>
      <w:r w:rsidRPr="00F60A1F">
        <w:rPr>
          <w:rFonts w:ascii="Times New Roman" w:hAnsi="Times New Roman" w:cs="Times New Roman"/>
          <w:noProof/>
          <w:sz w:val="28"/>
          <w:szCs w:val="28"/>
          <w:lang w:val="lv-LV"/>
        </w:rPr>
        <w:t>licences</w:t>
      </w:r>
      <w:r w:rsidR="00BA34B5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</w:t>
      </w:r>
      <w:r w:rsidR="00B126ED">
        <w:rPr>
          <w:rFonts w:ascii="Times New Roman" w:hAnsi="Times New Roman" w:cs="Times New Roman"/>
          <w:noProof/>
          <w:sz w:val="28"/>
          <w:szCs w:val="28"/>
          <w:lang w:val="lv-LV"/>
        </w:rPr>
        <w:t>(atļaujas)</w:t>
      </w:r>
      <w:r w:rsidRPr="00F60A1F">
        <w:rPr>
          <w:rFonts w:ascii="Times New Roman" w:hAnsi="Times New Roman" w:cs="Times New Roman"/>
          <w:noProof/>
          <w:sz w:val="28"/>
          <w:szCs w:val="28"/>
          <w:lang w:val="lv-LV"/>
        </w:rPr>
        <w:t>, kas izsniegta saskaņā ar šā likuma 11.</w:t>
      </w:r>
      <w:r w:rsidRPr="00F60A1F">
        <w:rPr>
          <w:rFonts w:ascii="Times New Roman" w:hAnsi="Times New Roman" w:cs="Times New Roman"/>
          <w:noProof/>
          <w:sz w:val="28"/>
          <w:szCs w:val="28"/>
          <w:vertAlign w:val="superscript"/>
          <w:lang w:val="lv-LV"/>
        </w:rPr>
        <w:t>2</w:t>
      </w:r>
      <w:r w:rsidRPr="00F60A1F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pantā noteikto, Finanšu un kapitāla tirgus komisija ir tiesīga piemērot šā panta desmitajā daļā noteiktās sankcijas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.”.</w:t>
      </w:r>
      <w:r w:rsidRPr="00F60A1F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</w:t>
      </w:r>
      <w:r w:rsidR="00616387" w:rsidRPr="00616387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</w:t>
      </w:r>
    </w:p>
    <w:p w14:paraId="38A62BBC" w14:textId="346580F3" w:rsidR="003C0482" w:rsidRDefault="003C0482" w:rsidP="003C0482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contextualSpacing w:val="0"/>
        <w:rPr>
          <w:rFonts w:ascii="Times New Roman" w:hAnsi="Times New Roman" w:cs="Times New Roman"/>
          <w:noProof/>
          <w:sz w:val="28"/>
          <w:szCs w:val="28"/>
          <w:lang w:val="lv-LV"/>
        </w:rPr>
      </w:pPr>
      <w:r w:rsidRPr="003C0482">
        <w:rPr>
          <w:rFonts w:ascii="Times New Roman" w:hAnsi="Times New Roman" w:cs="Times New Roman"/>
          <w:noProof/>
          <w:sz w:val="28"/>
          <w:szCs w:val="28"/>
          <w:lang w:val="lv-LV"/>
        </w:rPr>
        <w:t>Informatīvajā atsaucē uz Eiropas Savienības direktīvām:</w:t>
      </w:r>
    </w:p>
    <w:p w14:paraId="3510B4C2" w14:textId="13FBF4E0" w:rsidR="003C0482" w:rsidRPr="00866877" w:rsidRDefault="003C0482" w:rsidP="003C0482">
      <w:pPr>
        <w:pStyle w:val="ListParagraph"/>
        <w:shd w:val="clear" w:color="auto" w:fill="FFFFFF"/>
        <w:spacing w:line="240" w:lineRule="auto"/>
        <w:contextualSpacing w:val="0"/>
        <w:rPr>
          <w:rFonts w:ascii="Times New Roman" w:hAnsi="Times New Roman" w:cs="Times New Roman"/>
          <w:noProof/>
          <w:sz w:val="28"/>
          <w:szCs w:val="28"/>
          <w:highlight w:val="yellow"/>
          <w:lang w:val="lv-LV"/>
        </w:rPr>
      </w:pPr>
      <w:r>
        <w:rPr>
          <w:rFonts w:ascii="Times New Roman" w:hAnsi="Times New Roman" w:cs="Times New Roman"/>
          <w:noProof/>
          <w:sz w:val="28"/>
          <w:szCs w:val="28"/>
          <w:lang w:val="lv-LV"/>
        </w:rPr>
        <w:t>izslēgt 22.punktā vārdus “un ieguldījumu brokeru sabiedrību”;</w:t>
      </w:r>
      <w:r w:rsidR="00866877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</w:t>
      </w:r>
    </w:p>
    <w:p w14:paraId="4E78D4BA" w14:textId="435515DD" w:rsidR="003C0482" w:rsidRDefault="00F0243D" w:rsidP="003C0482">
      <w:pPr>
        <w:pStyle w:val="ListParagraph"/>
        <w:shd w:val="clear" w:color="auto" w:fill="FFFFFF"/>
        <w:spacing w:line="240" w:lineRule="auto"/>
        <w:contextualSpacing w:val="0"/>
        <w:rPr>
          <w:rFonts w:ascii="Times New Roman" w:hAnsi="Times New Roman" w:cs="Times New Roman"/>
          <w:noProof/>
          <w:sz w:val="28"/>
          <w:szCs w:val="28"/>
          <w:lang w:val="lv-LV"/>
        </w:rPr>
      </w:pPr>
      <w:r>
        <w:rPr>
          <w:rFonts w:ascii="Times New Roman" w:hAnsi="Times New Roman" w:cs="Times New Roman"/>
          <w:noProof/>
          <w:sz w:val="28"/>
          <w:szCs w:val="28"/>
          <w:lang w:val="lv-LV"/>
        </w:rPr>
        <w:t>papildināt atsauci ar 26.</w:t>
      </w:r>
      <w:r w:rsidR="003C0482">
        <w:rPr>
          <w:rFonts w:ascii="Times New Roman" w:hAnsi="Times New Roman" w:cs="Times New Roman"/>
          <w:noProof/>
          <w:sz w:val="28"/>
          <w:szCs w:val="28"/>
          <w:lang w:val="lv-LV"/>
        </w:rPr>
        <w:t>punktu šādā redakcijā:</w:t>
      </w:r>
    </w:p>
    <w:p w14:paraId="5F04A54F" w14:textId="32132C7D" w:rsidR="003C0482" w:rsidRPr="003C0482" w:rsidRDefault="003C0482" w:rsidP="003C048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lv-LV"/>
        </w:rPr>
      </w:pPr>
      <w:r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“26) Eiropas Parlamenta un Padomes 2019.gada 27.novembra direktīvas 2019/2034 </w:t>
      </w:r>
      <w:r w:rsidRPr="003C0482">
        <w:rPr>
          <w:rFonts w:ascii="Times New Roman" w:hAnsi="Times New Roman" w:cs="Times New Roman"/>
          <w:noProof/>
          <w:sz w:val="28"/>
          <w:szCs w:val="28"/>
          <w:lang w:val="lv-LV"/>
        </w:rPr>
        <w:t>par ieguldījumu brokeru sabiedrību prudenciālo uzraudzību un ar ko groza Direktīvas 2002/87/EK, 2009/65/EK, 2011/61/ES, 2013/36/ES, 2014/59/ES un 2014/65/ES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.”.</w:t>
      </w:r>
    </w:p>
    <w:p w14:paraId="71CA4E19" w14:textId="77777777" w:rsidR="009B55BE" w:rsidRPr="009B55BE" w:rsidRDefault="009B55BE" w:rsidP="009B55BE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lv-LV"/>
        </w:rPr>
      </w:pPr>
    </w:p>
    <w:p w14:paraId="34F0AF8A" w14:textId="77777777" w:rsidR="003119F0" w:rsidRDefault="003119F0" w:rsidP="00AD0871">
      <w:pPr>
        <w:pStyle w:val="ListParagraph"/>
        <w:autoSpaceDE w:val="0"/>
        <w:autoSpaceDN w:val="0"/>
        <w:adjustRightInd w:val="0"/>
        <w:spacing w:after="240" w:line="24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</w:p>
    <w:p w14:paraId="601E997C" w14:textId="5C335E62" w:rsidR="00FF00A3" w:rsidRPr="00C2529B" w:rsidRDefault="00FF00A3" w:rsidP="00FF00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Finanšu ministrs                                                                                 </w:t>
      </w:r>
      <w:r w:rsidR="00A406E8">
        <w:rPr>
          <w:rFonts w:ascii="Times New Roman" w:hAnsi="Times New Roman" w:cs="Times New Roman"/>
          <w:sz w:val="28"/>
          <w:szCs w:val="28"/>
          <w:lang w:val="lv-LV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J.Reirs</w:t>
      </w:r>
    </w:p>
    <w:p w14:paraId="42D8DCAA" w14:textId="77777777" w:rsidR="00891A35" w:rsidRPr="00C2529B" w:rsidRDefault="00891A35" w:rsidP="00C25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0F349405" w14:textId="77777777" w:rsidR="008D2634" w:rsidRDefault="00891A35" w:rsidP="00891A35">
      <w:pPr>
        <w:spacing w:after="0" w:line="240" w:lineRule="auto"/>
        <w:rPr>
          <w:sz w:val="20"/>
          <w:szCs w:val="20"/>
        </w:rPr>
      </w:pPr>
      <w:r w:rsidRPr="00891A35"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  <w:t>Hammers</w:t>
      </w:r>
      <w:r w:rsidR="008D2634"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  <w:t>, 67095441</w:t>
      </w:r>
      <w:r>
        <w:rPr>
          <w:sz w:val="20"/>
          <w:szCs w:val="20"/>
        </w:rPr>
        <w:t xml:space="preserve"> </w:t>
      </w:r>
    </w:p>
    <w:p w14:paraId="2621A5E9" w14:textId="6F1F369E" w:rsidR="00891A35" w:rsidRPr="008D2634" w:rsidRDefault="00891A35" w:rsidP="00891A3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</w:pPr>
      <w:r w:rsidRPr="00891A35">
        <w:rPr>
          <w:rStyle w:val="Hyperlink"/>
          <w:rFonts w:ascii="Times New Roman" w:hAnsi="Times New Roman" w:cs="Times New Roman"/>
          <w:sz w:val="20"/>
          <w:szCs w:val="20"/>
          <w:lang w:val="lv-LV"/>
        </w:rPr>
        <w:t>aivis.hammers@fm.gov.lv</w:t>
      </w:r>
    </w:p>
    <w:p w14:paraId="73E6945D" w14:textId="77777777" w:rsidR="002660E5" w:rsidRPr="00891A35" w:rsidRDefault="002660E5" w:rsidP="00891A35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</w:p>
    <w:sectPr w:rsidR="002660E5" w:rsidRPr="00891A35" w:rsidSect="00A406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5AFF9" w14:textId="77777777" w:rsidR="00882AEB" w:rsidRDefault="00882AEB" w:rsidP="00643037">
      <w:pPr>
        <w:spacing w:after="0" w:line="240" w:lineRule="auto"/>
      </w:pPr>
      <w:r>
        <w:separator/>
      </w:r>
    </w:p>
  </w:endnote>
  <w:endnote w:type="continuationSeparator" w:id="0">
    <w:p w14:paraId="56BBA544" w14:textId="77777777" w:rsidR="00882AEB" w:rsidRDefault="00882AEB" w:rsidP="0064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A9123" w14:textId="3EAF57D7" w:rsidR="00DF53D9" w:rsidRPr="008D2634" w:rsidRDefault="00DF53D9" w:rsidP="00DF53D9">
    <w:pPr>
      <w:pStyle w:val="Footer"/>
      <w:rPr>
        <w:sz w:val="20"/>
        <w:szCs w:val="20"/>
      </w:rPr>
    </w:pPr>
    <w:r w:rsidRPr="008D2634">
      <w:rPr>
        <w:rFonts w:ascii="Times New Roman" w:hAnsi="Times New Roman" w:cs="Times New Roman"/>
        <w:bCs/>
        <w:noProof/>
        <w:color w:val="000000"/>
        <w:sz w:val="20"/>
        <w:szCs w:val="20"/>
        <w:lang w:val="lv-LV"/>
      </w:rPr>
      <w:t>FMLik</w:t>
    </w:r>
    <w:r w:rsidRPr="008D2634">
      <w:rPr>
        <w:rFonts w:ascii="Times New Roman" w:hAnsi="Times New Roman" w:cs="Times New Roman"/>
        <w:bCs/>
        <w:color w:val="000000"/>
        <w:sz w:val="20"/>
        <w:szCs w:val="20"/>
      </w:rPr>
      <w:t xml:space="preserve">_ </w:t>
    </w:r>
    <w:r w:rsidR="00CD28E5">
      <w:rPr>
        <w:rFonts w:ascii="Times New Roman" w:hAnsi="Times New Roman" w:cs="Times New Roman"/>
        <w:bCs/>
        <w:color w:val="000000"/>
        <w:sz w:val="20"/>
        <w:szCs w:val="20"/>
      </w:rPr>
      <w:t>0103</w:t>
    </w:r>
    <w:r w:rsidR="006C5F86">
      <w:rPr>
        <w:rFonts w:ascii="Times New Roman" w:hAnsi="Times New Roman" w:cs="Times New Roman"/>
        <w:bCs/>
        <w:color w:val="000000"/>
        <w:sz w:val="20"/>
        <w:szCs w:val="20"/>
      </w:rPr>
      <w:t>21</w:t>
    </w:r>
    <w:r>
      <w:rPr>
        <w:rFonts w:ascii="Times New Roman" w:hAnsi="Times New Roman" w:cs="Times New Roman"/>
        <w:bCs/>
        <w:color w:val="000000"/>
        <w:sz w:val="20"/>
        <w:szCs w:val="20"/>
      </w:rPr>
      <w:t>_KIL</w:t>
    </w:r>
  </w:p>
  <w:p w14:paraId="07D63AB7" w14:textId="77777777" w:rsidR="000043B8" w:rsidRDefault="00004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5922F" w14:textId="77777777" w:rsidR="008D2634" w:rsidRDefault="008D2634" w:rsidP="008D2634">
    <w:pPr>
      <w:pStyle w:val="Header"/>
    </w:pPr>
  </w:p>
  <w:p w14:paraId="7B75E578" w14:textId="77777777" w:rsidR="008D2634" w:rsidRDefault="008D2634" w:rsidP="008D2634"/>
  <w:p w14:paraId="74F128F9" w14:textId="77777777" w:rsidR="008D2634" w:rsidRDefault="008D2634" w:rsidP="008D2634">
    <w:pPr>
      <w:pStyle w:val="Footer"/>
    </w:pPr>
  </w:p>
  <w:p w14:paraId="62BDC660" w14:textId="77777777" w:rsidR="008D2634" w:rsidRDefault="008D2634" w:rsidP="008D2634"/>
  <w:p w14:paraId="25703CB3" w14:textId="300A4D0A" w:rsidR="008D2634" w:rsidRPr="008D2634" w:rsidRDefault="008D2634" w:rsidP="008D2634">
    <w:pPr>
      <w:pStyle w:val="Footer"/>
      <w:rPr>
        <w:sz w:val="20"/>
        <w:szCs w:val="20"/>
      </w:rPr>
    </w:pPr>
    <w:r w:rsidRPr="008D2634">
      <w:rPr>
        <w:rFonts w:ascii="Times New Roman" w:hAnsi="Times New Roman" w:cs="Times New Roman"/>
        <w:bCs/>
        <w:noProof/>
        <w:color w:val="000000"/>
        <w:sz w:val="20"/>
        <w:szCs w:val="20"/>
        <w:lang w:val="lv-LV"/>
      </w:rPr>
      <w:t>FMLik</w:t>
    </w:r>
    <w:r w:rsidRPr="008D2634">
      <w:rPr>
        <w:rFonts w:ascii="Times New Roman" w:hAnsi="Times New Roman" w:cs="Times New Roman"/>
        <w:bCs/>
        <w:color w:val="000000"/>
        <w:sz w:val="20"/>
        <w:szCs w:val="20"/>
      </w:rPr>
      <w:t xml:space="preserve">_ </w:t>
    </w:r>
    <w:r w:rsidR="00CD28E5">
      <w:rPr>
        <w:rFonts w:ascii="Times New Roman" w:hAnsi="Times New Roman" w:cs="Times New Roman"/>
        <w:bCs/>
        <w:color w:val="000000"/>
        <w:sz w:val="20"/>
        <w:szCs w:val="20"/>
      </w:rPr>
      <w:t>0103</w:t>
    </w:r>
    <w:r w:rsidR="00394B6A">
      <w:rPr>
        <w:rFonts w:ascii="Times New Roman" w:hAnsi="Times New Roman" w:cs="Times New Roman"/>
        <w:bCs/>
        <w:color w:val="000000"/>
        <w:sz w:val="20"/>
        <w:szCs w:val="20"/>
      </w:rPr>
      <w:t>21</w:t>
    </w:r>
    <w:r w:rsidR="00DF53D9">
      <w:rPr>
        <w:rFonts w:ascii="Times New Roman" w:hAnsi="Times New Roman" w:cs="Times New Roman"/>
        <w:bCs/>
        <w:color w:val="000000"/>
        <w:sz w:val="20"/>
        <w:szCs w:val="20"/>
      </w:rPr>
      <w:t>_KIL</w:t>
    </w:r>
  </w:p>
  <w:p w14:paraId="4BBE4A3D" w14:textId="5DEB6459" w:rsidR="000043B8" w:rsidRPr="008D2634" w:rsidRDefault="000043B8" w:rsidP="008D2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F1DAC" w14:textId="77777777" w:rsidR="00882AEB" w:rsidRDefault="00882AEB" w:rsidP="00643037">
      <w:pPr>
        <w:spacing w:after="0" w:line="240" w:lineRule="auto"/>
      </w:pPr>
      <w:r>
        <w:separator/>
      </w:r>
    </w:p>
  </w:footnote>
  <w:footnote w:type="continuationSeparator" w:id="0">
    <w:p w14:paraId="53857276" w14:textId="77777777" w:rsidR="00882AEB" w:rsidRDefault="00882AEB" w:rsidP="0064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33606"/>
      <w:docPartObj>
        <w:docPartGallery w:val="Page Numbers (Top of Page)"/>
        <w:docPartUnique/>
      </w:docPartObj>
    </w:sdtPr>
    <w:sdtEndPr/>
    <w:sdtContent>
      <w:p w14:paraId="45790D40" w14:textId="482A00B2" w:rsidR="000043B8" w:rsidRDefault="00A90DE1">
        <w:pPr>
          <w:pStyle w:val="Header"/>
          <w:jc w:val="right"/>
        </w:pPr>
        <w:r>
          <w:fldChar w:fldCharType="begin"/>
        </w:r>
        <w:r w:rsidR="00E04EC3">
          <w:instrText xml:space="preserve"> PAGE   \* MERGEFORMAT </w:instrText>
        </w:r>
        <w:r>
          <w:fldChar w:fldCharType="separate"/>
        </w:r>
        <w:r w:rsidR="006701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E2BD0" w14:textId="77777777" w:rsidR="000043B8" w:rsidRDefault="00004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3D326" w14:textId="77777777" w:rsidR="000043B8" w:rsidRDefault="000043B8">
    <w:pPr>
      <w:pStyle w:val="Header"/>
      <w:jc w:val="right"/>
    </w:pPr>
  </w:p>
  <w:p w14:paraId="3EA8180B" w14:textId="77777777" w:rsidR="000043B8" w:rsidRDefault="00004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4BA"/>
    <w:multiLevelType w:val="hybridMultilevel"/>
    <w:tmpl w:val="85CEAE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CC4"/>
    <w:multiLevelType w:val="hybridMultilevel"/>
    <w:tmpl w:val="45F2EBE2"/>
    <w:lvl w:ilvl="0" w:tplc="E190F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2EAB"/>
    <w:multiLevelType w:val="hybridMultilevel"/>
    <w:tmpl w:val="45F2EBE2"/>
    <w:lvl w:ilvl="0" w:tplc="E190F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59A2"/>
    <w:multiLevelType w:val="hybridMultilevel"/>
    <w:tmpl w:val="1EF87E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4FC5"/>
    <w:multiLevelType w:val="hybridMultilevel"/>
    <w:tmpl w:val="EB34C34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27A0A"/>
    <w:multiLevelType w:val="hybridMultilevel"/>
    <w:tmpl w:val="48ECFAB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F365A"/>
    <w:multiLevelType w:val="hybridMultilevel"/>
    <w:tmpl w:val="80EC86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24881"/>
    <w:multiLevelType w:val="hybridMultilevel"/>
    <w:tmpl w:val="20C6932A"/>
    <w:lvl w:ilvl="0" w:tplc="27EE547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52D82"/>
    <w:multiLevelType w:val="hybridMultilevel"/>
    <w:tmpl w:val="D714DC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1701F"/>
    <w:multiLevelType w:val="hybridMultilevel"/>
    <w:tmpl w:val="7F9C2108"/>
    <w:lvl w:ilvl="0" w:tplc="611C0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258CC"/>
    <w:multiLevelType w:val="hybridMultilevel"/>
    <w:tmpl w:val="74484A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9A"/>
    <w:rsid w:val="00001140"/>
    <w:rsid w:val="000043B8"/>
    <w:rsid w:val="00005902"/>
    <w:rsid w:val="0002730A"/>
    <w:rsid w:val="00035857"/>
    <w:rsid w:val="000367EB"/>
    <w:rsid w:val="00044DB3"/>
    <w:rsid w:val="00053A4F"/>
    <w:rsid w:val="00056EC4"/>
    <w:rsid w:val="00060066"/>
    <w:rsid w:val="00070B98"/>
    <w:rsid w:val="00082353"/>
    <w:rsid w:val="00082D15"/>
    <w:rsid w:val="00090DC3"/>
    <w:rsid w:val="0009288A"/>
    <w:rsid w:val="00097713"/>
    <w:rsid w:val="000B2C7D"/>
    <w:rsid w:val="000E1774"/>
    <w:rsid w:val="001418F2"/>
    <w:rsid w:val="00152829"/>
    <w:rsid w:val="00156F75"/>
    <w:rsid w:val="0016130B"/>
    <w:rsid w:val="001674DF"/>
    <w:rsid w:val="00187D89"/>
    <w:rsid w:val="001B0867"/>
    <w:rsid w:val="001C3B35"/>
    <w:rsid w:val="001F7D1A"/>
    <w:rsid w:val="0021386D"/>
    <w:rsid w:val="00213C48"/>
    <w:rsid w:val="00216644"/>
    <w:rsid w:val="002210AB"/>
    <w:rsid w:val="00224DE4"/>
    <w:rsid w:val="002326DD"/>
    <w:rsid w:val="00232771"/>
    <w:rsid w:val="0024103F"/>
    <w:rsid w:val="0024120E"/>
    <w:rsid w:val="00246BC7"/>
    <w:rsid w:val="002574CE"/>
    <w:rsid w:val="002660E5"/>
    <w:rsid w:val="0026682E"/>
    <w:rsid w:val="00270D87"/>
    <w:rsid w:val="00273384"/>
    <w:rsid w:val="00296C0B"/>
    <w:rsid w:val="002A021E"/>
    <w:rsid w:val="002A7DDF"/>
    <w:rsid w:val="002B0B00"/>
    <w:rsid w:val="002B5B6D"/>
    <w:rsid w:val="002C198B"/>
    <w:rsid w:val="002E5BC8"/>
    <w:rsid w:val="002F4A00"/>
    <w:rsid w:val="003119F0"/>
    <w:rsid w:val="00326AE3"/>
    <w:rsid w:val="00332C45"/>
    <w:rsid w:val="00341CB0"/>
    <w:rsid w:val="00345059"/>
    <w:rsid w:val="00362ECB"/>
    <w:rsid w:val="00365AE8"/>
    <w:rsid w:val="003929DB"/>
    <w:rsid w:val="00394B6A"/>
    <w:rsid w:val="003960CB"/>
    <w:rsid w:val="003A238C"/>
    <w:rsid w:val="003A3149"/>
    <w:rsid w:val="003A360C"/>
    <w:rsid w:val="003A3DB7"/>
    <w:rsid w:val="003B10B2"/>
    <w:rsid w:val="003B6E7E"/>
    <w:rsid w:val="003C0482"/>
    <w:rsid w:val="003D04ED"/>
    <w:rsid w:val="003D0E96"/>
    <w:rsid w:val="003D68E8"/>
    <w:rsid w:val="004049BE"/>
    <w:rsid w:val="00404B57"/>
    <w:rsid w:val="00415037"/>
    <w:rsid w:val="00415A70"/>
    <w:rsid w:val="00416A9A"/>
    <w:rsid w:val="0043619A"/>
    <w:rsid w:val="00437E58"/>
    <w:rsid w:val="00442E6A"/>
    <w:rsid w:val="00464893"/>
    <w:rsid w:val="0048377F"/>
    <w:rsid w:val="004913EF"/>
    <w:rsid w:val="00492943"/>
    <w:rsid w:val="004A04FE"/>
    <w:rsid w:val="004A0F84"/>
    <w:rsid w:val="004A3178"/>
    <w:rsid w:val="004A720C"/>
    <w:rsid w:val="004B5A4A"/>
    <w:rsid w:val="004B6D1A"/>
    <w:rsid w:val="004D1BFD"/>
    <w:rsid w:val="004F0BB6"/>
    <w:rsid w:val="004F7019"/>
    <w:rsid w:val="0050024C"/>
    <w:rsid w:val="005300F6"/>
    <w:rsid w:val="00536E68"/>
    <w:rsid w:val="00541A24"/>
    <w:rsid w:val="005715EE"/>
    <w:rsid w:val="005734AB"/>
    <w:rsid w:val="0057378B"/>
    <w:rsid w:val="00586230"/>
    <w:rsid w:val="0059663E"/>
    <w:rsid w:val="005A0F99"/>
    <w:rsid w:val="005A5CCE"/>
    <w:rsid w:val="005B083D"/>
    <w:rsid w:val="005B15C5"/>
    <w:rsid w:val="005B1A01"/>
    <w:rsid w:val="005B5632"/>
    <w:rsid w:val="005C368B"/>
    <w:rsid w:val="005D29D7"/>
    <w:rsid w:val="005D38D5"/>
    <w:rsid w:val="005E7A6A"/>
    <w:rsid w:val="00616387"/>
    <w:rsid w:val="00625A35"/>
    <w:rsid w:val="00631361"/>
    <w:rsid w:val="006331C1"/>
    <w:rsid w:val="006371F0"/>
    <w:rsid w:val="00643037"/>
    <w:rsid w:val="00647FFC"/>
    <w:rsid w:val="00654B80"/>
    <w:rsid w:val="0067014C"/>
    <w:rsid w:val="00694C2D"/>
    <w:rsid w:val="006A50BF"/>
    <w:rsid w:val="006B4505"/>
    <w:rsid w:val="006C5F86"/>
    <w:rsid w:val="006C64DC"/>
    <w:rsid w:val="006D4163"/>
    <w:rsid w:val="006E1EB9"/>
    <w:rsid w:val="006E4A9D"/>
    <w:rsid w:val="007178E2"/>
    <w:rsid w:val="00733C3E"/>
    <w:rsid w:val="00741171"/>
    <w:rsid w:val="00741873"/>
    <w:rsid w:val="00766B95"/>
    <w:rsid w:val="007721A8"/>
    <w:rsid w:val="0078267E"/>
    <w:rsid w:val="007874CD"/>
    <w:rsid w:val="00790172"/>
    <w:rsid w:val="007A652B"/>
    <w:rsid w:val="007B0904"/>
    <w:rsid w:val="007B2174"/>
    <w:rsid w:val="007B638F"/>
    <w:rsid w:val="007D5DC0"/>
    <w:rsid w:val="007E0C65"/>
    <w:rsid w:val="007E5451"/>
    <w:rsid w:val="007F6F3A"/>
    <w:rsid w:val="00816881"/>
    <w:rsid w:val="00841D71"/>
    <w:rsid w:val="00844D08"/>
    <w:rsid w:val="00845BD7"/>
    <w:rsid w:val="00862CF2"/>
    <w:rsid w:val="00866877"/>
    <w:rsid w:val="0088176C"/>
    <w:rsid w:val="00882AEB"/>
    <w:rsid w:val="00883BFC"/>
    <w:rsid w:val="00891A35"/>
    <w:rsid w:val="008B100C"/>
    <w:rsid w:val="008C2D06"/>
    <w:rsid w:val="008D2634"/>
    <w:rsid w:val="008D68C1"/>
    <w:rsid w:val="008E39FD"/>
    <w:rsid w:val="008E566C"/>
    <w:rsid w:val="00916390"/>
    <w:rsid w:val="009236E4"/>
    <w:rsid w:val="0093027A"/>
    <w:rsid w:val="0093131C"/>
    <w:rsid w:val="00936EA3"/>
    <w:rsid w:val="009659C4"/>
    <w:rsid w:val="00996090"/>
    <w:rsid w:val="009A475C"/>
    <w:rsid w:val="009A6740"/>
    <w:rsid w:val="009B2378"/>
    <w:rsid w:val="009B55BE"/>
    <w:rsid w:val="009C2AF2"/>
    <w:rsid w:val="009C6807"/>
    <w:rsid w:val="009D501F"/>
    <w:rsid w:val="009E55F5"/>
    <w:rsid w:val="00A15006"/>
    <w:rsid w:val="00A259BD"/>
    <w:rsid w:val="00A26AB8"/>
    <w:rsid w:val="00A406E8"/>
    <w:rsid w:val="00A53F7E"/>
    <w:rsid w:val="00A71846"/>
    <w:rsid w:val="00A829B7"/>
    <w:rsid w:val="00A84935"/>
    <w:rsid w:val="00A90DE1"/>
    <w:rsid w:val="00A97E7F"/>
    <w:rsid w:val="00AB4211"/>
    <w:rsid w:val="00AB72AF"/>
    <w:rsid w:val="00AC6C47"/>
    <w:rsid w:val="00AD0871"/>
    <w:rsid w:val="00AE188A"/>
    <w:rsid w:val="00AE215A"/>
    <w:rsid w:val="00AF62A5"/>
    <w:rsid w:val="00AF768B"/>
    <w:rsid w:val="00B05349"/>
    <w:rsid w:val="00B06E99"/>
    <w:rsid w:val="00B11382"/>
    <w:rsid w:val="00B126ED"/>
    <w:rsid w:val="00B12D9A"/>
    <w:rsid w:val="00B20A4F"/>
    <w:rsid w:val="00B24FD0"/>
    <w:rsid w:val="00B44103"/>
    <w:rsid w:val="00B45B66"/>
    <w:rsid w:val="00B7340C"/>
    <w:rsid w:val="00B75643"/>
    <w:rsid w:val="00B7610F"/>
    <w:rsid w:val="00B84895"/>
    <w:rsid w:val="00BA34B5"/>
    <w:rsid w:val="00BA5E73"/>
    <w:rsid w:val="00BC58FD"/>
    <w:rsid w:val="00BD5B69"/>
    <w:rsid w:val="00BD7624"/>
    <w:rsid w:val="00BE0C19"/>
    <w:rsid w:val="00C047AF"/>
    <w:rsid w:val="00C04C0E"/>
    <w:rsid w:val="00C057BC"/>
    <w:rsid w:val="00C16B65"/>
    <w:rsid w:val="00C2529B"/>
    <w:rsid w:val="00C34210"/>
    <w:rsid w:val="00C358D7"/>
    <w:rsid w:val="00C3668B"/>
    <w:rsid w:val="00C4630E"/>
    <w:rsid w:val="00C50759"/>
    <w:rsid w:val="00C52F84"/>
    <w:rsid w:val="00C743D0"/>
    <w:rsid w:val="00C83E4F"/>
    <w:rsid w:val="00CB01B0"/>
    <w:rsid w:val="00CB2EF8"/>
    <w:rsid w:val="00CD0220"/>
    <w:rsid w:val="00CD28E5"/>
    <w:rsid w:val="00CD2906"/>
    <w:rsid w:val="00CD7FA1"/>
    <w:rsid w:val="00CE12B9"/>
    <w:rsid w:val="00CF5880"/>
    <w:rsid w:val="00D0759F"/>
    <w:rsid w:val="00D2230B"/>
    <w:rsid w:val="00D466DE"/>
    <w:rsid w:val="00D47936"/>
    <w:rsid w:val="00D611B1"/>
    <w:rsid w:val="00D75B81"/>
    <w:rsid w:val="00DA4489"/>
    <w:rsid w:val="00DA78F9"/>
    <w:rsid w:val="00DC2C1B"/>
    <w:rsid w:val="00DD1E5A"/>
    <w:rsid w:val="00DE32E2"/>
    <w:rsid w:val="00DF0E3C"/>
    <w:rsid w:val="00DF53D9"/>
    <w:rsid w:val="00DF6812"/>
    <w:rsid w:val="00E04EC3"/>
    <w:rsid w:val="00E25948"/>
    <w:rsid w:val="00E43ED9"/>
    <w:rsid w:val="00E762F9"/>
    <w:rsid w:val="00E84329"/>
    <w:rsid w:val="00E84EF3"/>
    <w:rsid w:val="00E85DB9"/>
    <w:rsid w:val="00E86795"/>
    <w:rsid w:val="00E91688"/>
    <w:rsid w:val="00E93F12"/>
    <w:rsid w:val="00E9611E"/>
    <w:rsid w:val="00ED463B"/>
    <w:rsid w:val="00EE4104"/>
    <w:rsid w:val="00F0243D"/>
    <w:rsid w:val="00F14F67"/>
    <w:rsid w:val="00F2223D"/>
    <w:rsid w:val="00F25A25"/>
    <w:rsid w:val="00F376EB"/>
    <w:rsid w:val="00F55FD2"/>
    <w:rsid w:val="00F60A1F"/>
    <w:rsid w:val="00F60CC7"/>
    <w:rsid w:val="00F70416"/>
    <w:rsid w:val="00F77423"/>
    <w:rsid w:val="00F82A84"/>
    <w:rsid w:val="00F87BB8"/>
    <w:rsid w:val="00FA1329"/>
    <w:rsid w:val="00FA30F2"/>
    <w:rsid w:val="00FA3588"/>
    <w:rsid w:val="00FA6157"/>
    <w:rsid w:val="00FA6FB6"/>
    <w:rsid w:val="00FB2EC2"/>
    <w:rsid w:val="00FB5FA1"/>
    <w:rsid w:val="00FB629A"/>
    <w:rsid w:val="00FB7F48"/>
    <w:rsid w:val="00FC1586"/>
    <w:rsid w:val="00FE12AB"/>
    <w:rsid w:val="00FE2A90"/>
    <w:rsid w:val="00FF00A3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9388"/>
  <w15:docId w15:val="{B97E42CD-4C8C-4D44-9B57-CE2248E1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DE"/>
    <w:pPr>
      <w:ind w:left="720"/>
      <w:contextualSpacing/>
    </w:pPr>
  </w:style>
  <w:style w:type="paragraph" w:customStyle="1" w:styleId="tv213">
    <w:name w:val="tv213"/>
    <w:basedOn w:val="Normal"/>
    <w:rsid w:val="00D4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D466DE"/>
  </w:style>
  <w:style w:type="character" w:styleId="Hyperlink">
    <w:name w:val="Hyperlink"/>
    <w:basedOn w:val="DefaultParagraphFont"/>
    <w:uiPriority w:val="99"/>
    <w:semiHidden/>
    <w:unhideWhenUsed/>
    <w:rsid w:val="00D466D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D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DE4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2660E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43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037"/>
  </w:style>
  <w:style w:type="paragraph" w:styleId="Footer">
    <w:name w:val="footer"/>
    <w:basedOn w:val="Normal"/>
    <w:link w:val="FooterChar"/>
    <w:uiPriority w:val="99"/>
    <w:unhideWhenUsed/>
    <w:rsid w:val="00643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037"/>
  </w:style>
  <w:style w:type="paragraph" w:styleId="NormalWeb">
    <w:name w:val="Normal (Web)"/>
    <w:basedOn w:val="Normal"/>
    <w:uiPriority w:val="99"/>
    <w:semiHidden/>
    <w:unhideWhenUsed/>
    <w:rsid w:val="0089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3C048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lv-LV"/>
    </w:rPr>
  </w:style>
  <w:style w:type="paragraph" w:customStyle="1" w:styleId="title-doc-first">
    <w:name w:val="title-doc-first"/>
    <w:basedOn w:val="Normal"/>
    <w:rsid w:val="00D4793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9f1539b3d5108452a9ea80bfe0519997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e9eed20271ecb2536a695533ff28fcf1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Aija Zitcere</Vad_x012b_t_x0101_js>
    <NPK xmlns="b6da864e-06a3-40ee-a61e-0cd067b16413">3</NPK>
    <Kategorija xmlns="2e5bb04e-596e-45bd-9003-43ca78b1ba16">Likumprojekts</Kategorija>
    <DKP xmlns="2e5bb04e-596e-45bd-9003-43ca78b1b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7A723-2E71-43FF-AE2A-536DEC4C2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668ED-EF33-42B6-8C78-6D651AC10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485FB-20C0-49DE-8EC7-B151A059A1ED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2e5bb04e-596e-45bd-9003-43ca78b1ba16"/>
    <ds:schemaRef ds:uri="http://purl.org/dc/terms/"/>
    <ds:schemaRef ds:uri="http://schemas.openxmlformats.org/package/2006/metadata/core-properties"/>
    <ds:schemaRef ds:uri="b6da864e-06a3-40ee-a61e-0cd067b1641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95F255-E27B-487E-BC6C-4DA77C64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Likumprojekts "Grozījumi Kredītiestāžu likumā"</vt:lpstr>
    </vt:vector>
  </TitlesOfParts>
  <Company>Finanšu ministrija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"Grozījumi Kredītiestāžu likumā"</dc:title>
  <dc:subject>Likumprojekts;</dc:subject>
  <dc:creator>Aivis Hammers</dc:creator>
  <dc:description>Aivis Hammers, tālr 67095441, epasts: aivis.hammers@fm.gov.lv</dc:description>
  <cp:lastModifiedBy>Inguna Dancīte</cp:lastModifiedBy>
  <cp:revision>2</cp:revision>
  <cp:lastPrinted>2016-11-14T13:13:00Z</cp:lastPrinted>
  <dcterms:created xsi:type="dcterms:W3CDTF">2021-03-01T12:20:00Z</dcterms:created>
  <dcterms:modified xsi:type="dcterms:W3CDTF">2021-03-01T12:20:00Z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