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14A6E" w14:textId="77777777" w:rsidR="00844D08" w:rsidRPr="00AD0871" w:rsidRDefault="00844D08" w:rsidP="00AD0871">
      <w:pPr>
        <w:shd w:val="clear" w:color="auto" w:fill="FFFFFF"/>
        <w:spacing w:line="240" w:lineRule="auto"/>
        <w:jc w:val="right"/>
        <w:rPr>
          <w:rFonts w:ascii="Calibri" w:eastAsia="Times New Roman" w:hAnsi="Calibri" w:cs="Times New Roman"/>
          <w:i/>
          <w:color w:val="000000"/>
          <w:lang w:val="lv-LV" w:eastAsia="lv-LV"/>
        </w:rPr>
      </w:pPr>
      <w:bookmarkStart w:id="0" w:name="_GoBack"/>
      <w:bookmarkEnd w:id="0"/>
      <w:r w:rsidRPr="00AD0871">
        <w:rPr>
          <w:rFonts w:ascii="Times New Roman" w:eastAsia="Times New Roman" w:hAnsi="Times New Roman" w:cs="Times New Roman"/>
          <w:color w:val="000000"/>
          <w:sz w:val="28"/>
          <w:szCs w:val="28"/>
          <w:lang w:val="lv-LV" w:eastAsia="lv-LV"/>
        </w:rPr>
        <w:br/>
      </w:r>
      <w:r w:rsidRPr="00AD0871">
        <w:rPr>
          <w:rFonts w:ascii="Times New Roman" w:eastAsia="Times New Roman" w:hAnsi="Times New Roman" w:cs="Times New Roman"/>
          <w:i/>
          <w:color w:val="000000"/>
          <w:sz w:val="28"/>
          <w:szCs w:val="28"/>
          <w:lang w:val="lv-LV" w:eastAsia="lv-LV"/>
        </w:rPr>
        <w:t>Likumprojekts</w:t>
      </w:r>
    </w:p>
    <w:p w14:paraId="66B12E0F" w14:textId="77777777" w:rsidR="00844D08" w:rsidRPr="00AD0871" w:rsidRDefault="00844D08" w:rsidP="00AD0871">
      <w:pPr>
        <w:shd w:val="clear" w:color="auto" w:fill="FFFFFF"/>
        <w:spacing w:after="0" w:line="240" w:lineRule="auto"/>
        <w:rPr>
          <w:rFonts w:ascii="Calibri" w:eastAsia="Times New Roman" w:hAnsi="Calibri" w:cs="Times New Roman"/>
          <w:color w:val="000000"/>
          <w:lang w:val="lv-LV" w:eastAsia="lv-LV"/>
        </w:rPr>
      </w:pPr>
      <w:r w:rsidRPr="00AD0871">
        <w:rPr>
          <w:rFonts w:ascii="Times New Roman" w:eastAsia="Times New Roman" w:hAnsi="Times New Roman" w:cs="Times New Roman"/>
          <w:color w:val="000000"/>
          <w:sz w:val="28"/>
          <w:szCs w:val="28"/>
          <w:lang w:val="lv-LV" w:eastAsia="lv-LV"/>
        </w:rPr>
        <w:t> </w:t>
      </w:r>
    </w:p>
    <w:p w14:paraId="3640D5F5" w14:textId="2376735C" w:rsidR="00844D08" w:rsidRPr="00AD0871" w:rsidRDefault="00844D08" w:rsidP="00AD0871">
      <w:pPr>
        <w:shd w:val="clear" w:color="auto" w:fill="FFFFFF"/>
        <w:spacing w:after="0" w:line="240" w:lineRule="auto"/>
        <w:jc w:val="center"/>
        <w:rPr>
          <w:rFonts w:ascii="Calibri" w:eastAsia="Times New Roman" w:hAnsi="Calibri" w:cs="Times New Roman"/>
          <w:color w:val="000000"/>
          <w:lang w:val="lv-LV" w:eastAsia="lv-LV"/>
        </w:rPr>
      </w:pPr>
      <w:r w:rsidRPr="00AD0871">
        <w:rPr>
          <w:rFonts w:ascii="Times New Roman" w:eastAsia="Times New Roman" w:hAnsi="Times New Roman" w:cs="Times New Roman"/>
          <w:b/>
          <w:bCs/>
          <w:color w:val="000000"/>
          <w:sz w:val="28"/>
          <w:szCs w:val="28"/>
          <w:lang w:val="lv-LV" w:eastAsia="lv-LV"/>
        </w:rPr>
        <w:t>Grozījumi</w:t>
      </w:r>
      <w:r w:rsidRPr="00AD0871">
        <w:rPr>
          <w:rFonts w:ascii="Times New Roman" w:eastAsia="Times New Roman" w:hAnsi="Times New Roman" w:cs="Times New Roman"/>
          <w:b/>
          <w:bCs/>
          <w:color w:val="000000"/>
          <w:sz w:val="28"/>
          <w:lang w:val="lv-LV" w:eastAsia="lv-LV"/>
        </w:rPr>
        <w:t> </w:t>
      </w:r>
      <w:r w:rsidR="00BB57F8">
        <w:rPr>
          <w:rFonts w:ascii="Times New Roman" w:eastAsia="Times New Roman" w:hAnsi="Times New Roman" w:cs="Times New Roman"/>
          <w:b/>
          <w:bCs/>
          <w:color w:val="000000"/>
          <w:sz w:val="28"/>
          <w:szCs w:val="28"/>
          <w:lang w:val="lv-LV" w:eastAsia="lv-LV"/>
        </w:rPr>
        <w:t>Kredītiestāžu un ieguldījumu brokeru sabiedrību darbības atjaunošanas un noregulējuma</w:t>
      </w:r>
      <w:r w:rsidRPr="00AD0871">
        <w:rPr>
          <w:rFonts w:ascii="Times New Roman" w:eastAsia="Times New Roman" w:hAnsi="Times New Roman" w:cs="Times New Roman"/>
          <w:b/>
          <w:bCs/>
          <w:color w:val="000000"/>
          <w:sz w:val="28"/>
          <w:szCs w:val="28"/>
          <w:lang w:val="lv-LV" w:eastAsia="lv-LV"/>
        </w:rPr>
        <w:t xml:space="preserve"> likumā</w:t>
      </w:r>
    </w:p>
    <w:p w14:paraId="705CF00B" w14:textId="77777777" w:rsidR="00844D08" w:rsidRPr="00AD0871" w:rsidRDefault="00844D08" w:rsidP="00AD0871">
      <w:pPr>
        <w:shd w:val="clear" w:color="auto" w:fill="FFFFFF"/>
        <w:spacing w:after="0" w:line="240" w:lineRule="auto"/>
        <w:jc w:val="both"/>
        <w:rPr>
          <w:rFonts w:ascii="Calibri" w:eastAsia="Times New Roman" w:hAnsi="Calibri" w:cs="Times New Roman"/>
          <w:color w:val="000000"/>
          <w:lang w:val="lv-LV" w:eastAsia="lv-LV"/>
        </w:rPr>
      </w:pPr>
      <w:r w:rsidRPr="00AD0871">
        <w:rPr>
          <w:rFonts w:ascii="Times New Roman" w:eastAsia="Times New Roman" w:hAnsi="Times New Roman" w:cs="Times New Roman"/>
          <w:color w:val="000000"/>
          <w:sz w:val="28"/>
          <w:szCs w:val="28"/>
          <w:lang w:val="lv-LV" w:eastAsia="lv-LV"/>
        </w:rPr>
        <w:t> </w:t>
      </w:r>
    </w:p>
    <w:p w14:paraId="3871C03F" w14:textId="44EFA58C" w:rsidR="00844D08" w:rsidRPr="00C52F84" w:rsidRDefault="00844D08" w:rsidP="00AD0871">
      <w:pPr>
        <w:shd w:val="clear" w:color="auto" w:fill="FFFFFF"/>
        <w:spacing w:after="0" w:line="240" w:lineRule="auto"/>
        <w:ind w:firstLine="709"/>
        <w:jc w:val="both"/>
        <w:rPr>
          <w:rFonts w:ascii="Calibri" w:eastAsia="Times New Roman" w:hAnsi="Calibri" w:cs="Times New Roman"/>
          <w:color w:val="000000"/>
          <w:sz w:val="28"/>
          <w:szCs w:val="28"/>
          <w:lang w:val="lv-LV" w:eastAsia="lv-LV"/>
        </w:rPr>
      </w:pPr>
      <w:r w:rsidRPr="00C52F84">
        <w:rPr>
          <w:rFonts w:ascii="Times New Roman" w:eastAsia="Times New Roman" w:hAnsi="Times New Roman" w:cs="Times New Roman"/>
          <w:color w:val="000000"/>
          <w:sz w:val="28"/>
          <w:szCs w:val="28"/>
          <w:lang w:val="lv-LV" w:eastAsia="lv-LV"/>
        </w:rPr>
        <w:t>Izdarīt </w:t>
      </w:r>
      <w:r w:rsidR="00BB57F8" w:rsidRPr="00BB57F8">
        <w:rPr>
          <w:rFonts w:ascii="Times New Roman" w:eastAsia="Times New Roman" w:hAnsi="Times New Roman" w:cs="Times New Roman"/>
          <w:color w:val="000000"/>
          <w:sz w:val="28"/>
          <w:szCs w:val="28"/>
          <w:lang w:val="lv-LV" w:eastAsia="lv-LV"/>
        </w:rPr>
        <w:t>Kredītiestāžu un ieguldījumu brokeru sabiedrību darbības atjaunošanas un noregulējuma likumā</w:t>
      </w:r>
      <w:r w:rsidRPr="00C52F84">
        <w:rPr>
          <w:rFonts w:ascii="Times New Roman" w:eastAsia="Times New Roman" w:hAnsi="Times New Roman" w:cs="Times New Roman"/>
          <w:color w:val="000000"/>
          <w:sz w:val="28"/>
          <w:szCs w:val="28"/>
          <w:lang w:val="lv-LV" w:eastAsia="lv-LV"/>
        </w:rPr>
        <w:t xml:space="preserve"> (</w:t>
      </w:r>
      <w:r w:rsidRPr="00E0194F">
        <w:rPr>
          <w:rFonts w:ascii="Times New Roman" w:eastAsia="Times New Roman" w:hAnsi="Times New Roman" w:cs="Times New Roman"/>
          <w:color w:val="000000"/>
          <w:sz w:val="28"/>
          <w:szCs w:val="28"/>
          <w:lang w:val="lv-LV" w:eastAsia="lv-LV"/>
        </w:rPr>
        <w:t xml:space="preserve">Latvijas </w:t>
      </w:r>
      <w:r w:rsidR="00DE32E2" w:rsidRPr="00E0194F">
        <w:rPr>
          <w:rFonts w:ascii="Times New Roman" w:eastAsia="Times New Roman" w:hAnsi="Times New Roman" w:cs="Times New Roman"/>
          <w:color w:val="000000"/>
          <w:sz w:val="28"/>
          <w:szCs w:val="28"/>
          <w:lang w:val="lv-LV" w:eastAsia="lv-LV"/>
        </w:rPr>
        <w:t>Vēstnesis</w:t>
      </w:r>
      <w:r w:rsidRPr="00E0194F">
        <w:rPr>
          <w:rFonts w:ascii="Times New Roman" w:eastAsia="Times New Roman" w:hAnsi="Times New Roman" w:cs="Times New Roman"/>
          <w:color w:val="000000"/>
          <w:sz w:val="28"/>
          <w:szCs w:val="28"/>
          <w:lang w:val="lv-LV" w:eastAsia="lv-LV"/>
        </w:rPr>
        <w:t xml:space="preserve">, </w:t>
      </w:r>
      <w:r w:rsidR="00FA1509">
        <w:rPr>
          <w:rFonts w:ascii="Times New Roman" w:eastAsia="Times New Roman" w:hAnsi="Times New Roman" w:cs="Times New Roman"/>
          <w:color w:val="000000"/>
          <w:sz w:val="28"/>
          <w:szCs w:val="28"/>
          <w:lang w:val="lv-LV" w:eastAsia="lv-LV"/>
        </w:rPr>
        <w:t xml:space="preserve">2015, 127. nr.; </w:t>
      </w:r>
      <w:r w:rsidR="00E0194F">
        <w:rPr>
          <w:rFonts w:ascii="Times New Roman" w:eastAsia="Times New Roman" w:hAnsi="Times New Roman" w:cs="Times New Roman"/>
          <w:color w:val="000000"/>
          <w:sz w:val="28"/>
          <w:szCs w:val="28"/>
          <w:lang w:val="lv-LV" w:eastAsia="lv-LV"/>
        </w:rPr>
        <w:t>201</w:t>
      </w:r>
      <w:r w:rsidR="00BB57F8">
        <w:rPr>
          <w:rFonts w:ascii="Times New Roman" w:eastAsia="Times New Roman" w:hAnsi="Times New Roman" w:cs="Times New Roman"/>
          <w:color w:val="000000"/>
          <w:sz w:val="28"/>
          <w:szCs w:val="28"/>
          <w:lang w:val="lv-LV" w:eastAsia="lv-LV"/>
        </w:rPr>
        <w:t>7</w:t>
      </w:r>
      <w:r w:rsidRPr="00E0194F">
        <w:rPr>
          <w:rFonts w:ascii="Times New Roman" w:eastAsia="Times New Roman" w:hAnsi="Times New Roman" w:cs="Times New Roman"/>
          <w:color w:val="000000"/>
          <w:sz w:val="28"/>
          <w:szCs w:val="28"/>
          <w:lang w:val="lv-LV" w:eastAsia="lv-LV"/>
        </w:rPr>
        <w:t xml:space="preserve">, </w:t>
      </w:r>
      <w:r w:rsidR="00BB57F8">
        <w:rPr>
          <w:rFonts w:ascii="Times New Roman" w:eastAsia="Times New Roman" w:hAnsi="Times New Roman" w:cs="Times New Roman"/>
          <w:color w:val="000000"/>
          <w:sz w:val="28"/>
          <w:szCs w:val="28"/>
          <w:lang w:val="lv-LV" w:eastAsia="lv-LV"/>
        </w:rPr>
        <w:t>47</w:t>
      </w:r>
      <w:r w:rsidR="00DE32E2" w:rsidRPr="00E0194F">
        <w:rPr>
          <w:rFonts w:ascii="Times New Roman" w:eastAsia="Times New Roman" w:hAnsi="Times New Roman" w:cs="Times New Roman"/>
          <w:color w:val="000000"/>
          <w:sz w:val="28"/>
          <w:szCs w:val="28"/>
          <w:lang w:val="lv-LV" w:eastAsia="lv-LV"/>
        </w:rPr>
        <w:t>.</w:t>
      </w:r>
      <w:r w:rsidRPr="00E0194F">
        <w:rPr>
          <w:rFonts w:ascii="Times New Roman" w:eastAsia="Times New Roman" w:hAnsi="Times New Roman" w:cs="Times New Roman"/>
          <w:color w:val="000000"/>
          <w:sz w:val="28"/>
          <w:szCs w:val="28"/>
          <w:lang w:val="lv-LV" w:eastAsia="lv-LV"/>
        </w:rPr>
        <w:t xml:space="preserve"> nr.; </w:t>
      </w:r>
      <w:r w:rsidR="00E0194F">
        <w:rPr>
          <w:rFonts w:ascii="Times New Roman" w:eastAsia="Times New Roman" w:hAnsi="Times New Roman" w:cs="Times New Roman"/>
          <w:color w:val="000000"/>
          <w:sz w:val="28"/>
          <w:szCs w:val="28"/>
          <w:lang w:val="lv-LV" w:eastAsia="lv-LV"/>
        </w:rPr>
        <w:t>201</w:t>
      </w:r>
      <w:r w:rsidR="00BB57F8">
        <w:rPr>
          <w:rFonts w:ascii="Times New Roman" w:eastAsia="Times New Roman" w:hAnsi="Times New Roman" w:cs="Times New Roman"/>
          <w:color w:val="000000"/>
          <w:sz w:val="28"/>
          <w:szCs w:val="28"/>
          <w:lang w:val="lv-LV" w:eastAsia="lv-LV"/>
        </w:rPr>
        <w:t>9</w:t>
      </w:r>
      <w:r w:rsidRPr="00E0194F">
        <w:rPr>
          <w:rFonts w:ascii="Times New Roman" w:eastAsia="Times New Roman" w:hAnsi="Times New Roman" w:cs="Times New Roman"/>
          <w:color w:val="000000"/>
          <w:sz w:val="28"/>
          <w:szCs w:val="28"/>
          <w:lang w:val="lv-LV" w:eastAsia="lv-LV"/>
        </w:rPr>
        <w:t>,</w:t>
      </w:r>
      <w:r w:rsidR="00DE32E2" w:rsidRPr="00E0194F">
        <w:rPr>
          <w:rFonts w:ascii="Times New Roman" w:eastAsia="Times New Roman" w:hAnsi="Times New Roman" w:cs="Times New Roman"/>
          <w:color w:val="000000"/>
          <w:sz w:val="28"/>
          <w:szCs w:val="28"/>
          <w:lang w:val="lv-LV" w:eastAsia="lv-LV"/>
        </w:rPr>
        <w:t xml:space="preserve"> </w:t>
      </w:r>
      <w:r w:rsidR="00BB57F8">
        <w:rPr>
          <w:rFonts w:ascii="Times New Roman" w:eastAsia="Times New Roman" w:hAnsi="Times New Roman" w:cs="Times New Roman"/>
          <w:color w:val="000000"/>
          <w:sz w:val="28"/>
          <w:szCs w:val="28"/>
          <w:lang w:val="lv-LV" w:eastAsia="lv-LV"/>
        </w:rPr>
        <w:t>52</w:t>
      </w:r>
      <w:r w:rsidRPr="00E0194F">
        <w:rPr>
          <w:rFonts w:ascii="Times New Roman" w:eastAsia="Times New Roman" w:hAnsi="Times New Roman" w:cs="Times New Roman"/>
          <w:color w:val="000000"/>
          <w:sz w:val="28"/>
          <w:szCs w:val="28"/>
          <w:lang w:val="lv-LV" w:eastAsia="lv-LV"/>
        </w:rPr>
        <w:t>. nr.)</w:t>
      </w:r>
      <w:r w:rsidRPr="00C52F84">
        <w:rPr>
          <w:rFonts w:ascii="Times New Roman" w:eastAsia="Times New Roman" w:hAnsi="Times New Roman" w:cs="Times New Roman"/>
          <w:color w:val="000000"/>
          <w:sz w:val="28"/>
          <w:szCs w:val="28"/>
          <w:lang w:val="lv-LV" w:eastAsia="lv-LV"/>
        </w:rPr>
        <w:t> </w:t>
      </w:r>
      <w:r w:rsidRPr="00C52F84">
        <w:rPr>
          <w:rFonts w:ascii="Times New Roman" w:eastAsia="Times New Roman" w:hAnsi="Times New Roman" w:cs="Times New Roman"/>
          <w:color w:val="000000"/>
          <w:sz w:val="28"/>
          <w:szCs w:val="28"/>
          <w:shd w:val="clear" w:color="auto" w:fill="FEFEFE"/>
          <w:lang w:val="lv-LV" w:eastAsia="lv-LV"/>
        </w:rPr>
        <w:t>šādus grozījumus:</w:t>
      </w:r>
    </w:p>
    <w:p w14:paraId="7EE8FA3D" w14:textId="77777777" w:rsidR="00844D08" w:rsidRPr="00C52F84" w:rsidRDefault="00844D08" w:rsidP="00AD0871">
      <w:pPr>
        <w:spacing w:line="240" w:lineRule="auto"/>
        <w:rPr>
          <w:rFonts w:ascii="Times New Roman" w:hAnsi="Times New Roman" w:cs="Times New Roman"/>
          <w:sz w:val="28"/>
          <w:szCs w:val="28"/>
          <w:lang w:val="lv-LV"/>
        </w:rPr>
      </w:pPr>
    </w:p>
    <w:p w14:paraId="4AD4EFB2" w14:textId="639742B9" w:rsidR="00AD0871" w:rsidRDefault="001865F9" w:rsidP="001865F9">
      <w:pPr>
        <w:spacing w:line="240" w:lineRule="auto"/>
        <w:rPr>
          <w:rFonts w:ascii="Times New Roman" w:hAnsi="Times New Roman" w:cs="Times New Roman"/>
          <w:sz w:val="28"/>
          <w:szCs w:val="28"/>
          <w:lang w:val="lv-LV"/>
        </w:rPr>
      </w:pPr>
      <w:r>
        <w:rPr>
          <w:rFonts w:ascii="Times New Roman" w:hAnsi="Times New Roman" w:cs="Times New Roman"/>
          <w:sz w:val="28"/>
          <w:szCs w:val="28"/>
          <w:lang w:val="lv-LV"/>
        </w:rPr>
        <w:t xml:space="preserve">1. </w:t>
      </w:r>
      <w:r w:rsidR="00E0194F" w:rsidRPr="001865F9">
        <w:rPr>
          <w:rFonts w:ascii="Times New Roman" w:hAnsi="Times New Roman" w:cs="Times New Roman"/>
          <w:sz w:val="28"/>
          <w:szCs w:val="28"/>
          <w:lang w:val="lv-LV"/>
        </w:rPr>
        <w:t>1.pant</w:t>
      </w:r>
      <w:r w:rsidR="00C668BD">
        <w:rPr>
          <w:rFonts w:ascii="Times New Roman" w:hAnsi="Times New Roman" w:cs="Times New Roman"/>
          <w:sz w:val="28"/>
          <w:szCs w:val="28"/>
          <w:lang w:val="lv-LV"/>
        </w:rPr>
        <w:t>ā</w:t>
      </w:r>
      <w:r w:rsidR="00AD0871" w:rsidRPr="001865F9">
        <w:rPr>
          <w:rFonts w:ascii="Times New Roman" w:hAnsi="Times New Roman" w:cs="Times New Roman"/>
          <w:sz w:val="28"/>
          <w:szCs w:val="28"/>
          <w:lang w:val="lv-LV"/>
        </w:rPr>
        <w:t>:</w:t>
      </w:r>
    </w:p>
    <w:p w14:paraId="3CE7AE3D" w14:textId="568E4CE9" w:rsidR="00C668BD" w:rsidRDefault="00C668BD" w:rsidP="00C668BD">
      <w:pPr>
        <w:spacing w:line="240" w:lineRule="auto"/>
        <w:ind w:left="360"/>
        <w:jc w:val="both"/>
        <w:rPr>
          <w:rFonts w:ascii="Times New Roman" w:hAnsi="Times New Roman" w:cs="Times New Roman"/>
          <w:noProof/>
          <w:color w:val="000000"/>
          <w:sz w:val="28"/>
          <w:szCs w:val="28"/>
          <w:lang w:val="lv-LV"/>
        </w:rPr>
      </w:pPr>
      <w:r w:rsidRPr="00C668BD">
        <w:rPr>
          <w:rFonts w:ascii="Times New Roman" w:hAnsi="Times New Roman" w:cs="Times New Roman"/>
          <w:noProof/>
          <w:color w:val="000000"/>
          <w:sz w:val="28"/>
          <w:szCs w:val="28"/>
          <w:lang w:val="lv-LV"/>
        </w:rPr>
        <w:t>aizstāt pirmās daļas 23.punktā vārdus un skaitļus “Finanšu instrumentu tirgus likuma 120.panta pirmās daļas 3.punkta prasībām”</w:t>
      </w:r>
      <w:r>
        <w:rPr>
          <w:rFonts w:ascii="Times New Roman" w:hAnsi="Times New Roman" w:cs="Times New Roman"/>
          <w:noProof/>
          <w:color w:val="000000"/>
          <w:sz w:val="28"/>
          <w:szCs w:val="28"/>
          <w:lang w:val="lv-LV"/>
        </w:rPr>
        <w:t xml:space="preserve"> ar vārdiem un skaitļiem “</w:t>
      </w:r>
      <w:r w:rsidRPr="00C668BD">
        <w:rPr>
          <w:rFonts w:ascii="Times New Roman" w:hAnsi="Times New Roman" w:cs="Times New Roman"/>
          <w:noProof/>
          <w:color w:val="000000"/>
          <w:sz w:val="28"/>
          <w:szCs w:val="28"/>
          <w:lang w:val="lv-LV"/>
        </w:rPr>
        <w:t xml:space="preserve">Ieguldījumu brokeru sabiedrību likuma </w:t>
      </w:r>
      <w:r>
        <w:rPr>
          <w:rFonts w:ascii="Times New Roman" w:hAnsi="Times New Roman" w:cs="Times New Roman"/>
          <w:noProof/>
          <w:color w:val="000000"/>
          <w:sz w:val="28"/>
          <w:szCs w:val="28"/>
          <w:lang w:val="lv-LV"/>
        </w:rPr>
        <w:t>6</w:t>
      </w:r>
      <w:r w:rsidRPr="00C668BD">
        <w:rPr>
          <w:rFonts w:ascii="Times New Roman" w:hAnsi="Times New Roman" w:cs="Times New Roman"/>
          <w:noProof/>
          <w:color w:val="000000"/>
          <w:sz w:val="28"/>
          <w:szCs w:val="28"/>
          <w:lang w:val="lv-LV"/>
        </w:rPr>
        <w:t xml:space="preserve">. panta pirmās daļas </w:t>
      </w:r>
      <w:r>
        <w:rPr>
          <w:rFonts w:ascii="Times New Roman" w:hAnsi="Times New Roman" w:cs="Times New Roman"/>
          <w:noProof/>
          <w:color w:val="000000"/>
          <w:sz w:val="28"/>
          <w:szCs w:val="28"/>
          <w:lang w:val="lv-LV"/>
        </w:rPr>
        <w:t>3</w:t>
      </w:r>
      <w:r w:rsidRPr="00C668BD">
        <w:rPr>
          <w:rFonts w:ascii="Times New Roman" w:hAnsi="Times New Roman" w:cs="Times New Roman"/>
          <w:noProof/>
          <w:color w:val="000000"/>
          <w:sz w:val="28"/>
          <w:szCs w:val="28"/>
          <w:lang w:val="lv-LV"/>
        </w:rPr>
        <w:t>. punkta prasībām</w:t>
      </w:r>
      <w:r>
        <w:rPr>
          <w:rFonts w:ascii="Times New Roman" w:hAnsi="Times New Roman" w:cs="Times New Roman"/>
          <w:noProof/>
          <w:color w:val="000000"/>
          <w:sz w:val="28"/>
          <w:szCs w:val="28"/>
          <w:lang w:val="lv-LV"/>
        </w:rPr>
        <w:t>”;</w:t>
      </w:r>
    </w:p>
    <w:p w14:paraId="424B680A" w14:textId="1F6D968F" w:rsidR="009805BE" w:rsidRPr="00C668BD" w:rsidRDefault="009805BE" w:rsidP="00C668BD">
      <w:pPr>
        <w:spacing w:line="240" w:lineRule="auto"/>
        <w:ind w:left="360"/>
        <w:jc w:val="both"/>
        <w:rPr>
          <w:rFonts w:ascii="Times New Roman" w:hAnsi="Times New Roman" w:cs="Times New Roman"/>
          <w:noProof/>
          <w:color w:val="000000"/>
          <w:sz w:val="28"/>
          <w:szCs w:val="28"/>
          <w:lang w:val="lv-LV"/>
        </w:rPr>
      </w:pPr>
      <w:r w:rsidRPr="00C668BD">
        <w:rPr>
          <w:rFonts w:ascii="Times New Roman" w:hAnsi="Times New Roman" w:cs="Times New Roman"/>
          <w:noProof/>
          <w:color w:val="000000"/>
          <w:sz w:val="28"/>
          <w:szCs w:val="28"/>
          <w:lang w:val="lv-LV"/>
        </w:rPr>
        <w:t xml:space="preserve">aizstāt pirmās daļas </w:t>
      </w:r>
      <w:r w:rsidR="001C1C28">
        <w:rPr>
          <w:rFonts w:ascii="Times New Roman" w:hAnsi="Times New Roman" w:cs="Times New Roman"/>
          <w:noProof/>
          <w:color w:val="000000"/>
          <w:sz w:val="28"/>
          <w:szCs w:val="28"/>
          <w:lang w:val="lv-LV"/>
        </w:rPr>
        <w:t>4</w:t>
      </w:r>
      <w:r w:rsidRPr="00C668BD">
        <w:rPr>
          <w:rFonts w:ascii="Times New Roman" w:hAnsi="Times New Roman" w:cs="Times New Roman"/>
          <w:noProof/>
          <w:color w:val="000000"/>
          <w:sz w:val="28"/>
          <w:szCs w:val="28"/>
          <w:lang w:val="lv-LV"/>
        </w:rPr>
        <w:t>3.punktā vārdus un skait</w:t>
      </w:r>
      <w:r>
        <w:rPr>
          <w:rFonts w:ascii="Times New Roman" w:hAnsi="Times New Roman" w:cs="Times New Roman"/>
          <w:noProof/>
          <w:color w:val="000000"/>
          <w:sz w:val="28"/>
          <w:szCs w:val="28"/>
          <w:lang w:val="lv-LV"/>
        </w:rPr>
        <w:t xml:space="preserve">li </w:t>
      </w:r>
      <w:r w:rsidRPr="00C668BD">
        <w:rPr>
          <w:rFonts w:ascii="Times New Roman" w:hAnsi="Times New Roman" w:cs="Times New Roman"/>
          <w:noProof/>
          <w:color w:val="000000"/>
          <w:sz w:val="28"/>
          <w:szCs w:val="28"/>
          <w:lang w:val="lv-LV"/>
        </w:rPr>
        <w:t xml:space="preserve">“Finanšu instrumentu tirgus likuma </w:t>
      </w:r>
      <w:r>
        <w:rPr>
          <w:rFonts w:ascii="Times New Roman" w:hAnsi="Times New Roman" w:cs="Times New Roman"/>
          <w:noProof/>
          <w:color w:val="000000"/>
          <w:sz w:val="28"/>
          <w:szCs w:val="28"/>
          <w:lang w:val="lv-LV"/>
        </w:rPr>
        <w:t>154. pantā” ar vārdiem un skaitļiem “</w:t>
      </w:r>
      <w:r w:rsidRPr="00C668BD">
        <w:rPr>
          <w:rFonts w:ascii="Times New Roman" w:hAnsi="Times New Roman" w:cs="Times New Roman"/>
          <w:noProof/>
          <w:color w:val="000000"/>
          <w:sz w:val="28"/>
          <w:szCs w:val="28"/>
          <w:lang w:val="lv-LV"/>
        </w:rPr>
        <w:t>Ieguldījumu brokeru sabiedrību likuma</w:t>
      </w:r>
      <w:r>
        <w:rPr>
          <w:rFonts w:ascii="Times New Roman" w:hAnsi="Times New Roman" w:cs="Times New Roman"/>
          <w:noProof/>
          <w:color w:val="000000"/>
          <w:sz w:val="28"/>
          <w:szCs w:val="28"/>
          <w:lang w:val="lv-LV"/>
        </w:rPr>
        <w:t xml:space="preserve"> </w:t>
      </w:r>
      <w:r w:rsidR="00F8554C">
        <w:rPr>
          <w:rFonts w:ascii="Times New Roman" w:hAnsi="Times New Roman" w:cs="Times New Roman"/>
          <w:noProof/>
          <w:color w:val="000000"/>
          <w:sz w:val="28"/>
          <w:szCs w:val="28"/>
          <w:lang w:val="lv-LV"/>
        </w:rPr>
        <w:t>69</w:t>
      </w:r>
      <w:r>
        <w:rPr>
          <w:rFonts w:ascii="Times New Roman" w:hAnsi="Times New Roman" w:cs="Times New Roman"/>
          <w:noProof/>
          <w:color w:val="000000"/>
          <w:sz w:val="28"/>
          <w:szCs w:val="28"/>
          <w:lang w:val="lv-LV"/>
        </w:rPr>
        <w:t>. pantā”.</w:t>
      </w:r>
    </w:p>
    <w:p w14:paraId="386918B4" w14:textId="168AFDBF" w:rsidR="00F606DF" w:rsidRDefault="001865F9" w:rsidP="00201D20">
      <w:pPr>
        <w:spacing w:before="120" w:line="240" w:lineRule="auto"/>
        <w:jc w:val="both"/>
        <w:rPr>
          <w:rFonts w:ascii="Times New Roman" w:hAnsi="Times New Roman" w:cs="Times New Roman"/>
          <w:noProof/>
          <w:sz w:val="28"/>
          <w:szCs w:val="28"/>
          <w:lang w:val="lv-LV"/>
        </w:rPr>
      </w:pPr>
      <w:r>
        <w:rPr>
          <w:rFonts w:ascii="Times New Roman" w:hAnsi="Times New Roman" w:cs="Times New Roman"/>
          <w:sz w:val="28"/>
          <w:szCs w:val="28"/>
          <w:lang w:val="lv-LV"/>
        </w:rPr>
        <w:t xml:space="preserve">2. </w:t>
      </w:r>
      <w:r w:rsidR="00114FC2">
        <w:rPr>
          <w:rFonts w:ascii="Times New Roman" w:hAnsi="Times New Roman" w:cs="Times New Roman"/>
          <w:sz w:val="28"/>
          <w:szCs w:val="28"/>
          <w:lang w:val="lv-LV"/>
        </w:rPr>
        <w:t>Papildināt 2.panta ceturto daļu aiz vārdiem “Kredītiestāžu likumu” ar vārdiem “</w:t>
      </w:r>
      <w:r w:rsidR="00114FC2" w:rsidRPr="00114FC2">
        <w:rPr>
          <w:rFonts w:ascii="Times New Roman" w:hAnsi="Times New Roman" w:cs="Times New Roman"/>
          <w:noProof/>
          <w:sz w:val="28"/>
          <w:szCs w:val="28"/>
          <w:lang w:val="lv-LV"/>
        </w:rPr>
        <w:t>Ieguldījumu brokeru sabiedrību likumu, Ieguldījumu pārvaldes sabiedrību likumu</w:t>
      </w:r>
      <w:r w:rsidR="00114FC2">
        <w:rPr>
          <w:rFonts w:ascii="Times New Roman" w:hAnsi="Times New Roman" w:cs="Times New Roman"/>
          <w:noProof/>
          <w:sz w:val="28"/>
          <w:szCs w:val="28"/>
          <w:lang w:val="lv-LV"/>
        </w:rPr>
        <w:t>”.</w:t>
      </w:r>
    </w:p>
    <w:p w14:paraId="6D354766" w14:textId="34EC7490" w:rsidR="00114FC2" w:rsidRDefault="00114FC2" w:rsidP="00201D20">
      <w:pPr>
        <w:spacing w:before="120" w:line="240" w:lineRule="auto"/>
        <w:jc w:val="both"/>
        <w:rPr>
          <w:rFonts w:ascii="Times New Roman" w:hAnsi="Times New Roman" w:cs="Times New Roman"/>
          <w:noProof/>
          <w:color w:val="000000"/>
          <w:sz w:val="28"/>
          <w:szCs w:val="28"/>
          <w:lang w:val="lv-LV"/>
        </w:rPr>
      </w:pPr>
      <w:r>
        <w:rPr>
          <w:rFonts w:ascii="Times New Roman" w:hAnsi="Times New Roman" w:cs="Times New Roman"/>
          <w:noProof/>
          <w:sz w:val="28"/>
          <w:szCs w:val="28"/>
          <w:lang w:val="lv-LV"/>
        </w:rPr>
        <w:t>3. Aizstāt 5.panta pirmajā daļā vārdus un skaitļus “</w:t>
      </w:r>
      <w:r w:rsidRPr="00C668BD">
        <w:rPr>
          <w:rFonts w:ascii="Times New Roman" w:hAnsi="Times New Roman" w:cs="Times New Roman"/>
          <w:noProof/>
          <w:color w:val="000000"/>
          <w:sz w:val="28"/>
          <w:szCs w:val="28"/>
          <w:lang w:val="lv-LV"/>
        </w:rPr>
        <w:t>Finanšu instrumentu tirgus likuma</w:t>
      </w:r>
      <w:r>
        <w:rPr>
          <w:rFonts w:ascii="Times New Roman" w:hAnsi="Times New Roman" w:cs="Times New Roman"/>
          <w:noProof/>
          <w:color w:val="000000"/>
          <w:sz w:val="28"/>
          <w:szCs w:val="28"/>
          <w:lang w:val="lv-LV"/>
        </w:rPr>
        <w:t xml:space="preserve"> 124.panta pirmās daļas 11.punkta un 1.</w:t>
      </w:r>
      <w:r w:rsidRPr="00114FC2">
        <w:rPr>
          <w:rFonts w:ascii="Times New Roman" w:hAnsi="Times New Roman" w:cs="Times New Roman"/>
          <w:noProof/>
          <w:color w:val="000000"/>
          <w:sz w:val="28"/>
          <w:szCs w:val="28"/>
          <w:vertAlign w:val="superscript"/>
          <w:lang w:val="lv-LV"/>
        </w:rPr>
        <w:t>1</w:t>
      </w:r>
      <w:r>
        <w:rPr>
          <w:rFonts w:ascii="Times New Roman" w:hAnsi="Times New Roman" w:cs="Times New Roman"/>
          <w:noProof/>
          <w:color w:val="000000"/>
          <w:sz w:val="28"/>
          <w:szCs w:val="28"/>
          <w:lang w:val="lv-LV"/>
        </w:rPr>
        <w:t xml:space="preserve"> daļas” ar vārdiem un skaitļiem “</w:t>
      </w:r>
      <w:r w:rsidRPr="00114FC2">
        <w:rPr>
          <w:rFonts w:ascii="Times New Roman" w:hAnsi="Times New Roman" w:cs="Times New Roman"/>
          <w:noProof/>
          <w:color w:val="000000"/>
          <w:sz w:val="28"/>
          <w:szCs w:val="28"/>
          <w:lang w:val="lv-LV"/>
        </w:rPr>
        <w:t>Ieguldījumu brokeru sabiedrību likuma 3</w:t>
      </w:r>
      <w:r>
        <w:rPr>
          <w:rFonts w:ascii="Times New Roman" w:hAnsi="Times New Roman" w:cs="Times New Roman"/>
          <w:noProof/>
          <w:color w:val="000000"/>
          <w:sz w:val="28"/>
          <w:szCs w:val="28"/>
          <w:lang w:val="lv-LV"/>
        </w:rPr>
        <w:t>1</w:t>
      </w:r>
      <w:r w:rsidRPr="00114FC2">
        <w:rPr>
          <w:rFonts w:ascii="Times New Roman" w:hAnsi="Times New Roman" w:cs="Times New Roman"/>
          <w:noProof/>
          <w:color w:val="000000"/>
          <w:sz w:val="28"/>
          <w:szCs w:val="28"/>
          <w:lang w:val="lv-LV"/>
        </w:rPr>
        <w:t xml:space="preserve">. panta </w:t>
      </w:r>
      <w:r>
        <w:rPr>
          <w:rFonts w:ascii="Times New Roman" w:hAnsi="Times New Roman" w:cs="Times New Roman"/>
          <w:noProof/>
          <w:color w:val="000000"/>
          <w:sz w:val="28"/>
          <w:szCs w:val="28"/>
          <w:lang w:val="lv-LV"/>
        </w:rPr>
        <w:t>pirmās</w:t>
      </w:r>
      <w:r w:rsidRPr="00114FC2">
        <w:rPr>
          <w:rFonts w:ascii="Times New Roman" w:hAnsi="Times New Roman" w:cs="Times New Roman"/>
          <w:noProof/>
          <w:color w:val="000000"/>
          <w:sz w:val="28"/>
          <w:szCs w:val="28"/>
          <w:lang w:val="lv-LV"/>
        </w:rPr>
        <w:t xml:space="preserve"> daļas 1</w:t>
      </w:r>
      <w:r>
        <w:rPr>
          <w:rFonts w:ascii="Times New Roman" w:hAnsi="Times New Roman" w:cs="Times New Roman"/>
          <w:noProof/>
          <w:color w:val="000000"/>
          <w:sz w:val="28"/>
          <w:szCs w:val="28"/>
          <w:lang w:val="lv-LV"/>
        </w:rPr>
        <w:t>3</w:t>
      </w:r>
      <w:r w:rsidRPr="00114FC2">
        <w:rPr>
          <w:rFonts w:ascii="Times New Roman" w:hAnsi="Times New Roman" w:cs="Times New Roman"/>
          <w:noProof/>
          <w:color w:val="000000"/>
          <w:sz w:val="28"/>
          <w:szCs w:val="28"/>
          <w:lang w:val="lv-LV"/>
        </w:rPr>
        <w:t xml:space="preserve">. punkta un </w:t>
      </w:r>
      <w:r>
        <w:rPr>
          <w:rFonts w:ascii="Times New Roman" w:hAnsi="Times New Roman" w:cs="Times New Roman"/>
          <w:noProof/>
          <w:color w:val="000000"/>
          <w:sz w:val="28"/>
          <w:szCs w:val="28"/>
          <w:lang w:val="lv-LV"/>
        </w:rPr>
        <w:t>ceturtās</w:t>
      </w:r>
      <w:r w:rsidRPr="00114FC2">
        <w:rPr>
          <w:rFonts w:ascii="Times New Roman" w:hAnsi="Times New Roman" w:cs="Times New Roman"/>
          <w:noProof/>
          <w:color w:val="000000"/>
          <w:sz w:val="28"/>
          <w:szCs w:val="28"/>
          <w:lang w:val="lv-LV"/>
        </w:rPr>
        <w:t xml:space="preserve"> daļas</w:t>
      </w:r>
      <w:r>
        <w:rPr>
          <w:rFonts w:ascii="Times New Roman" w:hAnsi="Times New Roman" w:cs="Times New Roman"/>
          <w:noProof/>
          <w:color w:val="000000"/>
          <w:sz w:val="28"/>
          <w:szCs w:val="28"/>
          <w:lang w:val="lv-LV"/>
        </w:rPr>
        <w:t>”.</w:t>
      </w:r>
    </w:p>
    <w:p w14:paraId="3A54C0FE" w14:textId="4B40B3DF" w:rsidR="00114FC2" w:rsidRDefault="00114FC2" w:rsidP="00201D20">
      <w:pPr>
        <w:spacing w:before="120" w:line="240" w:lineRule="auto"/>
        <w:jc w:val="both"/>
        <w:rPr>
          <w:rFonts w:ascii="Times New Roman" w:hAnsi="Times New Roman" w:cs="Times New Roman"/>
          <w:noProof/>
          <w:sz w:val="28"/>
          <w:szCs w:val="28"/>
          <w:lang w:val="lv-LV"/>
        </w:rPr>
      </w:pPr>
      <w:r>
        <w:rPr>
          <w:rFonts w:ascii="Times New Roman" w:hAnsi="Times New Roman" w:cs="Times New Roman"/>
          <w:noProof/>
          <w:color w:val="000000"/>
          <w:sz w:val="28"/>
          <w:szCs w:val="28"/>
          <w:lang w:val="lv-LV"/>
        </w:rPr>
        <w:t xml:space="preserve">4. </w:t>
      </w:r>
      <w:r>
        <w:rPr>
          <w:rFonts w:ascii="Times New Roman" w:hAnsi="Times New Roman" w:cs="Times New Roman"/>
          <w:sz w:val="28"/>
          <w:szCs w:val="28"/>
          <w:lang w:val="lv-LV"/>
        </w:rPr>
        <w:t>Papildināt 33.panta pirmo daļu aiz vārdiem “Kredītiestāžu likumu” ar vārdiem “</w:t>
      </w:r>
      <w:r w:rsidRPr="00114FC2">
        <w:rPr>
          <w:rFonts w:ascii="Times New Roman" w:hAnsi="Times New Roman" w:cs="Times New Roman"/>
          <w:noProof/>
          <w:sz w:val="28"/>
          <w:szCs w:val="28"/>
          <w:lang w:val="lv-LV"/>
        </w:rPr>
        <w:t>Ieguldījumu brokeru sabiedrību likumu</w:t>
      </w:r>
      <w:r>
        <w:rPr>
          <w:rFonts w:ascii="Times New Roman" w:hAnsi="Times New Roman" w:cs="Times New Roman"/>
          <w:noProof/>
          <w:sz w:val="28"/>
          <w:szCs w:val="28"/>
          <w:lang w:val="lv-LV"/>
        </w:rPr>
        <w:t>”.</w:t>
      </w:r>
    </w:p>
    <w:p w14:paraId="0C414676" w14:textId="0A85574E" w:rsidR="00114FC2" w:rsidRDefault="00114FC2" w:rsidP="00201D20">
      <w:pPr>
        <w:spacing w:before="120" w:line="240" w:lineRule="auto"/>
        <w:jc w:val="both"/>
        <w:rPr>
          <w:rFonts w:ascii="Times New Roman" w:hAnsi="Times New Roman" w:cs="Times New Roman"/>
          <w:noProof/>
          <w:color w:val="000000"/>
          <w:sz w:val="28"/>
          <w:szCs w:val="28"/>
          <w:lang w:val="lv-LV"/>
        </w:rPr>
      </w:pPr>
      <w:r>
        <w:rPr>
          <w:rFonts w:ascii="Times New Roman" w:hAnsi="Times New Roman" w:cs="Times New Roman"/>
          <w:noProof/>
          <w:sz w:val="28"/>
          <w:szCs w:val="28"/>
          <w:lang w:val="lv-LV"/>
        </w:rPr>
        <w:t>5. Aizstāt 44.panta otrajā daļā vārdus “</w:t>
      </w:r>
      <w:r w:rsidRPr="00C668BD">
        <w:rPr>
          <w:rFonts w:ascii="Times New Roman" w:hAnsi="Times New Roman" w:cs="Times New Roman"/>
          <w:noProof/>
          <w:color w:val="000000"/>
          <w:sz w:val="28"/>
          <w:szCs w:val="28"/>
          <w:lang w:val="lv-LV"/>
        </w:rPr>
        <w:t>Finanšu instrumentu tirgus likum</w:t>
      </w:r>
      <w:r>
        <w:rPr>
          <w:rFonts w:ascii="Times New Roman" w:hAnsi="Times New Roman" w:cs="Times New Roman"/>
          <w:noProof/>
          <w:color w:val="000000"/>
          <w:sz w:val="28"/>
          <w:szCs w:val="28"/>
          <w:lang w:val="lv-LV"/>
        </w:rPr>
        <w:t>s” ar vārdiem “</w:t>
      </w:r>
      <w:r w:rsidRPr="00114FC2">
        <w:rPr>
          <w:rFonts w:ascii="Times New Roman" w:hAnsi="Times New Roman" w:cs="Times New Roman"/>
          <w:noProof/>
          <w:color w:val="000000"/>
          <w:sz w:val="28"/>
          <w:szCs w:val="28"/>
          <w:lang w:val="lv-LV"/>
        </w:rPr>
        <w:t>Ieguldījumu brokeru sabiedrību likum</w:t>
      </w:r>
      <w:r>
        <w:rPr>
          <w:rFonts w:ascii="Times New Roman" w:hAnsi="Times New Roman" w:cs="Times New Roman"/>
          <w:noProof/>
          <w:color w:val="000000"/>
          <w:sz w:val="28"/>
          <w:szCs w:val="28"/>
          <w:lang w:val="lv-LV"/>
        </w:rPr>
        <w:t>s”.</w:t>
      </w:r>
    </w:p>
    <w:p w14:paraId="3872FC0A" w14:textId="4FADF016" w:rsidR="00201D20" w:rsidRDefault="00201D20" w:rsidP="00201D20">
      <w:pPr>
        <w:spacing w:before="120" w:line="240" w:lineRule="auto"/>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 xml:space="preserve">6. </w:t>
      </w:r>
      <w:r>
        <w:rPr>
          <w:rFonts w:ascii="Times New Roman" w:hAnsi="Times New Roman" w:cs="Times New Roman"/>
          <w:noProof/>
          <w:sz w:val="28"/>
          <w:szCs w:val="28"/>
          <w:lang w:val="lv-LV"/>
        </w:rPr>
        <w:t>Aizstāt 48.panta piektās daļās 5.punktā vārdus “</w:t>
      </w:r>
      <w:r w:rsidRPr="00C668BD">
        <w:rPr>
          <w:rFonts w:ascii="Times New Roman" w:hAnsi="Times New Roman" w:cs="Times New Roman"/>
          <w:noProof/>
          <w:color w:val="000000"/>
          <w:sz w:val="28"/>
          <w:szCs w:val="28"/>
          <w:lang w:val="lv-LV"/>
        </w:rPr>
        <w:t>Finanšu instrumentu tirgus likum</w:t>
      </w:r>
      <w:r>
        <w:rPr>
          <w:rFonts w:ascii="Times New Roman" w:hAnsi="Times New Roman" w:cs="Times New Roman"/>
          <w:noProof/>
          <w:color w:val="000000"/>
          <w:sz w:val="28"/>
          <w:szCs w:val="28"/>
          <w:lang w:val="lv-LV"/>
        </w:rPr>
        <w:t>ā” ar vārdiem “</w:t>
      </w:r>
      <w:r w:rsidRPr="00114FC2">
        <w:rPr>
          <w:rFonts w:ascii="Times New Roman" w:hAnsi="Times New Roman" w:cs="Times New Roman"/>
          <w:noProof/>
          <w:color w:val="000000"/>
          <w:sz w:val="28"/>
          <w:szCs w:val="28"/>
          <w:lang w:val="lv-LV"/>
        </w:rPr>
        <w:t>Ieguldījumu brokeru sabiedrību likum</w:t>
      </w:r>
      <w:r>
        <w:rPr>
          <w:rFonts w:ascii="Times New Roman" w:hAnsi="Times New Roman" w:cs="Times New Roman"/>
          <w:noProof/>
          <w:color w:val="000000"/>
          <w:sz w:val="28"/>
          <w:szCs w:val="28"/>
          <w:lang w:val="lv-LV"/>
        </w:rPr>
        <w:t>ā”.</w:t>
      </w:r>
    </w:p>
    <w:p w14:paraId="17BAEC6A" w14:textId="074942D7" w:rsidR="00201D20" w:rsidRDefault="00201D20" w:rsidP="00201D20">
      <w:pPr>
        <w:spacing w:before="120" w:line="240" w:lineRule="auto"/>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 xml:space="preserve">7. </w:t>
      </w:r>
      <w:r>
        <w:rPr>
          <w:rFonts w:ascii="Times New Roman" w:hAnsi="Times New Roman" w:cs="Times New Roman"/>
          <w:noProof/>
          <w:sz w:val="28"/>
          <w:szCs w:val="28"/>
          <w:lang w:val="lv-LV"/>
        </w:rPr>
        <w:t>Aizstāt 53.panta pirmās daļās 1.punktā vārdus “</w:t>
      </w:r>
      <w:r w:rsidRPr="00C668BD">
        <w:rPr>
          <w:rFonts w:ascii="Times New Roman" w:hAnsi="Times New Roman" w:cs="Times New Roman"/>
          <w:noProof/>
          <w:color w:val="000000"/>
          <w:sz w:val="28"/>
          <w:szCs w:val="28"/>
          <w:lang w:val="lv-LV"/>
        </w:rPr>
        <w:t>Finanšu instrumentu tirgus likum</w:t>
      </w:r>
      <w:r>
        <w:rPr>
          <w:rFonts w:ascii="Times New Roman" w:hAnsi="Times New Roman" w:cs="Times New Roman"/>
          <w:noProof/>
          <w:color w:val="000000"/>
          <w:sz w:val="28"/>
          <w:szCs w:val="28"/>
          <w:lang w:val="lv-LV"/>
        </w:rPr>
        <w:t>a” ar vārdiem “</w:t>
      </w:r>
      <w:r w:rsidRPr="00114FC2">
        <w:rPr>
          <w:rFonts w:ascii="Times New Roman" w:hAnsi="Times New Roman" w:cs="Times New Roman"/>
          <w:noProof/>
          <w:color w:val="000000"/>
          <w:sz w:val="28"/>
          <w:szCs w:val="28"/>
          <w:lang w:val="lv-LV"/>
        </w:rPr>
        <w:t>Ieguldījumu brokeru sabiedrību likum</w:t>
      </w:r>
      <w:r>
        <w:rPr>
          <w:rFonts w:ascii="Times New Roman" w:hAnsi="Times New Roman" w:cs="Times New Roman"/>
          <w:noProof/>
          <w:color w:val="000000"/>
          <w:sz w:val="28"/>
          <w:szCs w:val="28"/>
          <w:lang w:val="lv-LV"/>
        </w:rPr>
        <w:t>a”.</w:t>
      </w:r>
    </w:p>
    <w:p w14:paraId="1B81A924" w14:textId="57F39E53" w:rsidR="00A00474" w:rsidRDefault="00201D20" w:rsidP="00201D20">
      <w:pPr>
        <w:spacing w:before="120" w:line="240" w:lineRule="auto"/>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lastRenderedPageBreak/>
        <w:t xml:space="preserve">8. </w:t>
      </w:r>
      <w:r>
        <w:rPr>
          <w:rFonts w:ascii="Times New Roman" w:hAnsi="Times New Roman" w:cs="Times New Roman"/>
          <w:noProof/>
          <w:sz w:val="28"/>
          <w:szCs w:val="28"/>
          <w:lang w:val="lv-LV"/>
        </w:rPr>
        <w:t xml:space="preserve">Aizstāt 54.panta trešajā daļā vārdus “un </w:t>
      </w:r>
      <w:r w:rsidRPr="00C668BD">
        <w:rPr>
          <w:rFonts w:ascii="Times New Roman" w:hAnsi="Times New Roman" w:cs="Times New Roman"/>
          <w:noProof/>
          <w:color w:val="000000"/>
          <w:sz w:val="28"/>
          <w:szCs w:val="28"/>
          <w:lang w:val="lv-LV"/>
        </w:rPr>
        <w:t>Finanšu instrumentu tirgus likum</w:t>
      </w:r>
      <w:r>
        <w:rPr>
          <w:rFonts w:ascii="Times New Roman" w:hAnsi="Times New Roman" w:cs="Times New Roman"/>
          <w:noProof/>
          <w:color w:val="000000"/>
          <w:sz w:val="28"/>
          <w:szCs w:val="28"/>
          <w:lang w:val="lv-LV"/>
        </w:rPr>
        <w:t>a” ar vārdiem “</w:t>
      </w:r>
      <w:r w:rsidRPr="00201D20">
        <w:rPr>
          <w:rFonts w:ascii="Times New Roman" w:hAnsi="Times New Roman" w:cs="Times New Roman"/>
          <w:noProof/>
          <w:sz w:val="28"/>
          <w:szCs w:val="28"/>
          <w:lang w:val="lv-LV"/>
        </w:rPr>
        <w:t>Ieguldījumu brokeru sabiedrību likuma un Ieguldījumu pārvaldes sabiedrību likuma</w:t>
      </w:r>
      <w:r>
        <w:rPr>
          <w:rFonts w:ascii="Times New Roman" w:hAnsi="Times New Roman" w:cs="Times New Roman"/>
          <w:noProof/>
          <w:color w:val="000000"/>
          <w:sz w:val="28"/>
          <w:szCs w:val="28"/>
          <w:lang w:val="lv-LV"/>
        </w:rPr>
        <w:t>”.</w:t>
      </w:r>
    </w:p>
    <w:p w14:paraId="380DB550" w14:textId="5E385AF5" w:rsidR="00551EF2" w:rsidRDefault="00551EF2" w:rsidP="00201D20">
      <w:pPr>
        <w:spacing w:before="120" w:line="240" w:lineRule="auto"/>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9. 59.pantā:</w:t>
      </w:r>
    </w:p>
    <w:p w14:paraId="33065F04" w14:textId="05926302" w:rsidR="00551EF2" w:rsidRDefault="00551EF2" w:rsidP="00551EF2">
      <w:pPr>
        <w:spacing w:line="240" w:lineRule="auto"/>
        <w:ind w:left="360"/>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izslēgt trešās daļas 1.punktā vārdus “vai Finanšu instrumentu tirgus likumā”;</w:t>
      </w:r>
    </w:p>
    <w:p w14:paraId="5BED06A3" w14:textId="30EDE5A8" w:rsidR="00551EF2" w:rsidRDefault="00551EF2" w:rsidP="00551EF2">
      <w:pPr>
        <w:spacing w:line="240" w:lineRule="auto"/>
        <w:ind w:left="360"/>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papildināt ar piekto un sesto daļu šādā redakcijā:</w:t>
      </w:r>
    </w:p>
    <w:p w14:paraId="6897A450" w14:textId="5BBBBF3B" w:rsidR="00551EF2" w:rsidRPr="008A7914" w:rsidRDefault="00551EF2" w:rsidP="00551EF2">
      <w:pPr>
        <w:jc w:val="both"/>
        <w:rPr>
          <w:rFonts w:ascii="Times New Roman" w:hAnsi="Times New Roman" w:cs="Times New Roman"/>
          <w:sz w:val="28"/>
          <w:szCs w:val="28"/>
          <w:lang w:val="lv-LV"/>
        </w:rPr>
      </w:pPr>
      <w:r w:rsidRPr="008A7914">
        <w:rPr>
          <w:rFonts w:ascii="Times New Roman" w:hAnsi="Times New Roman" w:cs="Times New Roman"/>
          <w:noProof/>
          <w:sz w:val="28"/>
          <w:szCs w:val="28"/>
          <w:lang w:val="lv-LV"/>
        </w:rPr>
        <w:t>“</w:t>
      </w:r>
      <w:r w:rsidRPr="008A7914">
        <w:rPr>
          <w:rFonts w:ascii="Times New Roman" w:hAnsi="Times New Roman" w:cs="Times New Roman"/>
          <w:sz w:val="28"/>
          <w:szCs w:val="28"/>
          <w:lang w:val="lv-LV"/>
        </w:rPr>
        <w:t xml:space="preserve">(5) Saskaņā ar </w:t>
      </w:r>
      <w:bookmarkStart w:id="1" w:name="_Hlk61988580"/>
      <w:r w:rsidR="003D751E" w:rsidRPr="00DD3017">
        <w:rPr>
          <w:rFonts w:ascii="Times New Roman" w:eastAsiaTheme="minorHAnsi" w:hAnsi="Times New Roman"/>
          <w:noProof/>
          <w:sz w:val="28"/>
          <w:szCs w:val="28"/>
          <w:lang w:val="lv-LV"/>
        </w:rPr>
        <w:t>Eiropas Parlamenta un Padomes 2019. gada 27. novembra regulas (ES) Nr. 2019/2033 par prudenciālajām prasībām ieguldījumu brokeru sabiedrībām un ar ko groza Regulas (ES) Nr. 1093/2010, (ES) Nr. 575/2013, (ES) Nr. 600/2014 un (ES) Nr. 806/2014</w:t>
      </w:r>
      <w:bookmarkEnd w:id="1"/>
      <w:r w:rsidR="003D751E">
        <w:rPr>
          <w:rFonts w:ascii="Times New Roman" w:eastAsiaTheme="minorHAnsi" w:hAnsi="Times New Roman"/>
          <w:noProof/>
          <w:sz w:val="28"/>
          <w:szCs w:val="28"/>
          <w:lang w:val="lv-LV"/>
        </w:rPr>
        <w:t xml:space="preserve"> (turpmāk – Regula Nr. 2019/2033)</w:t>
      </w:r>
      <w:r w:rsidRPr="008A7914">
        <w:rPr>
          <w:rFonts w:ascii="Times New Roman" w:hAnsi="Times New Roman" w:cs="Times New Roman"/>
          <w:sz w:val="28"/>
          <w:szCs w:val="28"/>
          <w:lang w:val="lv-LV"/>
        </w:rPr>
        <w:t xml:space="preserve"> 65. pant</w:t>
      </w:r>
      <w:r>
        <w:rPr>
          <w:rFonts w:ascii="Times New Roman" w:hAnsi="Times New Roman" w:cs="Times New Roman"/>
          <w:sz w:val="28"/>
          <w:szCs w:val="28"/>
          <w:lang w:val="lv-LV"/>
        </w:rPr>
        <w:t>u</w:t>
      </w:r>
      <w:r w:rsidRPr="008A7914">
        <w:rPr>
          <w:rFonts w:ascii="Times New Roman" w:hAnsi="Times New Roman" w:cs="Times New Roman"/>
          <w:sz w:val="28"/>
          <w:szCs w:val="28"/>
          <w:lang w:val="lv-LV"/>
        </w:rPr>
        <w:t xml:space="preserve"> atsauces uz Regulas (ES) Nr. 575/2013 92. pantu attiecībā uz šī likuma 2. panta otrās daļas 1. un 2. punktā minēto ieguldījumu brokeru sabiedrību, kura nav </w:t>
      </w:r>
      <w:r w:rsidR="003D751E">
        <w:rPr>
          <w:rFonts w:ascii="Times New Roman" w:eastAsiaTheme="minorHAnsi" w:hAnsi="Times New Roman"/>
          <w:noProof/>
          <w:sz w:val="28"/>
          <w:szCs w:val="28"/>
          <w:lang w:val="lv-LV"/>
        </w:rPr>
        <w:t>Regulas Nr. 2019/2033</w:t>
      </w:r>
      <w:r w:rsidRPr="008A7914">
        <w:rPr>
          <w:rFonts w:ascii="Times New Roman" w:hAnsi="Times New Roman" w:cs="Times New Roman"/>
          <w:sz w:val="28"/>
          <w:szCs w:val="28"/>
          <w:lang w:val="lv-LV"/>
        </w:rPr>
        <w:t xml:space="preserve"> 1. panta 2. vai 5. punktā minētā ieguldījumu brokeru sabiedrība, individuālajām pašu kapitāla prasībām tiek interpretētas šādi: </w:t>
      </w:r>
    </w:p>
    <w:p w14:paraId="1C8790E5" w14:textId="71FEB734" w:rsidR="00551EF2" w:rsidRPr="008A7914" w:rsidRDefault="00551EF2" w:rsidP="00551EF2">
      <w:pPr>
        <w:jc w:val="both"/>
        <w:rPr>
          <w:rFonts w:ascii="Times New Roman" w:hAnsi="Times New Roman" w:cs="Times New Roman"/>
          <w:sz w:val="28"/>
          <w:szCs w:val="28"/>
          <w:lang w:val="lv-LV"/>
        </w:rPr>
      </w:pPr>
      <w:r w:rsidRPr="008A7914">
        <w:rPr>
          <w:rFonts w:ascii="Times New Roman" w:hAnsi="Times New Roman" w:cs="Times New Roman"/>
          <w:sz w:val="28"/>
          <w:szCs w:val="28"/>
          <w:lang w:val="lv-LV"/>
        </w:rPr>
        <w:t xml:space="preserve">1) atsauces uz Regulas (ES) Nr. 575/2013 92. panta 1. punkta “c” apakšpunktu attiecībā uz kopējo kapitāla rādītāja prasību šajā likuma nozīmē ir atsauces uz </w:t>
      </w:r>
      <w:r w:rsidR="003D751E">
        <w:rPr>
          <w:rFonts w:ascii="Times New Roman" w:eastAsiaTheme="minorHAnsi" w:hAnsi="Times New Roman"/>
          <w:noProof/>
          <w:sz w:val="28"/>
          <w:szCs w:val="28"/>
          <w:lang w:val="lv-LV"/>
        </w:rPr>
        <w:t>Regulas Nr. 2019/2033</w:t>
      </w:r>
      <w:r w:rsidRPr="008A7914">
        <w:rPr>
          <w:rFonts w:ascii="Times New Roman" w:hAnsi="Times New Roman" w:cs="Times New Roman"/>
          <w:sz w:val="28"/>
          <w:szCs w:val="28"/>
          <w:lang w:val="lv-LV"/>
        </w:rPr>
        <w:t xml:space="preserve"> 11. panta 1. punktu; </w:t>
      </w:r>
    </w:p>
    <w:p w14:paraId="17CE5006" w14:textId="1B8E8F57" w:rsidR="00551EF2" w:rsidRPr="008A7914" w:rsidRDefault="00551EF2" w:rsidP="00551EF2">
      <w:pPr>
        <w:jc w:val="both"/>
        <w:rPr>
          <w:rFonts w:ascii="Times New Roman" w:hAnsi="Times New Roman" w:cs="Times New Roman"/>
          <w:sz w:val="28"/>
          <w:szCs w:val="28"/>
          <w:lang w:val="lv-LV"/>
        </w:rPr>
      </w:pPr>
      <w:r w:rsidRPr="008A7914">
        <w:rPr>
          <w:rFonts w:ascii="Times New Roman" w:hAnsi="Times New Roman" w:cs="Times New Roman"/>
          <w:sz w:val="28"/>
          <w:szCs w:val="28"/>
          <w:lang w:val="lv-LV"/>
        </w:rPr>
        <w:t xml:space="preserve">2) atsauces uz Regulas (ES) Nr. 575/2013 92. panta 3. punktu attiecībā uz kopējā riska darījumu vērtību šajā likuma nozīmē ir atsauces uz piemērojamo prasību </w:t>
      </w:r>
      <w:r w:rsidR="003D751E">
        <w:rPr>
          <w:rFonts w:ascii="Times New Roman" w:eastAsiaTheme="minorHAnsi" w:hAnsi="Times New Roman"/>
          <w:noProof/>
          <w:sz w:val="28"/>
          <w:szCs w:val="28"/>
          <w:lang w:val="lv-LV"/>
        </w:rPr>
        <w:t>Regulas Nr. 2019/2033</w:t>
      </w:r>
      <w:r w:rsidRPr="008A7914">
        <w:rPr>
          <w:rFonts w:ascii="Times New Roman" w:hAnsi="Times New Roman" w:cs="Times New Roman"/>
          <w:sz w:val="28"/>
          <w:szCs w:val="28"/>
          <w:lang w:val="lv-LV"/>
        </w:rPr>
        <w:t xml:space="preserve"> 11. panta 1. punkta nozīmē, reizinot to ar 12,5. </w:t>
      </w:r>
    </w:p>
    <w:p w14:paraId="31903E17" w14:textId="00DE2218" w:rsidR="00551EF2" w:rsidRDefault="00551EF2" w:rsidP="00551EF2">
      <w:pPr>
        <w:spacing w:line="240" w:lineRule="auto"/>
        <w:jc w:val="both"/>
        <w:rPr>
          <w:rFonts w:ascii="Times New Roman" w:hAnsi="Times New Roman" w:cs="Times New Roman"/>
          <w:noProof/>
          <w:color w:val="000000"/>
          <w:sz w:val="28"/>
          <w:szCs w:val="28"/>
          <w:lang w:val="lv-LV"/>
        </w:rPr>
      </w:pPr>
      <w:r w:rsidRPr="008A7914">
        <w:rPr>
          <w:rFonts w:ascii="Times New Roman" w:hAnsi="Times New Roman" w:cs="Times New Roman"/>
          <w:sz w:val="28"/>
          <w:szCs w:val="28"/>
          <w:lang w:val="lv-LV"/>
        </w:rPr>
        <w:t>(6) Likumā lietotas atsauces uz Kredītiestāžu likuma 101.</w:t>
      </w:r>
      <w:r w:rsidRPr="008A7914">
        <w:rPr>
          <w:rFonts w:ascii="Times New Roman" w:hAnsi="Times New Roman" w:cs="Times New Roman"/>
          <w:sz w:val="28"/>
          <w:szCs w:val="28"/>
          <w:vertAlign w:val="superscript"/>
          <w:lang w:val="lv-LV"/>
        </w:rPr>
        <w:t>16</w:t>
      </w:r>
      <w:r w:rsidRPr="008A7914">
        <w:rPr>
          <w:rFonts w:ascii="Times New Roman" w:hAnsi="Times New Roman" w:cs="Times New Roman"/>
          <w:sz w:val="28"/>
          <w:szCs w:val="28"/>
          <w:lang w:val="lv-LV"/>
        </w:rPr>
        <w:t xml:space="preserve"> pantu attiecībā uz šā likuma 2. panta otrās daļas 1. un 2. punktā minēto ieguldījumu brokeru sabiedrību, kura nav </w:t>
      </w:r>
      <w:r w:rsidR="003D751E">
        <w:rPr>
          <w:rFonts w:ascii="Times New Roman" w:eastAsiaTheme="minorHAnsi" w:hAnsi="Times New Roman"/>
          <w:noProof/>
          <w:sz w:val="28"/>
          <w:szCs w:val="28"/>
          <w:lang w:val="lv-LV"/>
        </w:rPr>
        <w:t>Regulas Nr. 2019/2033</w:t>
      </w:r>
      <w:r w:rsidRPr="008A7914">
        <w:rPr>
          <w:rFonts w:ascii="Times New Roman" w:hAnsi="Times New Roman" w:cs="Times New Roman"/>
          <w:sz w:val="28"/>
          <w:szCs w:val="28"/>
          <w:lang w:val="lv-LV"/>
        </w:rPr>
        <w:t xml:space="preserve"> 1. panta 2. vai 5. punktā minētā ieguldījumu brokeru sabiedrība, papildu pašu kapitāla prasības tiek interpretētas atbilstoši Ieguldījumu brokeru sabiedrību likuma 50. pantā noteiktajam.</w:t>
      </w:r>
      <w:r>
        <w:rPr>
          <w:rFonts w:ascii="Times New Roman" w:hAnsi="Times New Roman" w:cs="Times New Roman"/>
          <w:noProof/>
          <w:color w:val="000000"/>
          <w:sz w:val="28"/>
          <w:szCs w:val="28"/>
          <w:lang w:val="lv-LV"/>
        </w:rPr>
        <w:t>”.</w:t>
      </w:r>
    </w:p>
    <w:p w14:paraId="11308641" w14:textId="72FB4CF6" w:rsidR="00A00474" w:rsidRDefault="00551EF2" w:rsidP="00201D20">
      <w:pPr>
        <w:spacing w:before="120" w:line="240" w:lineRule="auto"/>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10</w:t>
      </w:r>
      <w:r w:rsidR="00A00474">
        <w:rPr>
          <w:rFonts w:ascii="Times New Roman" w:hAnsi="Times New Roman" w:cs="Times New Roman"/>
          <w:noProof/>
          <w:color w:val="000000"/>
          <w:sz w:val="28"/>
          <w:szCs w:val="28"/>
          <w:lang w:val="lv-LV"/>
        </w:rPr>
        <w:t>. 60.pantā:</w:t>
      </w:r>
    </w:p>
    <w:p w14:paraId="3FA4C89A" w14:textId="5AC8A952" w:rsidR="00A00474" w:rsidRDefault="00A00474" w:rsidP="00A00474">
      <w:pPr>
        <w:spacing w:line="240" w:lineRule="auto"/>
        <w:ind w:left="360"/>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aizstāt pirmās daļas 2. un 3.punktā vārdus “vai Finanšu instrumentu tirgus likuma” ar vārdiem “Ieguldījumu brokeru sabiedrību likuma vai Ieguldījumu pārvaldes sabiedrību likuma”;</w:t>
      </w:r>
    </w:p>
    <w:p w14:paraId="36335AC4" w14:textId="0C6EEE98" w:rsidR="00A00474" w:rsidRDefault="00A00474" w:rsidP="00A00474">
      <w:pPr>
        <w:spacing w:line="240" w:lineRule="auto"/>
        <w:ind w:left="360"/>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aizstāt otrās daļas 2.punktā vārdus “vai Finanšu instrumentu tirgus likumu vai līdzvērtīgu tiesību aktu uz pienācīgu laikposmu” ar vārdiem “Ieguldījumu brokeru sabiedrību likumu vai Ieguldījumu pārvaldes sabiedrību likumu uz laiku”;</w:t>
      </w:r>
    </w:p>
    <w:p w14:paraId="16C3E2E9" w14:textId="668A4AA1" w:rsidR="00A00474" w:rsidRDefault="00323A66" w:rsidP="00A00474">
      <w:pPr>
        <w:spacing w:line="240" w:lineRule="auto"/>
        <w:ind w:left="360"/>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 xml:space="preserve">izteikt </w:t>
      </w:r>
      <w:r w:rsidR="00A00474">
        <w:rPr>
          <w:rFonts w:ascii="Times New Roman" w:hAnsi="Times New Roman" w:cs="Times New Roman"/>
          <w:noProof/>
          <w:color w:val="000000"/>
          <w:sz w:val="28"/>
          <w:szCs w:val="28"/>
          <w:lang w:val="lv-LV"/>
        </w:rPr>
        <w:t>ar trešo daļu šādā redakcijā:</w:t>
      </w:r>
    </w:p>
    <w:p w14:paraId="298E6177" w14:textId="5AF7AEB3" w:rsidR="00A00474" w:rsidRDefault="00A00474" w:rsidP="00A00474">
      <w:pPr>
        <w:spacing w:before="120" w:line="240" w:lineRule="auto"/>
        <w:jc w:val="both"/>
        <w:rPr>
          <w:rFonts w:ascii="Times New Roman" w:hAnsi="Times New Roman" w:cs="Times New Roman"/>
          <w:noProof/>
          <w:sz w:val="28"/>
          <w:szCs w:val="28"/>
          <w:lang w:val="lv-LV"/>
        </w:rPr>
      </w:pPr>
      <w:r w:rsidRPr="00A00474">
        <w:rPr>
          <w:rFonts w:ascii="Times New Roman" w:hAnsi="Times New Roman" w:cs="Times New Roman"/>
          <w:noProof/>
          <w:sz w:val="28"/>
          <w:szCs w:val="28"/>
          <w:lang w:val="lv-LV"/>
        </w:rPr>
        <w:lastRenderedPageBreak/>
        <w:t>“(3) Ja noregulējuma plānā ir paredzēts, ka iestādi vai finanšu sabiedrību likvidēs saskaņā ar Kredītiestāžu likumu, Ieguldījumu brokeru sabiedrību likumu vai Ieguldījumu pārvaldes sabiedrību likumā noteikto kārtību, Finanšu un kapitāla tirgus komisija novērtē, vai ir pamatoti ierobežot minimālo pašu kapitāla un atbilstīgo saistību prasību attiecībā uz minēto vienību tā, lai tā nepārsniegtu summu, kas ir pietiekama, lai absorbētu zaudējumus saskaņā ar šā panta otrās daļas 1. punktu.</w:t>
      </w:r>
      <w:r w:rsidR="007E38E1">
        <w:rPr>
          <w:rFonts w:ascii="Times New Roman" w:hAnsi="Times New Roman" w:cs="Times New Roman"/>
          <w:noProof/>
          <w:sz w:val="28"/>
          <w:szCs w:val="28"/>
          <w:lang w:val="lv-LV"/>
        </w:rPr>
        <w:t>”.</w:t>
      </w:r>
    </w:p>
    <w:p w14:paraId="6AF5E616" w14:textId="616DD657" w:rsidR="007E38E1" w:rsidRDefault="007E38E1" w:rsidP="00A00474">
      <w:pPr>
        <w:spacing w:before="120" w:line="240" w:lineRule="auto"/>
        <w:jc w:val="both"/>
        <w:rPr>
          <w:rFonts w:ascii="Times New Roman" w:hAnsi="Times New Roman" w:cs="Times New Roman"/>
          <w:noProof/>
          <w:sz w:val="28"/>
          <w:szCs w:val="28"/>
          <w:lang w:val="lv-LV"/>
        </w:rPr>
      </w:pPr>
      <w:r>
        <w:rPr>
          <w:rFonts w:ascii="Times New Roman" w:hAnsi="Times New Roman" w:cs="Times New Roman"/>
          <w:noProof/>
          <w:sz w:val="28"/>
          <w:szCs w:val="28"/>
          <w:lang w:val="lv-LV"/>
        </w:rPr>
        <w:t>1</w:t>
      </w:r>
      <w:r w:rsidR="00551EF2">
        <w:rPr>
          <w:rFonts w:ascii="Times New Roman" w:hAnsi="Times New Roman" w:cs="Times New Roman"/>
          <w:noProof/>
          <w:sz w:val="28"/>
          <w:szCs w:val="28"/>
          <w:lang w:val="lv-LV"/>
        </w:rPr>
        <w:t>1</w:t>
      </w:r>
      <w:r>
        <w:rPr>
          <w:rFonts w:ascii="Times New Roman" w:hAnsi="Times New Roman" w:cs="Times New Roman"/>
          <w:noProof/>
          <w:sz w:val="28"/>
          <w:szCs w:val="28"/>
          <w:lang w:val="lv-LV"/>
        </w:rPr>
        <w:t>. Aizstāt 67.panta otrajā daļā vārdus “Finanšu instrumentu tirgus likumu” ar vārdiem “Ieguldījumu brokeru sabiedrību likumu”.</w:t>
      </w:r>
    </w:p>
    <w:p w14:paraId="29C34750" w14:textId="10494C5A" w:rsidR="000A46A0" w:rsidRDefault="007E38E1" w:rsidP="007E38E1">
      <w:pPr>
        <w:spacing w:before="120" w:line="240" w:lineRule="auto"/>
        <w:jc w:val="both"/>
        <w:rPr>
          <w:rFonts w:ascii="Times New Roman" w:hAnsi="Times New Roman" w:cs="Times New Roman"/>
          <w:noProof/>
          <w:sz w:val="28"/>
          <w:szCs w:val="28"/>
          <w:lang w:val="lv-LV"/>
        </w:rPr>
      </w:pPr>
      <w:r>
        <w:rPr>
          <w:rFonts w:ascii="Times New Roman" w:hAnsi="Times New Roman" w:cs="Times New Roman"/>
          <w:noProof/>
          <w:sz w:val="28"/>
          <w:szCs w:val="28"/>
          <w:lang w:val="lv-LV"/>
        </w:rPr>
        <w:t>1</w:t>
      </w:r>
      <w:r w:rsidR="00551EF2">
        <w:rPr>
          <w:rFonts w:ascii="Times New Roman" w:hAnsi="Times New Roman" w:cs="Times New Roman"/>
          <w:noProof/>
          <w:sz w:val="28"/>
          <w:szCs w:val="28"/>
          <w:lang w:val="lv-LV"/>
        </w:rPr>
        <w:t>2</w:t>
      </w:r>
      <w:r>
        <w:rPr>
          <w:rFonts w:ascii="Times New Roman" w:hAnsi="Times New Roman" w:cs="Times New Roman"/>
          <w:noProof/>
          <w:sz w:val="28"/>
          <w:szCs w:val="28"/>
          <w:lang w:val="lv-LV"/>
        </w:rPr>
        <w:t>. 79.pant</w:t>
      </w:r>
      <w:r w:rsidR="000A46A0">
        <w:rPr>
          <w:rFonts w:ascii="Times New Roman" w:hAnsi="Times New Roman" w:cs="Times New Roman"/>
          <w:noProof/>
          <w:sz w:val="28"/>
          <w:szCs w:val="28"/>
          <w:lang w:val="lv-LV"/>
        </w:rPr>
        <w:t>ā:</w:t>
      </w:r>
    </w:p>
    <w:p w14:paraId="3B2E0CAD" w14:textId="77777777" w:rsidR="000A46A0" w:rsidRDefault="000A46A0" w:rsidP="000A46A0">
      <w:pPr>
        <w:spacing w:line="240" w:lineRule="auto"/>
        <w:ind w:left="360"/>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i</w:t>
      </w:r>
      <w:r w:rsidRPr="000A46A0">
        <w:rPr>
          <w:rFonts w:ascii="Times New Roman" w:hAnsi="Times New Roman" w:cs="Times New Roman"/>
          <w:noProof/>
          <w:color w:val="000000"/>
          <w:sz w:val="28"/>
          <w:szCs w:val="28"/>
          <w:lang w:val="lv-LV"/>
        </w:rPr>
        <w:t>zteikt pirmo daļu šādā redakcijā:</w:t>
      </w:r>
    </w:p>
    <w:p w14:paraId="30031CBE" w14:textId="236D2744" w:rsidR="000A46A0" w:rsidRPr="000A46A0" w:rsidRDefault="000A46A0" w:rsidP="000A46A0">
      <w:pPr>
        <w:spacing w:before="120" w:line="240" w:lineRule="auto"/>
        <w:jc w:val="both"/>
        <w:rPr>
          <w:rFonts w:ascii="Times New Roman" w:hAnsi="Times New Roman" w:cs="Times New Roman"/>
          <w:noProof/>
          <w:sz w:val="28"/>
          <w:szCs w:val="28"/>
          <w:lang w:val="lv-LV"/>
        </w:rPr>
      </w:pPr>
      <w:r w:rsidRPr="000A46A0">
        <w:rPr>
          <w:rFonts w:ascii="Times New Roman" w:hAnsi="Times New Roman" w:cs="Times New Roman"/>
          <w:noProof/>
          <w:sz w:val="28"/>
          <w:szCs w:val="28"/>
          <w:lang w:val="lv-LV"/>
        </w:rPr>
        <w:t>“(1) Finanšu un kapitāla tirgus komisija ir atbildīga par šā likuma 77. panta trešajā daļā minēto konstatāciju attiecībā uz iestādi vai finanšu sabiedrību, ja tās emitētie vai piesaistītie attiecīgie kapitāla instrumenti atbilst pašu kapitāla prasību izpildei individuāli saskaņā ar Regulas Nr. 575/2013 92. panta</w:t>
      </w:r>
      <w:r>
        <w:rPr>
          <w:rFonts w:ascii="Times New Roman" w:hAnsi="Times New Roman" w:cs="Times New Roman"/>
          <w:noProof/>
          <w:sz w:val="28"/>
          <w:szCs w:val="28"/>
          <w:lang w:val="lv-LV"/>
        </w:rPr>
        <w:t xml:space="preserve"> vai </w:t>
      </w:r>
      <w:r w:rsidR="003D751E">
        <w:rPr>
          <w:rFonts w:ascii="Times New Roman" w:eastAsiaTheme="minorHAnsi" w:hAnsi="Times New Roman"/>
          <w:noProof/>
          <w:sz w:val="28"/>
          <w:szCs w:val="28"/>
          <w:lang w:val="lv-LV"/>
        </w:rPr>
        <w:t>Regulas Nr. 2019/2033</w:t>
      </w:r>
      <w:r w:rsidRPr="000A46A0">
        <w:rPr>
          <w:rFonts w:ascii="Times New Roman" w:hAnsi="Times New Roman" w:cs="Times New Roman"/>
          <w:noProof/>
          <w:sz w:val="28"/>
          <w:szCs w:val="28"/>
          <w:lang w:val="lv-LV"/>
        </w:rPr>
        <w:t xml:space="preserve"> </w:t>
      </w:r>
      <w:r>
        <w:rPr>
          <w:rFonts w:ascii="Times New Roman" w:hAnsi="Times New Roman" w:cs="Times New Roman"/>
          <w:noProof/>
          <w:sz w:val="28"/>
          <w:szCs w:val="28"/>
          <w:lang w:val="lv-LV"/>
        </w:rPr>
        <w:t xml:space="preserve">11.panta </w:t>
      </w:r>
      <w:r w:rsidRPr="000A46A0">
        <w:rPr>
          <w:rFonts w:ascii="Times New Roman" w:hAnsi="Times New Roman" w:cs="Times New Roman"/>
          <w:noProof/>
          <w:sz w:val="28"/>
          <w:szCs w:val="28"/>
          <w:lang w:val="lv-LV"/>
        </w:rPr>
        <w:t>prasībām un ja šai iestādei vai finanšu sabiedrībai ir izsniegta atļauja (licence) saskaņā ar Kredītiestāžu likumu, Ieguldījumu brokeru sabiedrību likumu vai Ieguldījumu pārvaldes sabiedrību likumu.</w:t>
      </w:r>
      <w:r w:rsidR="00F56025">
        <w:rPr>
          <w:rFonts w:ascii="Times New Roman" w:hAnsi="Times New Roman" w:cs="Times New Roman"/>
          <w:noProof/>
          <w:sz w:val="28"/>
          <w:szCs w:val="28"/>
          <w:lang w:val="lv-LV"/>
        </w:rPr>
        <w:t>”;</w:t>
      </w:r>
    </w:p>
    <w:p w14:paraId="3535AB7C" w14:textId="3C7F8EF2" w:rsidR="007E38E1" w:rsidRPr="000A46A0" w:rsidRDefault="000A46A0" w:rsidP="000A46A0">
      <w:pPr>
        <w:spacing w:line="240" w:lineRule="auto"/>
        <w:ind w:left="360"/>
        <w:jc w:val="both"/>
        <w:rPr>
          <w:rFonts w:ascii="Times New Roman" w:hAnsi="Times New Roman" w:cs="Times New Roman"/>
          <w:noProof/>
          <w:color w:val="000000"/>
          <w:sz w:val="28"/>
          <w:szCs w:val="28"/>
          <w:lang w:val="lv-LV"/>
        </w:rPr>
      </w:pPr>
      <w:r>
        <w:rPr>
          <w:rFonts w:ascii="Times New Roman" w:hAnsi="Times New Roman" w:cs="Times New Roman"/>
          <w:noProof/>
          <w:color w:val="000000"/>
          <w:sz w:val="28"/>
          <w:szCs w:val="28"/>
          <w:lang w:val="lv-LV"/>
        </w:rPr>
        <w:t xml:space="preserve">aizstāt </w:t>
      </w:r>
      <w:r w:rsidR="007E38E1">
        <w:rPr>
          <w:rFonts w:ascii="Times New Roman" w:hAnsi="Times New Roman" w:cs="Times New Roman"/>
          <w:noProof/>
          <w:color w:val="000000"/>
          <w:sz w:val="28"/>
          <w:szCs w:val="28"/>
          <w:lang w:val="lv-LV"/>
        </w:rPr>
        <w:t>1.</w:t>
      </w:r>
      <w:r w:rsidR="007E38E1" w:rsidRPr="000A46A0">
        <w:rPr>
          <w:rFonts w:ascii="Times New Roman" w:hAnsi="Times New Roman" w:cs="Times New Roman"/>
          <w:noProof/>
          <w:color w:val="000000"/>
          <w:sz w:val="28"/>
          <w:szCs w:val="28"/>
          <w:vertAlign w:val="superscript"/>
          <w:lang w:val="lv-LV"/>
        </w:rPr>
        <w:t>1</w:t>
      </w:r>
      <w:r w:rsidR="007E38E1">
        <w:rPr>
          <w:rFonts w:ascii="Times New Roman" w:hAnsi="Times New Roman" w:cs="Times New Roman"/>
          <w:noProof/>
          <w:color w:val="000000"/>
          <w:sz w:val="28"/>
          <w:szCs w:val="28"/>
          <w:lang w:val="lv-LV"/>
        </w:rPr>
        <w:t>, otrajā, 2.</w:t>
      </w:r>
      <w:r w:rsidR="007E38E1" w:rsidRPr="000A46A0">
        <w:rPr>
          <w:rFonts w:ascii="Times New Roman" w:hAnsi="Times New Roman" w:cs="Times New Roman"/>
          <w:noProof/>
          <w:color w:val="000000"/>
          <w:sz w:val="28"/>
          <w:szCs w:val="28"/>
          <w:vertAlign w:val="superscript"/>
          <w:lang w:val="lv-LV"/>
        </w:rPr>
        <w:t>1</w:t>
      </w:r>
      <w:r w:rsidR="007E38E1">
        <w:rPr>
          <w:rFonts w:ascii="Times New Roman" w:hAnsi="Times New Roman" w:cs="Times New Roman"/>
          <w:noProof/>
          <w:color w:val="000000"/>
          <w:sz w:val="28"/>
          <w:szCs w:val="28"/>
          <w:lang w:val="lv-LV"/>
        </w:rPr>
        <w:t xml:space="preserve"> un ceturtajā</w:t>
      </w:r>
      <w:r w:rsidR="007E38E1" w:rsidRPr="007E38E1">
        <w:rPr>
          <w:rFonts w:ascii="Times New Roman" w:hAnsi="Times New Roman" w:cs="Times New Roman"/>
          <w:noProof/>
          <w:color w:val="000000"/>
          <w:sz w:val="28"/>
          <w:szCs w:val="28"/>
          <w:lang w:val="lv-LV"/>
        </w:rPr>
        <w:t xml:space="preserve"> daļā vārdus “vai Finanšu instrumentu tirgus likumu” ar vārdiem “Ieguldījumu brokeru sabiedrību likumu vai Ieguldījumu pārvaldes sabiedrību likumu”</w:t>
      </w:r>
      <w:r w:rsidR="007E38E1">
        <w:rPr>
          <w:rFonts w:ascii="Times New Roman" w:hAnsi="Times New Roman" w:cs="Times New Roman"/>
          <w:noProof/>
          <w:color w:val="000000"/>
          <w:sz w:val="28"/>
          <w:szCs w:val="28"/>
          <w:lang w:val="lv-LV"/>
        </w:rPr>
        <w:t>.</w:t>
      </w:r>
    </w:p>
    <w:p w14:paraId="5EE064AA" w14:textId="7762AEC3" w:rsidR="00201D20" w:rsidRPr="00114FC2" w:rsidRDefault="00CC1C8E" w:rsidP="001B494B">
      <w:pPr>
        <w:spacing w:line="240" w:lineRule="auto"/>
        <w:jc w:val="both"/>
        <w:rPr>
          <w:rFonts w:ascii="Times New Roman" w:hAnsi="Times New Roman" w:cs="Times New Roman"/>
          <w:noProof/>
          <w:sz w:val="28"/>
          <w:szCs w:val="28"/>
          <w:lang w:val="lv-LV"/>
        </w:rPr>
      </w:pPr>
      <w:r>
        <w:rPr>
          <w:rFonts w:ascii="Times New Roman" w:hAnsi="Times New Roman" w:cs="Times New Roman"/>
          <w:noProof/>
          <w:sz w:val="28"/>
          <w:szCs w:val="28"/>
          <w:lang w:val="lv-LV"/>
        </w:rPr>
        <w:t>1</w:t>
      </w:r>
      <w:r w:rsidR="00551EF2">
        <w:rPr>
          <w:rFonts w:ascii="Times New Roman" w:hAnsi="Times New Roman" w:cs="Times New Roman"/>
          <w:noProof/>
          <w:sz w:val="28"/>
          <w:szCs w:val="28"/>
          <w:lang w:val="lv-LV"/>
        </w:rPr>
        <w:t>3</w:t>
      </w:r>
      <w:r>
        <w:rPr>
          <w:rFonts w:ascii="Times New Roman" w:hAnsi="Times New Roman" w:cs="Times New Roman"/>
          <w:noProof/>
          <w:sz w:val="28"/>
          <w:szCs w:val="28"/>
          <w:lang w:val="lv-LV"/>
        </w:rPr>
        <w:t>. Aizstāt 80.panta piektajā daļā vārdus un skaitļus “Finanšu instrumentu tirgus likuma 139.panta 11.</w:t>
      </w:r>
      <w:r w:rsidRPr="00CC1C8E">
        <w:rPr>
          <w:rFonts w:ascii="Times New Roman" w:hAnsi="Times New Roman" w:cs="Times New Roman"/>
          <w:noProof/>
          <w:sz w:val="28"/>
          <w:szCs w:val="28"/>
          <w:vertAlign w:val="superscript"/>
          <w:lang w:val="lv-LV"/>
        </w:rPr>
        <w:t>7</w:t>
      </w:r>
      <w:r>
        <w:rPr>
          <w:rFonts w:ascii="Times New Roman" w:hAnsi="Times New Roman" w:cs="Times New Roman"/>
          <w:noProof/>
          <w:sz w:val="28"/>
          <w:szCs w:val="28"/>
          <w:lang w:val="lv-LV"/>
        </w:rPr>
        <w:t xml:space="preserve"> daļā” ar vārdiem un skaitļiem “Ieguldījumu brokeru sabiedrību</w:t>
      </w:r>
      <w:r w:rsidR="001B494B">
        <w:rPr>
          <w:rFonts w:ascii="Times New Roman" w:hAnsi="Times New Roman" w:cs="Times New Roman"/>
          <w:noProof/>
          <w:sz w:val="28"/>
          <w:szCs w:val="28"/>
          <w:lang w:val="lv-LV"/>
        </w:rPr>
        <w:t xml:space="preserve"> likuma 42.panta pirmajā daļā”.</w:t>
      </w:r>
    </w:p>
    <w:p w14:paraId="3EEF8E6F" w14:textId="549BC85E" w:rsidR="0028788E" w:rsidRPr="001865F9" w:rsidRDefault="001B494B" w:rsidP="001865F9">
      <w:pPr>
        <w:spacing w:before="120" w:line="240" w:lineRule="auto"/>
        <w:jc w:val="both"/>
        <w:rPr>
          <w:rFonts w:ascii="Times New Roman" w:hAnsi="Times New Roman" w:cs="Times New Roman"/>
          <w:sz w:val="28"/>
          <w:szCs w:val="28"/>
          <w:lang w:val="lv-LV"/>
        </w:rPr>
      </w:pPr>
      <w:r>
        <w:rPr>
          <w:rFonts w:ascii="Times New Roman" w:hAnsi="Times New Roman" w:cs="Times New Roman"/>
          <w:sz w:val="28"/>
          <w:szCs w:val="28"/>
          <w:lang w:val="lv-LV"/>
        </w:rPr>
        <w:t>1</w:t>
      </w:r>
      <w:r w:rsidR="00551EF2">
        <w:rPr>
          <w:rFonts w:ascii="Times New Roman" w:hAnsi="Times New Roman" w:cs="Times New Roman"/>
          <w:sz w:val="28"/>
          <w:szCs w:val="28"/>
          <w:lang w:val="lv-LV"/>
        </w:rPr>
        <w:t>4</w:t>
      </w:r>
      <w:r w:rsidR="001865F9" w:rsidRPr="001B494B">
        <w:rPr>
          <w:rFonts w:ascii="Times New Roman" w:hAnsi="Times New Roman" w:cs="Times New Roman"/>
          <w:sz w:val="28"/>
          <w:szCs w:val="28"/>
          <w:lang w:val="lv-LV"/>
        </w:rPr>
        <w:t>.</w:t>
      </w:r>
      <w:r w:rsidR="001865F9">
        <w:rPr>
          <w:rFonts w:ascii="Times New Roman" w:hAnsi="Times New Roman" w:cs="Times New Roman"/>
          <w:sz w:val="28"/>
          <w:szCs w:val="28"/>
          <w:lang w:val="lv-LV"/>
        </w:rPr>
        <w:t xml:space="preserve"> </w:t>
      </w:r>
      <w:r w:rsidR="0028788E" w:rsidRPr="001865F9">
        <w:rPr>
          <w:rFonts w:ascii="Times New Roman" w:hAnsi="Times New Roman" w:cs="Times New Roman"/>
          <w:sz w:val="28"/>
          <w:szCs w:val="28"/>
          <w:lang w:val="lv-LV"/>
        </w:rPr>
        <w:t>Papildināt Informatīv</w:t>
      </w:r>
      <w:r w:rsidR="0005100C" w:rsidRPr="001865F9">
        <w:rPr>
          <w:rFonts w:ascii="Times New Roman" w:hAnsi="Times New Roman" w:cs="Times New Roman"/>
          <w:sz w:val="28"/>
          <w:szCs w:val="28"/>
          <w:lang w:val="lv-LV"/>
        </w:rPr>
        <w:t>o</w:t>
      </w:r>
      <w:r w:rsidR="0028788E" w:rsidRPr="001865F9">
        <w:rPr>
          <w:rFonts w:ascii="Times New Roman" w:hAnsi="Times New Roman" w:cs="Times New Roman"/>
          <w:sz w:val="28"/>
          <w:szCs w:val="28"/>
          <w:lang w:val="lv-LV"/>
        </w:rPr>
        <w:t xml:space="preserve"> atsauc</w:t>
      </w:r>
      <w:r w:rsidR="0005100C" w:rsidRPr="001865F9">
        <w:rPr>
          <w:rFonts w:ascii="Times New Roman" w:hAnsi="Times New Roman" w:cs="Times New Roman"/>
          <w:sz w:val="28"/>
          <w:szCs w:val="28"/>
          <w:lang w:val="lv-LV"/>
        </w:rPr>
        <w:t>i</w:t>
      </w:r>
      <w:r w:rsidR="0028788E" w:rsidRPr="001865F9">
        <w:rPr>
          <w:rFonts w:ascii="Times New Roman" w:hAnsi="Times New Roman" w:cs="Times New Roman"/>
          <w:sz w:val="28"/>
          <w:szCs w:val="28"/>
          <w:lang w:val="lv-LV"/>
        </w:rPr>
        <w:t xml:space="preserve"> uz Eiropas Savienības direktīvām ar 4.punktu šādā redakcijā:</w:t>
      </w:r>
    </w:p>
    <w:p w14:paraId="1F050A56" w14:textId="051A8D16" w:rsidR="0028788E" w:rsidRPr="0028788E" w:rsidRDefault="0028788E" w:rsidP="0028788E">
      <w:pPr>
        <w:spacing w:before="120" w:line="240" w:lineRule="auto"/>
        <w:jc w:val="both"/>
        <w:rPr>
          <w:rFonts w:ascii="Times New Roman" w:hAnsi="Times New Roman" w:cs="Times New Roman"/>
          <w:sz w:val="28"/>
          <w:szCs w:val="28"/>
          <w:lang w:val="lv-LV"/>
        </w:rPr>
      </w:pPr>
      <w:r>
        <w:rPr>
          <w:rFonts w:ascii="Times New Roman" w:hAnsi="Times New Roman" w:cs="Times New Roman"/>
          <w:sz w:val="28"/>
          <w:szCs w:val="28"/>
          <w:lang w:val="lv-LV"/>
        </w:rPr>
        <w:t xml:space="preserve">“4) </w:t>
      </w:r>
      <w:r>
        <w:rPr>
          <w:rFonts w:ascii="Times New Roman" w:hAnsi="Times New Roman" w:cs="Times New Roman"/>
          <w:noProof/>
          <w:sz w:val="28"/>
          <w:szCs w:val="28"/>
          <w:lang w:val="lv-LV"/>
        </w:rPr>
        <w:t>Eiropas Parlamenta un Padomes 2019.gada 27.novembra direktīvas</w:t>
      </w:r>
      <w:r w:rsidR="001B7ED4">
        <w:rPr>
          <w:rFonts w:ascii="Times New Roman" w:hAnsi="Times New Roman" w:cs="Times New Roman"/>
          <w:noProof/>
          <w:sz w:val="28"/>
          <w:szCs w:val="28"/>
          <w:lang w:val="lv-LV"/>
        </w:rPr>
        <w:t xml:space="preserve"> (ES)</w:t>
      </w:r>
      <w:r>
        <w:rPr>
          <w:rFonts w:ascii="Times New Roman" w:hAnsi="Times New Roman" w:cs="Times New Roman"/>
          <w:noProof/>
          <w:sz w:val="28"/>
          <w:szCs w:val="28"/>
          <w:lang w:val="lv-LV"/>
        </w:rPr>
        <w:t xml:space="preserve"> 2019/2034 </w:t>
      </w:r>
      <w:r w:rsidRPr="003C0482">
        <w:rPr>
          <w:rFonts w:ascii="Times New Roman" w:hAnsi="Times New Roman" w:cs="Times New Roman"/>
          <w:noProof/>
          <w:sz w:val="28"/>
          <w:szCs w:val="28"/>
          <w:lang w:val="lv-LV"/>
        </w:rPr>
        <w:t>par ieguldījumu brokeru sabiedrību prudenciālo uzraudzību un ar ko groza Direktīvas 2002/87/EK, 2009/65/EK, 2011/61/ES, 2013/36/ES, 2014/59/ES un 2014/65/ES</w:t>
      </w:r>
      <w:r>
        <w:rPr>
          <w:rFonts w:ascii="Times New Roman" w:hAnsi="Times New Roman" w:cs="Times New Roman"/>
          <w:noProof/>
          <w:sz w:val="28"/>
          <w:szCs w:val="28"/>
          <w:lang w:val="lv-LV"/>
        </w:rPr>
        <w:t>.”.</w:t>
      </w:r>
    </w:p>
    <w:p w14:paraId="34F0AF8A" w14:textId="240315FD" w:rsidR="003119F0" w:rsidRPr="00F606DF" w:rsidRDefault="003119F0" w:rsidP="00F606DF">
      <w:pPr>
        <w:autoSpaceDE w:val="0"/>
        <w:autoSpaceDN w:val="0"/>
        <w:adjustRightInd w:val="0"/>
        <w:spacing w:after="240" w:line="240" w:lineRule="auto"/>
        <w:jc w:val="both"/>
        <w:rPr>
          <w:rFonts w:ascii="Times New Roman" w:hAnsi="Times New Roman" w:cs="Times New Roman"/>
          <w:color w:val="000000"/>
          <w:sz w:val="28"/>
          <w:szCs w:val="28"/>
          <w:lang w:val="lv-LV"/>
        </w:rPr>
      </w:pPr>
    </w:p>
    <w:p w14:paraId="65A1E8C2" w14:textId="2FD585CD" w:rsidR="00E0194F" w:rsidRPr="00C2529B" w:rsidRDefault="00E0194F" w:rsidP="00E0194F">
      <w:pPr>
        <w:spacing w:line="240" w:lineRule="auto"/>
        <w:jc w:val="both"/>
        <w:rPr>
          <w:rFonts w:ascii="Times New Roman" w:hAnsi="Times New Roman" w:cs="Times New Roman"/>
          <w:sz w:val="28"/>
          <w:szCs w:val="28"/>
          <w:lang w:val="lv-LV"/>
        </w:rPr>
      </w:pPr>
      <w:r>
        <w:rPr>
          <w:rFonts w:ascii="Times New Roman" w:hAnsi="Times New Roman" w:cs="Times New Roman"/>
          <w:sz w:val="28"/>
          <w:szCs w:val="28"/>
          <w:lang w:val="lv-LV"/>
        </w:rPr>
        <w:t xml:space="preserve">Finanšu ministrs                                                                                  </w:t>
      </w:r>
      <w:r w:rsidR="00F606DF">
        <w:rPr>
          <w:rFonts w:ascii="Times New Roman" w:hAnsi="Times New Roman" w:cs="Times New Roman"/>
          <w:sz w:val="28"/>
          <w:szCs w:val="28"/>
          <w:lang w:val="lv-LV"/>
        </w:rPr>
        <w:t xml:space="preserve"> </w:t>
      </w:r>
      <w:r w:rsidR="00C76730">
        <w:rPr>
          <w:rFonts w:ascii="Times New Roman" w:hAnsi="Times New Roman" w:cs="Times New Roman"/>
          <w:sz w:val="28"/>
          <w:szCs w:val="28"/>
          <w:lang w:val="lv-LV"/>
        </w:rPr>
        <w:t xml:space="preserve">        </w:t>
      </w:r>
      <w:proofErr w:type="spellStart"/>
      <w:r>
        <w:rPr>
          <w:rFonts w:ascii="Times New Roman" w:hAnsi="Times New Roman" w:cs="Times New Roman"/>
          <w:sz w:val="28"/>
          <w:szCs w:val="28"/>
          <w:lang w:val="lv-LV"/>
        </w:rPr>
        <w:t>J.Reirs</w:t>
      </w:r>
      <w:proofErr w:type="spellEnd"/>
    </w:p>
    <w:p w14:paraId="42D8DCAA" w14:textId="77777777" w:rsidR="00891A35" w:rsidRPr="00C2529B" w:rsidRDefault="00891A35" w:rsidP="00C2529B">
      <w:pPr>
        <w:spacing w:line="240" w:lineRule="auto"/>
        <w:jc w:val="both"/>
        <w:rPr>
          <w:rFonts w:ascii="Times New Roman" w:hAnsi="Times New Roman" w:cs="Times New Roman"/>
          <w:sz w:val="28"/>
          <w:szCs w:val="28"/>
          <w:lang w:val="lv-LV"/>
        </w:rPr>
      </w:pPr>
    </w:p>
    <w:p w14:paraId="0F349405" w14:textId="77777777" w:rsidR="008D2634" w:rsidRDefault="00891A35" w:rsidP="00891A35">
      <w:pPr>
        <w:spacing w:after="0" w:line="240" w:lineRule="auto"/>
        <w:rPr>
          <w:sz w:val="20"/>
          <w:szCs w:val="20"/>
        </w:rPr>
      </w:pPr>
      <w:r w:rsidRPr="00891A35">
        <w:rPr>
          <w:rFonts w:ascii="Times New Roman" w:hAnsi="Times New Roman" w:cs="Times New Roman"/>
          <w:color w:val="000000" w:themeColor="text1"/>
          <w:sz w:val="20"/>
          <w:szCs w:val="20"/>
          <w:lang w:val="lv-LV"/>
        </w:rPr>
        <w:t>Hammers</w:t>
      </w:r>
      <w:r w:rsidR="008D2634">
        <w:rPr>
          <w:rFonts w:ascii="Times New Roman" w:hAnsi="Times New Roman" w:cs="Times New Roman"/>
          <w:color w:val="000000" w:themeColor="text1"/>
          <w:sz w:val="20"/>
          <w:szCs w:val="20"/>
          <w:lang w:val="lv-LV"/>
        </w:rPr>
        <w:t>, 67095441</w:t>
      </w:r>
      <w:r>
        <w:rPr>
          <w:sz w:val="20"/>
          <w:szCs w:val="20"/>
        </w:rPr>
        <w:t xml:space="preserve"> </w:t>
      </w:r>
    </w:p>
    <w:p w14:paraId="2621A5E9" w14:textId="6F1F369E" w:rsidR="00891A35" w:rsidRPr="008D2634" w:rsidRDefault="00891A35" w:rsidP="00891A35">
      <w:pPr>
        <w:spacing w:after="0" w:line="240" w:lineRule="auto"/>
        <w:rPr>
          <w:rFonts w:ascii="Times New Roman" w:hAnsi="Times New Roman" w:cs="Times New Roman"/>
          <w:color w:val="000000" w:themeColor="text1"/>
          <w:sz w:val="20"/>
          <w:szCs w:val="20"/>
          <w:lang w:val="lv-LV"/>
        </w:rPr>
      </w:pPr>
      <w:r w:rsidRPr="00891A35">
        <w:rPr>
          <w:rStyle w:val="Hyperlink"/>
          <w:rFonts w:ascii="Times New Roman" w:hAnsi="Times New Roman" w:cs="Times New Roman"/>
          <w:sz w:val="20"/>
          <w:szCs w:val="20"/>
          <w:lang w:val="lv-LV"/>
        </w:rPr>
        <w:t>aivis.hammers@fm.gov.lv</w:t>
      </w:r>
    </w:p>
    <w:p w14:paraId="73E6945D" w14:textId="77777777" w:rsidR="002660E5" w:rsidRPr="00891A35" w:rsidRDefault="002660E5" w:rsidP="00891A35">
      <w:pPr>
        <w:autoSpaceDE w:val="0"/>
        <w:autoSpaceDN w:val="0"/>
        <w:adjustRightInd w:val="0"/>
        <w:spacing w:after="240" w:line="240" w:lineRule="auto"/>
        <w:jc w:val="both"/>
        <w:rPr>
          <w:rFonts w:ascii="Times New Roman" w:hAnsi="Times New Roman" w:cs="Times New Roman"/>
          <w:color w:val="000000"/>
          <w:sz w:val="28"/>
          <w:szCs w:val="28"/>
          <w:lang w:val="lv-LV"/>
        </w:rPr>
      </w:pPr>
    </w:p>
    <w:sectPr w:rsidR="002660E5" w:rsidRPr="00891A35" w:rsidSect="00C76730">
      <w:headerReference w:type="default" r:id="rId11"/>
      <w:footerReference w:type="default" r:id="rId12"/>
      <w:headerReference w:type="first" r:id="rId13"/>
      <w:footerReference w:type="first" r:id="rId14"/>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A671E" w14:textId="77777777" w:rsidR="00680054" w:rsidRDefault="00680054" w:rsidP="00643037">
      <w:pPr>
        <w:spacing w:after="0" w:line="240" w:lineRule="auto"/>
      </w:pPr>
      <w:r>
        <w:separator/>
      </w:r>
    </w:p>
  </w:endnote>
  <w:endnote w:type="continuationSeparator" w:id="0">
    <w:p w14:paraId="7E925268" w14:textId="77777777" w:rsidR="00680054" w:rsidRDefault="00680054" w:rsidP="00643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3176C" w14:textId="026B3985" w:rsidR="00FB5FA1" w:rsidRPr="008D2634" w:rsidRDefault="00FB5FA1" w:rsidP="00FB5FA1">
    <w:pPr>
      <w:pStyle w:val="Footer"/>
      <w:rPr>
        <w:sz w:val="20"/>
        <w:szCs w:val="20"/>
      </w:rPr>
    </w:pPr>
    <w:r w:rsidRPr="008D2634">
      <w:rPr>
        <w:rFonts w:ascii="Times New Roman" w:hAnsi="Times New Roman" w:cs="Times New Roman"/>
        <w:bCs/>
        <w:noProof/>
        <w:color w:val="000000"/>
        <w:sz w:val="20"/>
        <w:szCs w:val="20"/>
        <w:lang w:val="lv-LV"/>
      </w:rPr>
      <w:t>FMLik</w:t>
    </w:r>
    <w:r w:rsidRPr="008D2634">
      <w:rPr>
        <w:rFonts w:ascii="Times New Roman" w:hAnsi="Times New Roman" w:cs="Times New Roman"/>
        <w:bCs/>
        <w:color w:val="000000"/>
        <w:sz w:val="20"/>
        <w:szCs w:val="20"/>
      </w:rPr>
      <w:t>_</w:t>
    </w:r>
    <w:r w:rsidR="008D2634" w:rsidRPr="008D2634">
      <w:rPr>
        <w:rFonts w:ascii="Times New Roman" w:hAnsi="Times New Roman" w:cs="Times New Roman"/>
        <w:bCs/>
        <w:color w:val="000000"/>
        <w:sz w:val="20"/>
        <w:szCs w:val="20"/>
      </w:rPr>
      <w:t xml:space="preserve"> </w:t>
    </w:r>
    <w:r w:rsidR="00F8554C">
      <w:rPr>
        <w:rFonts w:ascii="Times New Roman" w:hAnsi="Times New Roman" w:cs="Times New Roman"/>
        <w:bCs/>
        <w:noProof/>
        <w:color w:val="000000"/>
        <w:sz w:val="20"/>
        <w:szCs w:val="20"/>
        <w:lang w:val="lv-LV"/>
      </w:rPr>
      <w:t>0103</w:t>
    </w:r>
    <w:r w:rsidR="00FB2F96">
      <w:rPr>
        <w:rFonts w:ascii="Times New Roman" w:hAnsi="Times New Roman" w:cs="Times New Roman"/>
        <w:bCs/>
        <w:noProof/>
        <w:color w:val="000000"/>
        <w:sz w:val="20"/>
        <w:szCs w:val="20"/>
        <w:lang w:val="lv-LV"/>
      </w:rPr>
      <w:t>21</w:t>
    </w:r>
    <w:r w:rsidR="00E856E0">
      <w:rPr>
        <w:rFonts w:ascii="Times New Roman" w:hAnsi="Times New Roman" w:cs="Times New Roman"/>
        <w:bCs/>
        <w:color w:val="000000"/>
        <w:sz w:val="20"/>
        <w:szCs w:val="20"/>
      </w:rPr>
      <w:t>_</w:t>
    </w:r>
    <w:r w:rsidR="004C73F5">
      <w:rPr>
        <w:rFonts w:ascii="Times New Roman" w:hAnsi="Times New Roman" w:cs="Times New Roman"/>
        <w:bCs/>
        <w:color w:val="000000"/>
        <w:sz w:val="20"/>
        <w:szCs w:val="20"/>
      </w:rPr>
      <w:t>DANL</w:t>
    </w:r>
  </w:p>
  <w:p w14:paraId="07D63AB7" w14:textId="77777777" w:rsidR="000043B8" w:rsidRDefault="000043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5922F" w14:textId="77777777" w:rsidR="008D2634" w:rsidRDefault="008D2634" w:rsidP="008D2634">
    <w:pPr>
      <w:pStyle w:val="Header"/>
    </w:pPr>
  </w:p>
  <w:p w14:paraId="7B75E578" w14:textId="77777777" w:rsidR="008D2634" w:rsidRDefault="008D2634" w:rsidP="008D2634"/>
  <w:p w14:paraId="74F128F9" w14:textId="77777777" w:rsidR="008D2634" w:rsidRDefault="008D2634" w:rsidP="008D2634">
    <w:pPr>
      <w:pStyle w:val="Footer"/>
    </w:pPr>
  </w:p>
  <w:p w14:paraId="62BDC660" w14:textId="77777777" w:rsidR="008D2634" w:rsidRDefault="008D2634" w:rsidP="008D2634"/>
  <w:p w14:paraId="25703CB3" w14:textId="2D263E45" w:rsidR="008D2634" w:rsidRPr="008D2634" w:rsidRDefault="008D2634" w:rsidP="008D2634">
    <w:pPr>
      <w:pStyle w:val="Footer"/>
      <w:rPr>
        <w:sz w:val="20"/>
        <w:szCs w:val="20"/>
      </w:rPr>
    </w:pPr>
    <w:r w:rsidRPr="008D2634">
      <w:rPr>
        <w:rFonts w:ascii="Times New Roman" w:hAnsi="Times New Roman" w:cs="Times New Roman"/>
        <w:bCs/>
        <w:noProof/>
        <w:color w:val="000000"/>
        <w:sz w:val="20"/>
        <w:szCs w:val="20"/>
        <w:lang w:val="lv-LV"/>
      </w:rPr>
      <w:t>FMLik</w:t>
    </w:r>
    <w:r w:rsidRPr="008D2634">
      <w:rPr>
        <w:rFonts w:ascii="Times New Roman" w:hAnsi="Times New Roman" w:cs="Times New Roman"/>
        <w:bCs/>
        <w:color w:val="000000"/>
        <w:sz w:val="20"/>
        <w:szCs w:val="20"/>
      </w:rPr>
      <w:t xml:space="preserve">_ </w:t>
    </w:r>
    <w:r w:rsidR="00F8554C">
      <w:rPr>
        <w:rFonts w:ascii="Times New Roman" w:hAnsi="Times New Roman" w:cs="Times New Roman"/>
        <w:bCs/>
        <w:noProof/>
        <w:color w:val="000000"/>
        <w:sz w:val="20"/>
        <w:szCs w:val="20"/>
        <w:lang w:val="lv-LV"/>
      </w:rPr>
      <w:t>0103</w:t>
    </w:r>
    <w:r w:rsidR="00FB2F96">
      <w:rPr>
        <w:rFonts w:ascii="Times New Roman" w:hAnsi="Times New Roman" w:cs="Times New Roman"/>
        <w:bCs/>
        <w:noProof/>
        <w:color w:val="000000"/>
        <w:sz w:val="20"/>
        <w:szCs w:val="20"/>
        <w:lang w:val="lv-LV"/>
      </w:rPr>
      <w:t>21</w:t>
    </w:r>
    <w:r w:rsidR="00E856E0">
      <w:rPr>
        <w:rFonts w:ascii="Times New Roman" w:hAnsi="Times New Roman" w:cs="Times New Roman"/>
        <w:bCs/>
        <w:color w:val="000000"/>
        <w:sz w:val="20"/>
        <w:szCs w:val="20"/>
      </w:rPr>
      <w:t>_</w:t>
    </w:r>
    <w:r w:rsidR="004C73F5">
      <w:rPr>
        <w:rFonts w:ascii="Times New Roman" w:hAnsi="Times New Roman" w:cs="Times New Roman"/>
        <w:bCs/>
        <w:color w:val="000000"/>
        <w:sz w:val="20"/>
        <w:szCs w:val="20"/>
      </w:rPr>
      <w:t>DANL</w:t>
    </w:r>
  </w:p>
  <w:p w14:paraId="4BBE4A3D" w14:textId="5DEB6459" w:rsidR="000043B8" w:rsidRPr="008D2634" w:rsidRDefault="000043B8" w:rsidP="008D26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17986" w14:textId="77777777" w:rsidR="00680054" w:rsidRDefault="00680054" w:rsidP="00643037">
      <w:pPr>
        <w:spacing w:after="0" w:line="240" w:lineRule="auto"/>
      </w:pPr>
      <w:r>
        <w:separator/>
      </w:r>
    </w:p>
  </w:footnote>
  <w:footnote w:type="continuationSeparator" w:id="0">
    <w:p w14:paraId="5A1D16C2" w14:textId="77777777" w:rsidR="00680054" w:rsidRDefault="00680054" w:rsidP="00643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433606"/>
      <w:docPartObj>
        <w:docPartGallery w:val="Page Numbers (Top of Page)"/>
        <w:docPartUnique/>
      </w:docPartObj>
    </w:sdtPr>
    <w:sdtEndPr/>
    <w:sdtContent>
      <w:p w14:paraId="45790D40" w14:textId="0A6CB927" w:rsidR="000043B8" w:rsidRDefault="00A90DE1">
        <w:pPr>
          <w:pStyle w:val="Header"/>
          <w:jc w:val="right"/>
        </w:pPr>
        <w:r>
          <w:fldChar w:fldCharType="begin"/>
        </w:r>
        <w:r w:rsidR="00E04EC3">
          <w:instrText xml:space="preserve"> PAGE   \* MERGEFORMAT </w:instrText>
        </w:r>
        <w:r>
          <w:fldChar w:fldCharType="separate"/>
        </w:r>
        <w:r w:rsidR="0005436E">
          <w:rPr>
            <w:noProof/>
          </w:rPr>
          <w:t>3</w:t>
        </w:r>
        <w:r>
          <w:rPr>
            <w:noProof/>
          </w:rPr>
          <w:fldChar w:fldCharType="end"/>
        </w:r>
      </w:p>
    </w:sdtContent>
  </w:sdt>
  <w:p w14:paraId="4FFE2BD0" w14:textId="77777777" w:rsidR="000043B8" w:rsidRDefault="000043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3D326" w14:textId="77777777" w:rsidR="000043B8" w:rsidRDefault="000043B8">
    <w:pPr>
      <w:pStyle w:val="Header"/>
      <w:jc w:val="right"/>
    </w:pPr>
  </w:p>
  <w:p w14:paraId="3EA8180B" w14:textId="77777777" w:rsidR="000043B8" w:rsidRDefault="000043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74BA"/>
    <w:multiLevelType w:val="hybridMultilevel"/>
    <w:tmpl w:val="85CEAE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A67CC4"/>
    <w:multiLevelType w:val="hybridMultilevel"/>
    <w:tmpl w:val="45F2EBE2"/>
    <w:lvl w:ilvl="0" w:tplc="E190F200">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982EAB"/>
    <w:multiLevelType w:val="hybridMultilevel"/>
    <w:tmpl w:val="45F2EBE2"/>
    <w:lvl w:ilvl="0" w:tplc="E190F200">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4759A2"/>
    <w:multiLevelType w:val="hybridMultilevel"/>
    <w:tmpl w:val="1EF87ED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3604FC5"/>
    <w:multiLevelType w:val="hybridMultilevel"/>
    <w:tmpl w:val="EB34C34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BB27A0A"/>
    <w:multiLevelType w:val="hybridMultilevel"/>
    <w:tmpl w:val="48ECFAB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A724881"/>
    <w:multiLevelType w:val="hybridMultilevel"/>
    <w:tmpl w:val="20C6932A"/>
    <w:lvl w:ilvl="0" w:tplc="27EE5472">
      <w:start w:val="1"/>
      <w:numFmt w:val="decimal"/>
      <w:lvlText w:val="%1."/>
      <w:lvlJc w:val="left"/>
      <w:pPr>
        <w:ind w:left="720" w:hanging="360"/>
      </w:pPr>
      <w:rPr>
        <w:sz w:val="28"/>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C552D82"/>
    <w:multiLevelType w:val="hybridMultilevel"/>
    <w:tmpl w:val="D714DC3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231701F"/>
    <w:multiLevelType w:val="hybridMultilevel"/>
    <w:tmpl w:val="7F9C2108"/>
    <w:lvl w:ilvl="0" w:tplc="611C07F6">
      <w:start w:val="1"/>
      <w:numFmt w:val="decimal"/>
      <w:lvlText w:val="%1."/>
      <w:lvlJc w:val="left"/>
      <w:pPr>
        <w:ind w:left="720" w:hanging="360"/>
      </w:pPr>
      <w:rPr>
        <w:rFonts w:ascii="Times New Roman" w:hAnsi="Times New Roman" w:cs="Times New Roman" w:hint="default"/>
        <w:sz w:val="28"/>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0E258CC"/>
    <w:multiLevelType w:val="hybridMultilevel"/>
    <w:tmpl w:val="74484A5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6"/>
  </w:num>
  <w:num w:numId="3">
    <w:abstractNumId w:val="8"/>
  </w:num>
  <w:num w:numId="4">
    <w:abstractNumId w:val="0"/>
  </w:num>
  <w:num w:numId="5">
    <w:abstractNumId w:val="2"/>
  </w:num>
  <w:num w:numId="6">
    <w:abstractNumId w:val="3"/>
  </w:num>
  <w:num w:numId="7">
    <w:abstractNumId w:val="7"/>
  </w:num>
  <w:num w:numId="8">
    <w:abstractNumId w:val="5"/>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A9A"/>
    <w:rsid w:val="00001140"/>
    <w:rsid w:val="000043B8"/>
    <w:rsid w:val="00005902"/>
    <w:rsid w:val="0002730A"/>
    <w:rsid w:val="0003151E"/>
    <w:rsid w:val="000367EB"/>
    <w:rsid w:val="00044DB3"/>
    <w:rsid w:val="0005100C"/>
    <w:rsid w:val="00051C9F"/>
    <w:rsid w:val="0005436E"/>
    <w:rsid w:val="00056EC4"/>
    <w:rsid w:val="00060066"/>
    <w:rsid w:val="00070B98"/>
    <w:rsid w:val="00082D15"/>
    <w:rsid w:val="0008412D"/>
    <w:rsid w:val="00087EE5"/>
    <w:rsid w:val="0009288A"/>
    <w:rsid w:val="00097713"/>
    <w:rsid w:val="000A46A0"/>
    <w:rsid w:val="000B2C7D"/>
    <w:rsid w:val="00114FC2"/>
    <w:rsid w:val="00126579"/>
    <w:rsid w:val="0016130B"/>
    <w:rsid w:val="001674DF"/>
    <w:rsid w:val="0018197C"/>
    <w:rsid w:val="001865F9"/>
    <w:rsid w:val="00187D89"/>
    <w:rsid w:val="001A3124"/>
    <w:rsid w:val="001A4E2E"/>
    <w:rsid w:val="001B0867"/>
    <w:rsid w:val="001B494B"/>
    <w:rsid w:val="001B51A6"/>
    <w:rsid w:val="001B7ED4"/>
    <w:rsid w:val="001C1C28"/>
    <w:rsid w:val="001C3B35"/>
    <w:rsid w:val="001F7D1A"/>
    <w:rsid w:val="00201D20"/>
    <w:rsid w:val="0021386D"/>
    <w:rsid w:val="00216644"/>
    <w:rsid w:val="00224DE4"/>
    <w:rsid w:val="002326DD"/>
    <w:rsid w:val="00232771"/>
    <w:rsid w:val="0024103F"/>
    <w:rsid w:val="0024120E"/>
    <w:rsid w:val="00246BC7"/>
    <w:rsid w:val="002660E5"/>
    <w:rsid w:val="0026682E"/>
    <w:rsid w:val="00270D87"/>
    <w:rsid w:val="00273384"/>
    <w:rsid w:val="00282BD6"/>
    <w:rsid w:val="0028788E"/>
    <w:rsid w:val="00296C0B"/>
    <w:rsid w:val="002B0B00"/>
    <w:rsid w:val="002B5B6D"/>
    <w:rsid w:val="002C198B"/>
    <w:rsid w:val="002E2634"/>
    <w:rsid w:val="002F4636"/>
    <w:rsid w:val="003119F0"/>
    <w:rsid w:val="00323A66"/>
    <w:rsid w:val="00332C45"/>
    <w:rsid w:val="00341CB0"/>
    <w:rsid w:val="00345059"/>
    <w:rsid w:val="00384EDD"/>
    <w:rsid w:val="003929DB"/>
    <w:rsid w:val="003A238C"/>
    <w:rsid w:val="003A71B6"/>
    <w:rsid w:val="003B0C21"/>
    <w:rsid w:val="003B10B2"/>
    <w:rsid w:val="003C6E3E"/>
    <w:rsid w:val="003D04ED"/>
    <w:rsid w:val="003D0E96"/>
    <w:rsid w:val="003D3847"/>
    <w:rsid w:val="003D68E8"/>
    <w:rsid w:val="003D751E"/>
    <w:rsid w:val="003F0EB5"/>
    <w:rsid w:val="003F4712"/>
    <w:rsid w:val="004049BE"/>
    <w:rsid w:val="00404B57"/>
    <w:rsid w:val="00415A70"/>
    <w:rsid w:val="00416A9A"/>
    <w:rsid w:val="00452E6F"/>
    <w:rsid w:val="00464893"/>
    <w:rsid w:val="0048377F"/>
    <w:rsid w:val="00495145"/>
    <w:rsid w:val="004A04FE"/>
    <w:rsid w:val="004A0F84"/>
    <w:rsid w:val="004A3178"/>
    <w:rsid w:val="004B5A4A"/>
    <w:rsid w:val="004B6D1A"/>
    <w:rsid w:val="004C73F5"/>
    <w:rsid w:val="004E6B1C"/>
    <w:rsid w:val="004F0BB6"/>
    <w:rsid w:val="0050024C"/>
    <w:rsid w:val="0051368D"/>
    <w:rsid w:val="00551EF2"/>
    <w:rsid w:val="0056083A"/>
    <w:rsid w:val="005734AB"/>
    <w:rsid w:val="0057378B"/>
    <w:rsid w:val="0059663E"/>
    <w:rsid w:val="005A5CCE"/>
    <w:rsid w:val="005B5632"/>
    <w:rsid w:val="005C368B"/>
    <w:rsid w:val="005D29D7"/>
    <w:rsid w:val="005D38D5"/>
    <w:rsid w:val="005E3D91"/>
    <w:rsid w:val="005E7A6A"/>
    <w:rsid w:val="0060016D"/>
    <w:rsid w:val="00611FF8"/>
    <w:rsid w:val="00625A35"/>
    <w:rsid w:val="00631361"/>
    <w:rsid w:val="006371F0"/>
    <w:rsid w:val="00643037"/>
    <w:rsid w:val="00647FFC"/>
    <w:rsid w:val="00654B80"/>
    <w:rsid w:val="00680054"/>
    <w:rsid w:val="00694C2D"/>
    <w:rsid w:val="006A50BF"/>
    <w:rsid w:val="006C7A07"/>
    <w:rsid w:val="006E1EB9"/>
    <w:rsid w:val="006E4A9D"/>
    <w:rsid w:val="006F7D1F"/>
    <w:rsid w:val="00733C3E"/>
    <w:rsid w:val="00741873"/>
    <w:rsid w:val="00766B95"/>
    <w:rsid w:val="007721A8"/>
    <w:rsid w:val="0078267E"/>
    <w:rsid w:val="007A652B"/>
    <w:rsid w:val="007B0904"/>
    <w:rsid w:val="007B0A58"/>
    <w:rsid w:val="007B2174"/>
    <w:rsid w:val="007B638F"/>
    <w:rsid w:val="007E0C65"/>
    <w:rsid w:val="007E38E1"/>
    <w:rsid w:val="007E5451"/>
    <w:rsid w:val="007F6F3A"/>
    <w:rsid w:val="00816881"/>
    <w:rsid w:val="00844D08"/>
    <w:rsid w:val="00862CF2"/>
    <w:rsid w:val="00883BFC"/>
    <w:rsid w:val="00891A35"/>
    <w:rsid w:val="008B100C"/>
    <w:rsid w:val="008C2D06"/>
    <w:rsid w:val="008D2634"/>
    <w:rsid w:val="008D3034"/>
    <w:rsid w:val="008E566C"/>
    <w:rsid w:val="00904BC4"/>
    <w:rsid w:val="009236E4"/>
    <w:rsid w:val="0093027A"/>
    <w:rsid w:val="0093131C"/>
    <w:rsid w:val="00936EA3"/>
    <w:rsid w:val="009442ED"/>
    <w:rsid w:val="009659C4"/>
    <w:rsid w:val="00971875"/>
    <w:rsid w:val="009805BE"/>
    <w:rsid w:val="0099446A"/>
    <w:rsid w:val="00996090"/>
    <w:rsid w:val="009A475C"/>
    <w:rsid w:val="009A6740"/>
    <w:rsid w:val="009B2378"/>
    <w:rsid w:val="009C6807"/>
    <w:rsid w:val="009D1876"/>
    <w:rsid w:val="009D501F"/>
    <w:rsid w:val="009E55F5"/>
    <w:rsid w:val="00A00474"/>
    <w:rsid w:val="00A15006"/>
    <w:rsid w:val="00A20207"/>
    <w:rsid w:val="00A259BD"/>
    <w:rsid w:val="00A43CFE"/>
    <w:rsid w:val="00A53F7E"/>
    <w:rsid w:val="00A71846"/>
    <w:rsid w:val="00A829B7"/>
    <w:rsid w:val="00A84935"/>
    <w:rsid w:val="00A90DE1"/>
    <w:rsid w:val="00AD0871"/>
    <w:rsid w:val="00AE188A"/>
    <w:rsid w:val="00AE215A"/>
    <w:rsid w:val="00AE6A3E"/>
    <w:rsid w:val="00AF0D18"/>
    <w:rsid w:val="00AF62A5"/>
    <w:rsid w:val="00AF768B"/>
    <w:rsid w:val="00B05349"/>
    <w:rsid w:val="00B11382"/>
    <w:rsid w:val="00B13DA3"/>
    <w:rsid w:val="00B20A4F"/>
    <w:rsid w:val="00B24FD0"/>
    <w:rsid w:val="00B44103"/>
    <w:rsid w:val="00B45B66"/>
    <w:rsid w:val="00B7340C"/>
    <w:rsid w:val="00B75643"/>
    <w:rsid w:val="00B82C29"/>
    <w:rsid w:val="00B84895"/>
    <w:rsid w:val="00BA5E73"/>
    <w:rsid w:val="00BB57F8"/>
    <w:rsid w:val="00BC58FD"/>
    <w:rsid w:val="00BD7624"/>
    <w:rsid w:val="00BE0C19"/>
    <w:rsid w:val="00C047AF"/>
    <w:rsid w:val="00C057BC"/>
    <w:rsid w:val="00C2529B"/>
    <w:rsid w:val="00C3668B"/>
    <w:rsid w:val="00C4630E"/>
    <w:rsid w:val="00C50759"/>
    <w:rsid w:val="00C52F84"/>
    <w:rsid w:val="00C668BD"/>
    <w:rsid w:val="00C743D0"/>
    <w:rsid w:val="00C76730"/>
    <w:rsid w:val="00C83E4F"/>
    <w:rsid w:val="00CB01B0"/>
    <w:rsid w:val="00CB2EF8"/>
    <w:rsid w:val="00CC1C8E"/>
    <w:rsid w:val="00CD0220"/>
    <w:rsid w:val="00CD2906"/>
    <w:rsid w:val="00CE12B9"/>
    <w:rsid w:val="00CF5880"/>
    <w:rsid w:val="00D0759F"/>
    <w:rsid w:val="00D11B54"/>
    <w:rsid w:val="00D2230B"/>
    <w:rsid w:val="00D27948"/>
    <w:rsid w:val="00D3702F"/>
    <w:rsid w:val="00D405CC"/>
    <w:rsid w:val="00D466DE"/>
    <w:rsid w:val="00D56E60"/>
    <w:rsid w:val="00D611B1"/>
    <w:rsid w:val="00DA4489"/>
    <w:rsid w:val="00DC2C1B"/>
    <w:rsid w:val="00DD3017"/>
    <w:rsid w:val="00DE2AC7"/>
    <w:rsid w:val="00DE32E2"/>
    <w:rsid w:val="00DF0E3C"/>
    <w:rsid w:val="00DF6812"/>
    <w:rsid w:val="00E0194F"/>
    <w:rsid w:val="00E04EC3"/>
    <w:rsid w:val="00E20FC0"/>
    <w:rsid w:val="00E762F9"/>
    <w:rsid w:val="00E84EF3"/>
    <w:rsid w:val="00E856E0"/>
    <w:rsid w:val="00E9611E"/>
    <w:rsid w:val="00EC01A2"/>
    <w:rsid w:val="00EC696D"/>
    <w:rsid w:val="00EC7F74"/>
    <w:rsid w:val="00ED463B"/>
    <w:rsid w:val="00EE4104"/>
    <w:rsid w:val="00F14F67"/>
    <w:rsid w:val="00F240C5"/>
    <w:rsid w:val="00F25A25"/>
    <w:rsid w:val="00F376EB"/>
    <w:rsid w:val="00F56025"/>
    <w:rsid w:val="00F606DF"/>
    <w:rsid w:val="00F70416"/>
    <w:rsid w:val="00F8554C"/>
    <w:rsid w:val="00F87BB8"/>
    <w:rsid w:val="00F97B31"/>
    <w:rsid w:val="00FA1329"/>
    <w:rsid w:val="00FA1509"/>
    <w:rsid w:val="00FA30F2"/>
    <w:rsid w:val="00FA6157"/>
    <w:rsid w:val="00FA6FB6"/>
    <w:rsid w:val="00FB2EC2"/>
    <w:rsid w:val="00FB2F96"/>
    <w:rsid w:val="00FB5FA1"/>
    <w:rsid w:val="00FC1586"/>
    <w:rsid w:val="00FE12AB"/>
    <w:rsid w:val="00FE2A90"/>
    <w:rsid w:val="00FF3B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89388"/>
  <w15:docId w15:val="{B97E42CD-4C8C-4D44-9B57-CE2248E15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6DE"/>
    <w:pPr>
      <w:ind w:left="720"/>
      <w:contextualSpacing/>
    </w:pPr>
  </w:style>
  <w:style w:type="paragraph" w:customStyle="1" w:styleId="tv213">
    <w:name w:val="tv213"/>
    <w:basedOn w:val="Normal"/>
    <w:rsid w:val="00D466D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D466DE"/>
  </w:style>
  <w:style w:type="character" w:styleId="Hyperlink">
    <w:name w:val="Hyperlink"/>
    <w:basedOn w:val="DefaultParagraphFont"/>
    <w:uiPriority w:val="99"/>
    <w:semiHidden/>
    <w:unhideWhenUsed/>
    <w:rsid w:val="00D466DE"/>
    <w:rPr>
      <w:color w:val="0000FF"/>
      <w:u w:val="single"/>
    </w:rPr>
  </w:style>
  <w:style w:type="character" w:styleId="CommentReference">
    <w:name w:val="annotation reference"/>
    <w:basedOn w:val="DefaultParagraphFont"/>
    <w:uiPriority w:val="99"/>
    <w:semiHidden/>
    <w:unhideWhenUsed/>
    <w:rsid w:val="00224DE4"/>
    <w:rPr>
      <w:sz w:val="16"/>
      <w:szCs w:val="16"/>
    </w:rPr>
  </w:style>
  <w:style w:type="paragraph" w:styleId="CommentText">
    <w:name w:val="annotation text"/>
    <w:basedOn w:val="Normal"/>
    <w:link w:val="CommentTextChar"/>
    <w:uiPriority w:val="99"/>
    <w:unhideWhenUsed/>
    <w:rsid w:val="00224DE4"/>
    <w:pPr>
      <w:spacing w:line="240" w:lineRule="auto"/>
    </w:pPr>
    <w:rPr>
      <w:sz w:val="20"/>
      <w:szCs w:val="20"/>
    </w:rPr>
  </w:style>
  <w:style w:type="character" w:customStyle="1" w:styleId="CommentTextChar">
    <w:name w:val="Comment Text Char"/>
    <w:basedOn w:val="DefaultParagraphFont"/>
    <w:link w:val="CommentText"/>
    <w:uiPriority w:val="99"/>
    <w:rsid w:val="00224DE4"/>
    <w:rPr>
      <w:sz w:val="20"/>
      <w:szCs w:val="20"/>
    </w:rPr>
  </w:style>
  <w:style w:type="paragraph" w:styleId="CommentSubject">
    <w:name w:val="annotation subject"/>
    <w:basedOn w:val="CommentText"/>
    <w:next w:val="CommentText"/>
    <w:link w:val="CommentSubjectChar"/>
    <w:uiPriority w:val="99"/>
    <w:semiHidden/>
    <w:unhideWhenUsed/>
    <w:rsid w:val="00224DE4"/>
    <w:rPr>
      <w:b/>
      <w:bCs/>
    </w:rPr>
  </w:style>
  <w:style w:type="character" w:customStyle="1" w:styleId="CommentSubjectChar">
    <w:name w:val="Comment Subject Char"/>
    <w:basedOn w:val="CommentTextChar"/>
    <w:link w:val="CommentSubject"/>
    <w:uiPriority w:val="99"/>
    <w:semiHidden/>
    <w:rsid w:val="00224DE4"/>
    <w:rPr>
      <w:b/>
      <w:bCs/>
      <w:sz w:val="20"/>
      <w:szCs w:val="20"/>
    </w:rPr>
  </w:style>
  <w:style w:type="paragraph" w:styleId="BalloonText">
    <w:name w:val="Balloon Text"/>
    <w:basedOn w:val="Normal"/>
    <w:link w:val="BalloonTextChar"/>
    <w:uiPriority w:val="99"/>
    <w:semiHidden/>
    <w:unhideWhenUsed/>
    <w:rsid w:val="00224D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DE4"/>
    <w:rPr>
      <w:rFonts w:ascii="Tahoma" w:hAnsi="Tahoma" w:cs="Tahoma"/>
      <w:sz w:val="16"/>
      <w:szCs w:val="16"/>
    </w:rPr>
  </w:style>
  <w:style w:type="paragraph" w:customStyle="1" w:styleId="naisf">
    <w:name w:val="naisf"/>
    <w:basedOn w:val="Normal"/>
    <w:rsid w:val="002660E5"/>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643037"/>
    <w:pPr>
      <w:tabs>
        <w:tab w:val="center" w:pos="4153"/>
        <w:tab w:val="right" w:pos="8306"/>
      </w:tabs>
      <w:spacing w:after="0" w:line="240" w:lineRule="auto"/>
    </w:pPr>
  </w:style>
  <w:style w:type="character" w:customStyle="1" w:styleId="HeaderChar">
    <w:name w:val="Header Char"/>
    <w:basedOn w:val="DefaultParagraphFont"/>
    <w:link w:val="Header"/>
    <w:uiPriority w:val="99"/>
    <w:rsid w:val="00643037"/>
  </w:style>
  <w:style w:type="paragraph" w:styleId="Footer">
    <w:name w:val="footer"/>
    <w:basedOn w:val="Normal"/>
    <w:link w:val="FooterChar"/>
    <w:uiPriority w:val="99"/>
    <w:unhideWhenUsed/>
    <w:rsid w:val="00643037"/>
    <w:pPr>
      <w:tabs>
        <w:tab w:val="center" w:pos="4153"/>
        <w:tab w:val="right" w:pos="8306"/>
      </w:tabs>
      <w:spacing w:after="0" w:line="240" w:lineRule="auto"/>
    </w:pPr>
  </w:style>
  <w:style w:type="character" w:customStyle="1" w:styleId="FooterChar">
    <w:name w:val="Footer Char"/>
    <w:basedOn w:val="DefaultParagraphFont"/>
    <w:link w:val="Footer"/>
    <w:uiPriority w:val="99"/>
    <w:rsid w:val="00643037"/>
  </w:style>
  <w:style w:type="paragraph" w:styleId="NormalWeb">
    <w:name w:val="Normal (Web)"/>
    <w:basedOn w:val="Normal"/>
    <w:uiPriority w:val="99"/>
    <w:semiHidden/>
    <w:unhideWhenUsed/>
    <w:rsid w:val="00891A35"/>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451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8DC893E7AF5C747B4CCAAAFF895F576" ma:contentTypeVersion="" ma:contentTypeDescription="Izveidot jaunu dokumentu." ma:contentTypeScope="" ma:versionID="9f1539b3d5108452a9ea80bfe0519997">
  <xsd:schema xmlns:xsd="http://www.w3.org/2001/XMLSchema" xmlns:xs="http://www.w3.org/2001/XMLSchema" xmlns:p="http://schemas.microsoft.com/office/2006/metadata/properties" xmlns:ns1="2e5bb04e-596e-45bd-9003-43ca78b1ba16" xmlns:ns4="b6da864e-06a3-40ee-a61e-0cd067b16413" targetNamespace="http://schemas.microsoft.com/office/2006/metadata/properties" ma:root="true" ma:fieldsID="e9eed20271ecb2536a695533ff28fcf1" ns1:_="" ns4:_="">
    <xsd:import namespace="2e5bb04e-596e-45bd-9003-43ca78b1ba16"/>
    <xsd:import namespace="b6da864e-06a3-40ee-a61e-0cd067b16413"/>
    <xsd:element name="properties">
      <xsd:complexType>
        <xsd:sequence>
          <xsd:element name="documentManagement">
            <xsd:complexType>
              <xsd:all>
                <xsd:element ref="ns1:DKP" minOccurs="0"/>
                <xsd:element ref="ns1:Kategorija"/>
                <xsd:element ref="ns1:Vad_x012b_t_x0101_js" minOccurs="0"/>
                <xsd:element ref="ns4:NP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DKP" ma:index="0" nillable="true" ma:displayName="TAP" ma:list="{23469F43-269A-47E0-8057-9F80EA2D130B}" ma:internalName="DKP" ma:readOnly="false" ma:showField="NPK">
      <xsd:simpleType>
        <xsd:restriction base="dms:Lookup"/>
      </xsd:simpleType>
    </xsd:element>
    <xsd:element name="Kategorija" ma:index="3"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4"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da864e-06a3-40ee-a61e-0cd067b16413" elementFormDefault="qualified">
    <xsd:import namespace="http://schemas.microsoft.com/office/2006/documentManagement/types"/>
    <xsd:import namespace="http://schemas.microsoft.com/office/infopath/2007/PartnerControls"/>
    <xsd:element name="NPK" ma:index="12" nillable="true" ma:displayName="NPK" ma:default="1" ma:format="Dropdown" ma:internalName="NPK">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ors"/>
        <xsd:element ref="dcterms:created" minOccurs="0" maxOccurs="1"/>
        <xsd:element ref="dc:identifier" minOccurs="0" maxOccurs="1"/>
        <xsd:element name="contentType" minOccurs="0" maxOccurs="1" type="xsd:string" ma:index="8"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Aija Zitcere</Vad_x012b_t_x0101_js>
    <NPK xmlns="b6da864e-06a3-40ee-a61e-0cd067b16413">1</NPK>
    <Kategorija xmlns="2e5bb04e-596e-45bd-9003-43ca78b1ba16">Likumprojekts</Kategorija>
    <DKP xmlns="2e5bb04e-596e-45bd-9003-43ca78b1ba1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AED6DE-2F1A-47AC-A96C-ABC61EC0E4EC}">
  <ds:schemaRefs>
    <ds:schemaRef ds:uri="http://schemas.microsoft.com/sharepoint/v3/contenttype/forms"/>
  </ds:schemaRefs>
</ds:datastoreItem>
</file>

<file path=customXml/itemProps2.xml><?xml version="1.0" encoding="utf-8"?>
<ds:datastoreItem xmlns:ds="http://schemas.openxmlformats.org/officeDocument/2006/customXml" ds:itemID="{85985419-27A0-4DE3-8CC4-DC24AA047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b6da864e-06a3-40ee-a61e-0cd067b16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5836DA-1FC9-4CC4-9BFF-CA1E2B181FD3}">
  <ds:schemaRefs>
    <ds:schemaRef ds:uri="http://purl.org/dc/terms/"/>
    <ds:schemaRef ds:uri="http://schemas.microsoft.com/office/2006/documentManagement/types"/>
    <ds:schemaRef ds:uri="http://schemas.microsoft.com/office/2006/metadata/properties"/>
    <ds:schemaRef ds:uri="b6da864e-06a3-40ee-a61e-0cd067b16413"/>
    <ds:schemaRef ds:uri="http://purl.org/dc/elements/1.1/"/>
    <ds:schemaRef ds:uri="http://schemas.microsoft.com/office/infopath/2007/PartnerControls"/>
    <ds:schemaRef ds:uri="2e5bb04e-596e-45bd-9003-43ca78b1ba16"/>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8BF13F3-0695-4874-A391-FC6BBF715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3798</Words>
  <Characters>2166</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Likumprojekts "Grozījumi Kredītiestāžu un ieguldījumu brokeru sabiedrību darbības atjaunošanas un noregulējuma likumā"</vt:lpstr>
    </vt:vector>
  </TitlesOfParts>
  <Company>Finanšu ministrija</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Likumprojekts "Grozījumi Kredītiestāžu un ieguldījumu brokeru sabiedrību darbības atjaunošanas un noregulējuma likumā"</dc:title>
  <dc:subject>Likumprojekts;</dc:subject>
  <dc:creator>Aivis Hammers</dc:creator>
  <dc:description>Aivis Hammers, tālr 67095441, epasts: aivis.hammers@fm.gov.lv</dc:description>
  <cp:lastModifiedBy>Inguna Dancīte</cp:lastModifiedBy>
  <cp:revision>2</cp:revision>
  <cp:lastPrinted>2016-11-14T13:13:00Z</cp:lastPrinted>
  <dcterms:created xsi:type="dcterms:W3CDTF">2021-03-01T12:38:00Z</dcterms:created>
  <dcterms:modified xsi:type="dcterms:W3CDTF">2021-03-01T12:38:00Z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0x01010078DC893E7AF5C747B4CCAAAFF895F576</vt:lpwstr>
  </property>
</Properties>
</file>