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 -->
  <w:body>
    <w:p w:rsidR="00EC6306" w:rsidRPr="00B45666" w:rsidP="003C2151" w14:paraId="5A107C43" w14:textId="4440CAF9">
      <w:pPr>
        <w:jc w:val="center"/>
        <w:rPr>
          <w:b/>
          <w:bCs/>
          <w:sz w:val="26"/>
          <w:szCs w:val="26"/>
        </w:rPr>
      </w:pPr>
      <w:r w:rsidRPr="00B45666">
        <w:rPr>
          <w:b/>
          <w:bCs/>
          <w:sz w:val="26"/>
          <w:szCs w:val="26"/>
        </w:rPr>
        <w:t xml:space="preserve">Informatīvais ziņojums </w:t>
      </w:r>
      <w:r w:rsidRPr="00B45666" w:rsidR="004B51FA">
        <w:rPr>
          <w:b/>
          <w:bCs/>
          <w:sz w:val="26"/>
          <w:szCs w:val="26"/>
        </w:rPr>
        <w:t xml:space="preserve">“Par </w:t>
      </w:r>
      <w:r w:rsidR="0082034C">
        <w:rPr>
          <w:b/>
          <w:bCs/>
          <w:sz w:val="26"/>
          <w:szCs w:val="26"/>
        </w:rPr>
        <w:t>veselī</w:t>
      </w:r>
      <w:r w:rsidR="00485A95">
        <w:rPr>
          <w:b/>
          <w:bCs/>
          <w:sz w:val="26"/>
          <w:szCs w:val="26"/>
        </w:rPr>
        <w:t>bas reformas pasākumu īstenošana</w:t>
      </w:r>
      <w:r w:rsidR="0082034C">
        <w:rPr>
          <w:b/>
          <w:bCs/>
          <w:sz w:val="26"/>
          <w:szCs w:val="26"/>
        </w:rPr>
        <w:t xml:space="preserve">s </w:t>
      </w:r>
      <w:r w:rsidR="00485A95">
        <w:rPr>
          <w:b/>
          <w:bCs/>
          <w:sz w:val="26"/>
          <w:szCs w:val="26"/>
        </w:rPr>
        <w:t>rezultātiem</w:t>
      </w:r>
      <w:r w:rsidR="0082034C">
        <w:rPr>
          <w:b/>
          <w:bCs/>
          <w:sz w:val="26"/>
          <w:szCs w:val="26"/>
        </w:rPr>
        <w:t xml:space="preserve"> veselības aprūpē 2017.gad</w:t>
      </w:r>
      <w:r w:rsidR="00485A95">
        <w:rPr>
          <w:b/>
          <w:bCs/>
          <w:sz w:val="26"/>
          <w:szCs w:val="26"/>
        </w:rPr>
        <w:t>ā</w:t>
      </w:r>
      <w:r w:rsidRPr="00B45666" w:rsidR="004B51FA">
        <w:rPr>
          <w:b/>
          <w:bCs/>
          <w:sz w:val="26"/>
          <w:szCs w:val="26"/>
        </w:rPr>
        <w:t>”</w:t>
      </w:r>
    </w:p>
    <w:p w:rsidR="003C2151" w:rsidP="00B45666" w14:paraId="457BFB31" w14:textId="77777777">
      <w:pPr>
        <w:spacing w:after="80"/>
        <w:ind w:firstLine="720"/>
        <w:jc w:val="both"/>
      </w:pPr>
    </w:p>
    <w:p w:rsidR="0082034C" w:rsidRPr="0082034C" w:rsidP="0082034C" w14:paraId="3A16FCE4" w14:textId="6CDED37C">
      <w:pPr>
        <w:spacing w:after="80"/>
        <w:ind w:firstLine="720"/>
        <w:jc w:val="both"/>
        <w:rPr>
          <w:color w:val="2A2A2A"/>
        </w:rPr>
      </w:pPr>
      <w:r w:rsidRPr="0082034C">
        <w:t>Informatīvais ziņojums</w:t>
      </w:r>
      <w:r w:rsidRPr="0082034C" w:rsidR="00245344">
        <w:t xml:space="preserve"> ir sagatavots atbilstoši</w:t>
      </w:r>
      <w:r w:rsidRPr="0082034C">
        <w:t xml:space="preserve"> Ministru kabineta 2016.gada 20.decembra sēdes protokola Nr.69 86§ 4.punktam un </w:t>
      </w:r>
      <w:r w:rsidRPr="0082034C" w:rsidR="00F615C8">
        <w:t xml:space="preserve">Ministru kabineta </w:t>
      </w:r>
      <w:r w:rsidRPr="0082034C" w:rsidR="00377170">
        <w:t>2017</w:t>
      </w:r>
      <w:r w:rsidRPr="0082034C" w:rsidR="00C14920">
        <w:t xml:space="preserve">.gada </w:t>
      </w:r>
      <w:r w:rsidRPr="0082034C" w:rsidR="00377170">
        <w:t>14</w:t>
      </w:r>
      <w:r w:rsidRPr="0082034C" w:rsidR="00F615C8">
        <w:t>.</w:t>
      </w:r>
      <w:r w:rsidRPr="0082034C" w:rsidR="00377170">
        <w:t>februāra sēdes protokola Nr.7 45</w:t>
      </w:r>
      <w:r w:rsidRPr="0082034C" w:rsidR="00F615C8">
        <w:t xml:space="preserve">§ </w:t>
      </w:r>
      <w:r w:rsidRPr="0082034C">
        <w:t>6</w:t>
      </w:r>
      <w:r w:rsidRPr="0082034C" w:rsidR="00D6429B">
        <w:t xml:space="preserve">.punktam, </w:t>
      </w:r>
      <w:r w:rsidRPr="0082034C">
        <w:t xml:space="preserve">kuri </w:t>
      </w:r>
      <w:r w:rsidRPr="0082034C" w:rsidR="00D6429B">
        <w:t>nosaka</w:t>
      </w:r>
      <w:r w:rsidRPr="0082034C" w:rsidR="002918FA">
        <w:t xml:space="preserve"> </w:t>
      </w:r>
      <w:r w:rsidRPr="0082034C" w:rsidR="00D6429B">
        <w:t xml:space="preserve">Veselības ministrijai </w:t>
      </w:r>
      <w:r w:rsidRPr="0082034C">
        <w:t xml:space="preserve">kontrolēt veselības reformas pasākumu iznākumu rādītāju izpildi </w:t>
      </w:r>
      <w:r w:rsidRPr="0082034C">
        <w:rPr>
          <w:color w:val="2A2A2A"/>
        </w:rPr>
        <w:t>un līdz 201</w:t>
      </w:r>
      <w:r w:rsidR="00485A95">
        <w:rPr>
          <w:color w:val="2A2A2A"/>
        </w:rPr>
        <w:t>8</w:t>
      </w:r>
      <w:r w:rsidRPr="0082034C">
        <w:rPr>
          <w:color w:val="2A2A2A"/>
        </w:rPr>
        <w:t>.gada 1.</w:t>
      </w:r>
      <w:r w:rsidR="00485A95">
        <w:rPr>
          <w:color w:val="2A2A2A"/>
        </w:rPr>
        <w:t>martam</w:t>
      </w:r>
      <w:r w:rsidRPr="0082034C">
        <w:rPr>
          <w:color w:val="2A2A2A"/>
        </w:rPr>
        <w:t xml:space="preserve"> iesniegt Finanšu ministrijai ziņojumu par progresu iznākuma rādītāju sasniegšanā 2017.gad</w:t>
      </w:r>
      <w:r w:rsidR="004F29CE">
        <w:rPr>
          <w:color w:val="2A2A2A"/>
        </w:rPr>
        <w:t>ā</w:t>
      </w:r>
      <w:r w:rsidRPr="0082034C">
        <w:rPr>
          <w:color w:val="2A2A2A"/>
        </w:rPr>
        <w:t xml:space="preserve">. </w:t>
      </w:r>
    </w:p>
    <w:p w:rsidR="00886420" w:rsidRPr="002D2334" w:rsidP="003067FC" w14:paraId="40A46F0E" w14:textId="77777777">
      <w:pPr>
        <w:shd w:val="clear" w:color="auto" w:fill="FFFFFF"/>
        <w:tabs>
          <w:tab w:val="left" w:pos="1134"/>
        </w:tabs>
        <w:spacing w:after="80"/>
        <w:jc w:val="both"/>
        <w:rPr>
          <w:color w:val="000000" w:themeColor="text1"/>
          <w:sz w:val="26"/>
          <w:szCs w:val="26"/>
        </w:rPr>
      </w:pPr>
    </w:p>
    <w:p w:rsidR="00FF42C2" w:rsidRPr="00485A95" w:rsidP="00FF42C2" w14:paraId="7C74542F" w14:textId="03827896">
      <w:pPr>
        <w:pStyle w:val="Heading1"/>
        <w:numPr>
          <w:ilvl w:val="0"/>
          <w:numId w:val="2"/>
        </w:numPr>
        <w:spacing w:before="0" w:after="200"/>
        <w:ind w:left="357" w:hanging="357"/>
        <w:jc w:val="center"/>
        <w:rPr>
          <w:rFonts w:ascii="Times New Roman" w:hAnsi="Times New Roman" w:cs="Times New Roman"/>
          <w:b/>
          <w:color w:val="auto"/>
          <w:sz w:val="26"/>
          <w:szCs w:val="26"/>
        </w:rPr>
      </w:pPr>
      <w:r w:rsidRPr="00485A95">
        <w:rPr>
          <w:rFonts w:ascii="Times New Roman" w:hAnsi="Times New Roman" w:cs="Times New Roman"/>
          <w:b/>
          <w:color w:val="auto"/>
          <w:sz w:val="26"/>
          <w:szCs w:val="26"/>
        </w:rPr>
        <w:t xml:space="preserve">Pieejamais finansējums reformu īstenošanai </w:t>
      </w:r>
    </w:p>
    <w:p w:rsidR="00FF42C2" w:rsidRPr="00485A95" w:rsidP="00B90904" w14:paraId="6F22B2D8" w14:textId="45BAE527">
      <w:pPr>
        <w:ind w:firstLine="720"/>
        <w:jc w:val="both"/>
        <w:rPr>
          <w:color w:val="2A2A2A"/>
        </w:rPr>
      </w:pPr>
      <w:r w:rsidRPr="00485A95">
        <w:t xml:space="preserve">Ar Ministru kabineta 2016.gada 20.decembra sēdes protokola Nr.69 86§ 1.punktu, Veselības ministrijai 2017.gadā </w:t>
      </w:r>
      <w:r w:rsidRPr="00485A95">
        <w:rPr>
          <w:color w:val="2A2A2A"/>
        </w:rPr>
        <w:t xml:space="preserve">no budžeta resora "74.Gadskārtējā valsts budžeta izpildes procesā pārdalāmais finansējums" 08.00.00 programmas "Veselības aprūpes sistēmas reformas ieviešanas finansējums" rezervētā finansējuma </w:t>
      </w:r>
      <w:r w:rsidRPr="00485A95">
        <w:t xml:space="preserve">piešķirts finansējums </w:t>
      </w:r>
      <w:r w:rsidRPr="00485A95" w:rsidR="00B623DB">
        <w:t xml:space="preserve">12 262 260 </w:t>
      </w:r>
      <w:r w:rsidRPr="00485A95" w:rsidR="00B623DB">
        <w:rPr>
          <w:i/>
        </w:rPr>
        <w:t>euro</w:t>
      </w:r>
      <w:r w:rsidRPr="00485A95" w:rsidR="00B623DB">
        <w:rPr>
          <w:i/>
        </w:rPr>
        <w:t xml:space="preserve"> </w:t>
      </w:r>
      <w:r w:rsidRPr="00485A95" w:rsidR="00B623DB">
        <w:t xml:space="preserve">apmērā </w:t>
      </w:r>
      <w:r w:rsidRPr="00485A95">
        <w:t>onkoloģijas jom</w:t>
      </w:r>
      <w:r w:rsidRPr="00485A95" w:rsidR="00B623DB">
        <w:t>as reformām</w:t>
      </w:r>
      <w:r w:rsidRPr="00485A95">
        <w:t xml:space="preserve">, lai </w:t>
      </w:r>
      <w:r w:rsidRPr="00485A95">
        <w:rPr>
          <w:color w:val="2A2A2A"/>
        </w:rPr>
        <w:t>uzlabotu onkoloģisko saslimšanu diagnostikas un ārstēšanas pieejamību</w:t>
      </w:r>
      <w:r w:rsidRPr="00485A95" w:rsidR="00B623DB">
        <w:rPr>
          <w:color w:val="2A2A2A"/>
        </w:rPr>
        <w:t xml:space="preserve">. </w:t>
      </w:r>
    </w:p>
    <w:p w:rsidR="00B623DB" w:rsidRPr="00485A95" w:rsidP="00B623DB" w14:paraId="6325B8D3" w14:textId="0B9E4303">
      <w:pPr>
        <w:ind w:firstLine="709"/>
        <w:contextualSpacing/>
        <w:jc w:val="both"/>
      </w:pPr>
      <w:r w:rsidRPr="00485A95">
        <w:t xml:space="preserve">Attiecīgi, lai uzlabotu diagnostisko izmeklējumu kvalitāti </w:t>
      </w:r>
      <w:r w:rsidRPr="00485A95" w:rsidR="002B41D8">
        <w:t>onkoloģisko s</w:t>
      </w:r>
      <w:r w:rsidRPr="00485A95" w:rsidR="008933C7">
        <w:t>limību</w:t>
      </w:r>
      <w:r w:rsidRPr="00485A95" w:rsidR="002B41D8">
        <w:t xml:space="preserve"> </w:t>
      </w:r>
      <w:r w:rsidRPr="00485A95">
        <w:t xml:space="preserve">atklāšanai agrīnās stadijās, tālākai onkoloģiskās aprūpes reformai, atbilstoši </w:t>
      </w:r>
      <w:r w:rsidRPr="00485A95" w:rsidR="000E09B4">
        <w:t>Ministru kabineta 2014.gada 14.oktobra rīkojuma Nr. 589 apstiprinātajā vidēja termiņa attīstības plānošanas dokumentā „Sabiedrības veselības pamatnostādnes 2014.-2020.gadam”</w:t>
      </w:r>
      <w:r>
        <w:rPr>
          <w:rStyle w:val="FootnoteReference"/>
          <w:color w:val="414142"/>
        </w:rPr>
        <w:footnoteReference w:id="3"/>
      </w:r>
      <w:r w:rsidRPr="00485A95" w:rsidR="000E09B4">
        <w:t xml:space="preserve"> </w:t>
      </w:r>
      <w:r w:rsidRPr="00485A95">
        <w:t>noteiktajam prioritārajam virzienam, tika pare</w:t>
      </w:r>
      <w:r w:rsidR="002D1C9F">
        <w:t>dzēti papildus finanšu līdzekļi</w:t>
      </w:r>
      <w:r w:rsidRPr="00485A95">
        <w:t xml:space="preserve">: </w:t>
      </w:r>
    </w:p>
    <w:p w:rsidR="00B623DB" w:rsidRPr="00485A95" w:rsidP="00B623DB" w14:paraId="2C7E2C3E" w14:textId="283F038A">
      <w:pPr>
        <w:pStyle w:val="ListParagraph"/>
        <w:numPr>
          <w:ilvl w:val="0"/>
          <w:numId w:val="7"/>
        </w:numPr>
        <w:jc w:val="both"/>
        <w:rPr>
          <w:sz w:val="24"/>
          <w:szCs w:val="24"/>
          <w:lang w:val="lv-LV"/>
        </w:rPr>
      </w:pPr>
      <w:r w:rsidRPr="00485A95">
        <w:rPr>
          <w:rFonts w:ascii="Times New Roman" w:eastAsia="Times New Roman" w:hAnsi="Times New Roman"/>
          <w:color w:val="000000"/>
          <w:sz w:val="24"/>
          <w:szCs w:val="24"/>
          <w:lang w:val="lv-LV" w:eastAsia="lv-LV"/>
        </w:rPr>
        <w:t xml:space="preserve">Primārās diagnostikas algoritmu ieviešanai </w:t>
      </w:r>
      <w:r w:rsidRPr="00485A95">
        <w:rPr>
          <w:rFonts w:ascii="Times New Roman" w:eastAsia="Times New Roman" w:hAnsi="Times New Roman"/>
          <w:color w:val="000000" w:themeColor="text1"/>
          <w:sz w:val="24"/>
          <w:szCs w:val="24"/>
          <w:lang w:val="lv-LV" w:eastAsia="lv-LV"/>
        </w:rPr>
        <w:t xml:space="preserve">1 499 506 </w:t>
      </w:r>
      <w:r w:rsidRPr="00485A95">
        <w:rPr>
          <w:rFonts w:ascii="Times New Roman" w:eastAsia="Times New Roman" w:hAnsi="Times New Roman"/>
          <w:i/>
          <w:color w:val="000000" w:themeColor="text1"/>
          <w:sz w:val="24"/>
          <w:szCs w:val="24"/>
          <w:lang w:val="lv-LV" w:eastAsia="lv-LV"/>
        </w:rPr>
        <w:t>euro</w:t>
      </w:r>
      <w:r w:rsidRPr="00485A95">
        <w:rPr>
          <w:rFonts w:ascii="Times New Roman" w:eastAsia="Times New Roman" w:hAnsi="Times New Roman"/>
          <w:color w:val="000000" w:themeColor="text1"/>
          <w:sz w:val="24"/>
          <w:szCs w:val="24"/>
          <w:lang w:val="lv-LV" w:eastAsia="lv-LV"/>
        </w:rPr>
        <w:t>;</w:t>
      </w:r>
    </w:p>
    <w:p w:rsidR="00B623DB" w:rsidRPr="00485A95" w:rsidP="00B623DB" w14:paraId="14778533" w14:textId="1B16F8D6">
      <w:pPr>
        <w:pStyle w:val="ListParagraph"/>
        <w:numPr>
          <w:ilvl w:val="0"/>
          <w:numId w:val="7"/>
        </w:numPr>
        <w:jc w:val="both"/>
        <w:rPr>
          <w:sz w:val="24"/>
          <w:szCs w:val="24"/>
          <w:lang w:val="lv-LV"/>
        </w:rPr>
      </w:pPr>
      <w:r w:rsidRPr="00485A95">
        <w:rPr>
          <w:rFonts w:ascii="Times New Roman" w:eastAsia="Times New Roman" w:hAnsi="Times New Roman"/>
          <w:color w:val="000000"/>
          <w:sz w:val="24"/>
          <w:szCs w:val="24"/>
          <w:lang w:val="lv-LV" w:eastAsia="lv-LV"/>
        </w:rPr>
        <w:t xml:space="preserve">Speciālistu konsultāciju izmaksu pieaugums, atbilstoši noteiktajiem algoritmiem </w:t>
      </w:r>
      <w:r w:rsidRPr="00485A95">
        <w:rPr>
          <w:rFonts w:ascii="Times New Roman" w:eastAsia="Times New Roman" w:hAnsi="Times New Roman"/>
          <w:color w:val="000000" w:themeColor="text1"/>
          <w:sz w:val="24"/>
          <w:szCs w:val="24"/>
          <w:lang w:val="lv-LV" w:eastAsia="lv-LV"/>
        </w:rPr>
        <w:t xml:space="preserve">650 278 </w:t>
      </w:r>
      <w:r w:rsidRPr="00485A95">
        <w:rPr>
          <w:rFonts w:ascii="Times New Roman" w:eastAsia="Times New Roman" w:hAnsi="Times New Roman"/>
          <w:i/>
          <w:color w:val="000000" w:themeColor="text1"/>
          <w:sz w:val="24"/>
          <w:szCs w:val="24"/>
          <w:lang w:val="lv-LV" w:eastAsia="lv-LV"/>
        </w:rPr>
        <w:t>euro</w:t>
      </w:r>
      <w:r w:rsidRPr="00485A95">
        <w:rPr>
          <w:rFonts w:ascii="Times New Roman" w:eastAsia="Times New Roman" w:hAnsi="Times New Roman"/>
          <w:color w:val="000000" w:themeColor="text1"/>
          <w:sz w:val="24"/>
          <w:szCs w:val="24"/>
          <w:lang w:val="lv-LV" w:eastAsia="lv-LV"/>
        </w:rPr>
        <w:t>;</w:t>
      </w:r>
    </w:p>
    <w:p w:rsidR="00B623DB" w:rsidRPr="00485A95" w:rsidP="00B623DB" w14:paraId="0AF8943B" w14:textId="4921850D">
      <w:pPr>
        <w:pStyle w:val="ListParagraph"/>
        <w:numPr>
          <w:ilvl w:val="0"/>
          <w:numId w:val="7"/>
        </w:numPr>
        <w:jc w:val="both"/>
        <w:rPr>
          <w:sz w:val="24"/>
          <w:szCs w:val="24"/>
          <w:lang w:val="lv-LV"/>
        </w:rPr>
      </w:pPr>
      <w:r w:rsidRPr="00485A95">
        <w:rPr>
          <w:rFonts w:ascii="Times New Roman" w:eastAsia="Times New Roman" w:hAnsi="Times New Roman"/>
          <w:color w:val="000000"/>
          <w:sz w:val="24"/>
          <w:szCs w:val="24"/>
          <w:lang w:val="lv-LV" w:eastAsia="lv-LV"/>
        </w:rPr>
        <w:t xml:space="preserve">Sekundārās diagnostikas un izmeklēšanas  algoritmu ieviešanai </w:t>
      </w:r>
      <w:r w:rsidRPr="00485A95">
        <w:rPr>
          <w:rFonts w:ascii="Times New Roman" w:eastAsia="Times New Roman" w:hAnsi="Times New Roman"/>
          <w:color w:val="000000" w:themeColor="text1"/>
          <w:sz w:val="24"/>
          <w:szCs w:val="24"/>
          <w:lang w:val="lv-LV" w:eastAsia="lv-LV"/>
        </w:rPr>
        <w:t xml:space="preserve">2 332 565 </w:t>
      </w:r>
      <w:r w:rsidRPr="00485A95">
        <w:rPr>
          <w:rFonts w:ascii="Times New Roman" w:eastAsia="Times New Roman" w:hAnsi="Times New Roman"/>
          <w:i/>
          <w:color w:val="000000" w:themeColor="text1"/>
          <w:sz w:val="24"/>
          <w:szCs w:val="24"/>
          <w:lang w:val="lv-LV" w:eastAsia="lv-LV"/>
        </w:rPr>
        <w:t>euro</w:t>
      </w:r>
      <w:r w:rsidR="009704EF">
        <w:rPr>
          <w:rFonts w:ascii="Times New Roman" w:eastAsia="Times New Roman" w:hAnsi="Times New Roman"/>
          <w:color w:val="000000" w:themeColor="text1"/>
          <w:sz w:val="24"/>
          <w:szCs w:val="24"/>
          <w:lang w:val="lv-LV" w:eastAsia="lv-LV"/>
        </w:rPr>
        <w:t>;</w:t>
      </w:r>
      <w:r w:rsidRPr="00485A95">
        <w:rPr>
          <w:rFonts w:ascii="Times New Roman" w:eastAsia="Times New Roman" w:hAnsi="Times New Roman"/>
          <w:color w:val="000000" w:themeColor="text1"/>
          <w:sz w:val="24"/>
          <w:szCs w:val="24"/>
          <w:lang w:val="lv-LV" w:eastAsia="lv-LV"/>
        </w:rPr>
        <w:t xml:space="preserve"> </w:t>
      </w:r>
    </w:p>
    <w:p w:rsidR="00B623DB" w:rsidRPr="00485A95" w:rsidP="00B623DB" w14:paraId="21744CE1" w14:textId="42EB3FDA">
      <w:pPr>
        <w:pStyle w:val="ListParagraph"/>
        <w:numPr>
          <w:ilvl w:val="0"/>
          <w:numId w:val="7"/>
        </w:numPr>
        <w:jc w:val="both"/>
        <w:rPr>
          <w:sz w:val="24"/>
          <w:szCs w:val="24"/>
          <w:lang w:val="lv-LV"/>
        </w:rPr>
      </w:pPr>
      <w:r w:rsidRPr="00485A95">
        <w:rPr>
          <w:rFonts w:ascii="Times New Roman" w:eastAsia="Times New Roman" w:hAnsi="Times New Roman"/>
          <w:color w:val="000000"/>
          <w:sz w:val="24"/>
          <w:szCs w:val="24"/>
          <w:lang w:val="lv-LV" w:eastAsia="lv-LV"/>
        </w:rPr>
        <w:t>Onkoloģisko pacientu skaita un prognozētās ārstēšanas izmaksu pieaugum</w:t>
      </w:r>
      <w:r w:rsidRPr="00485A95" w:rsidR="00C12656">
        <w:rPr>
          <w:rFonts w:ascii="Times New Roman" w:eastAsia="Times New Roman" w:hAnsi="Times New Roman"/>
          <w:color w:val="000000"/>
          <w:sz w:val="24"/>
          <w:szCs w:val="24"/>
          <w:lang w:val="lv-LV" w:eastAsia="lv-LV"/>
        </w:rPr>
        <w:t>am</w:t>
      </w:r>
      <w:r w:rsidRPr="00485A95">
        <w:rPr>
          <w:rFonts w:ascii="Times New Roman" w:eastAsia="Times New Roman" w:hAnsi="Times New Roman"/>
          <w:color w:val="000000"/>
          <w:sz w:val="24"/>
          <w:szCs w:val="24"/>
          <w:lang w:val="lv-LV" w:eastAsia="lv-LV"/>
        </w:rPr>
        <w:t xml:space="preserve"> ambulatori </w:t>
      </w:r>
      <w:r w:rsidRPr="00485A95">
        <w:rPr>
          <w:rFonts w:ascii="Times New Roman" w:eastAsia="Times New Roman" w:hAnsi="Times New Roman"/>
          <w:color w:val="000000" w:themeColor="text1"/>
          <w:sz w:val="24"/>
          <w:szCs w:val="24"/>
          <w:lang w:val="lv-LV" w:eastAsia="lv-LV"/>
        </w:rPr>
        <w:t xml:space="preserve">1 178 058 </w:t>
      </w:r>
      <w:r w:rsidRPr="00485A95">
        <w:rPr>
          <w:rFonts w:ascii="Times New Roman" w:eastAsia="Times New Roman" w:hAnsi="Times New Roman"/>
          <w:i/>
          <w:color w:val="000000" w:themeColor="text1"/>
          <w:sz w:val="24"/>
          <w:szCs w:val="24"/>
          <w:lang w:val="lv-LV" w:eastAsia="lv-LV"/>
        </w:rPr>
        <w:t>euro</w:t>
      </w:r>
      <w:r w:rsidRPr="00485A95">
        <w:rPr>
          <w:rFonts w:ascii="Times New Roman" w:eastAsia="Times New Roman" w:hAnsi="Times New Roman"/>
          <w:color w:val="000000" w:themeColor="text1"/>
          <w:sz w:val="24"/>
          <w:szCs w:val="24"/>
          <w:lang w:val="lv-LV" w:eastAsia="lv-LV"/>
        </w:rPr>
        <w:t>;</w:t>
      </w:r>
    </w:p>
    <w:p w:rsidR="00B623DB" w:rsidRPr="00485A95" w:rsidP="00B623DB" w14:paraId="044643A1" w14:textId="55FD63FD">
      <w:pPr>
        <w:pStyle w:val="ListParagraph"/>
        <w:numPr>
          <w:ilvl w:val="0"/>
          <w:numId w:val="7"/>
        </w:numPr>
        <w:jc w:val="both"/>
        <w:rPr>
          <w:sz w:val="24"/>
          <w:szCs w:val="24"/>
          <w:lang w:val="lv-LV"/>
        </w:rPr>
      </w:pPr>
      <w:r w:rsidRPr="00485A95">
        <w:rPr>
          <w:rFonts w:ascii="Times New Roman" w:eastAsia="Times New Roman" w:hAnsi="Times New Roman"/>
          <w:color w:val="000000"/>
          <w:sz w:val="24"/>
          <w:szCs w:val="24"/>
          <w:lang w:val="lv-LV" w:eastAsia="lv-LV"/>
        </w:rPr>
        <w:t>Onkoloģisko pacientu skaita un prognozētās ārstēšanas izmaksu pieaugum</w:t>
      </w:r>
      <w:r w:rsidRPr="00485A95" w:rsidR="00C12656">
        <w:rPr>
          <w:rFonts w:ascii="Times New Roman" w:eastAsia="Times New Roman" w:hAnsi="Times New Roman"/>
          <w:color w:val="000000"/>
          <w:sz w:val="24"/>
          <w:szCs w:val="24"/>
          <w:lang w:val="lv-LV" w:eastAsia="lv-LV"/>
        </w:rPr>
        <w:t>am</w:t>
      </w:r>
      <w:r w:rsidRPr="00485A95">
        <w:rPr>
          <w:rFonts w:ascii="Times New Roman" w:eastAsia="Times New Roman" w:hAnsi="Times New Roman"/>
          <w:color w:val="000000"/>
          <w:sz w:val="24"/>
          <w:szCs w:val="24"/>
          <w:lang w:val="lv-LV" w:eastAsia="lv-LV"/>
        </w:rPr>
        <w:t xml:space="preserve"> stacionārā </w:t>
      </w:r>
      <w:r w:rsidRPr="00485A95">
        <w:rPr>
          <w:rFonts w:ascii="Times New Roman" w:eastAsia="Times New Roman" w:hAnsi="Times New Roman"/>
          <w:color w:val="000000" w:themeColor="text1"/>
          <w:sz w:val="24"/>
          <w:szCs w:val="24"/>
          <w:lang w:val="lv-LV" w:eastAsia="lv-LV"/>
        </w:rPr>
        <w:t xml:space="preserve">2 463 058 </w:t>
      </w:r>
      <w:r w:rsidRPr="00485A95">
        <w:rPr>
          <w:rFonts w:ascii="Times New Roman" w:eastAsia="Times New Roman" w:hAnsi="Times New Roman"/>
          <w:i/>
          <w:color w:val="000000" w:themeColor="text1"/>
          <w:sz w:val="24"/>
          <w:szCs w:val="24"/>
          <w:lang w:val="lv-LV" w:eastAsia="lv-LV"/>
        </w:rPr>
        <w:t>euro</w:t>
      </w:r>
      <w:r w:rsidRPr="00485A95">
        <w:rPr>
          <w:rFonts w:ascii="Times New Roman" w:eastAsia="Times New Roman" w:hAnsi="Times New Roman"/>
          <w:color w:val="000000" w:themeColor="text1"/>
          <w:sz w:val="24"/>
          <w:szCs w:val="24"/>
          <w:lang w:val="lv-LV" w:eastAsia="lv-LV"/>
        </w:rPr>
        <w:t>;</w:t>
      </w:r>
    </w:p>
    <w:p w:rsidR="00FF42C2" w:rsidRPr="00A97499" w:rsidP="000E09B4" w14:paraId="63A502F2" w14:textId="3F1F6C58">
      <w:pPr>
        <w:pStyle w:val="ListParagraph"/>
        <w:numPr>
          <w:ilvl w:val="0"/>
          <w:numId w:val="7"/>
        </w:numPr>
        <w:jc w:val="both"/>
        <w:rPr>
          <w:sz w:val="24"/>
          <w:szCs w:val="24"/>
          <w:lang w:val="lv-LV"/>
        </w:rPr>
      </w:pPr>
      <w:r w:rsidRPr="00485A95">
        <w:rPr>
          <w:rFonts w:ascii="Times New Roman" w:eastAsia="Times New Roman" w:hAnsi="Times New Roman"/>
          <w:color w:val="000000"/>
          <w:sz w:val="24"/>
          <w:szCs w:val="24"/>
          <w:lang w:val="lv-LV" w:eastAsia="lv-LV"/>
        </w:rPr>
        <w:t xml:space="preserve">Kompensējamos medikamentus saņēmušo pacientu </w:t>
      </w:r>
      <w:r w:rsidRPr="00485A95" w:rsidR="002B41D8">
        <w:rPr>
          <w:rFonts w:ascii="Times New Roman" w:eastAsia="Times New Roman" w:hAnsi="Times New Roman"/>
          <w:color w:val="000000"/>
          <w:sz w:val="24"/>
          <w:szCs w:val="24"/>
          <w:lang w:val="lv-LV" w:eastAsia="lv-LV"/>
        </w:rPr>
        <w:t xml:space="preserve">skaita </w:t>
      </w:r>
      <w:r w:rsidRPr="00485A95">
        <w:rPr>
          <w:rFonts w:ascii="Times New Roman" w:eastAsia="Times New Roman" w:hAnsi="Times New Roman"/>
          <w:color w:val="000000"/>
          <w:sz w:val="24"/>
          <w:szCs w:val="24"/>
          <w:lang w:val="lv-LV" w:eastAsia="lv-LV"/>
        </w:rPr>
        <w:t>un līdzekļu pieaugum</w:t>
      </w:r>
      <w:r w:rsidRPr="00485A95" w:rsidR="00C12656">
        <w:rPr>
          <w:rFonts w:ascii="Times New Roman" w:eastAsia="Times New Roman" w:hAnsi="Times New Roman"/>
          <w:color w:val="000000"/>
          <w:sz w:val="24"/>
          <w:szCs w:val="24"/>
          <w:lang w:val="lv-LV" w:eastAsia="lv-LV"/>
        </w:rPr>
        <w:t>am</w:t>
      </w:r>
      <w:r w:rsidR="00485A95">
        <w:rPr>
          <w:rFonts w:ascii="Times New Roman" w:eastAsia="Times New Roman" w:hAnsi="Times New Roman"/>
          <w:color w:val="000000"/>
          <w:sz w:val="24"/>
          <w:szCs w:val="24"/>
          <w:lang w:val="lv-LV" w:eastAsia="lv-LV"/>
        </w:rPr>
        <w:t xml:space="preserve"> </w:t>
      </w:r>
      <w:r w:rsidRPr="00485A95">
        <w:rPr>
          <w:rFonts w:ascii="Times New Roman" w:eastAsia="Times New Roman" w:hAnsi="Times New Roman"/>
          <w:color w:val="000000"/>
          <w:sz w:val="24"/>
          <w:szCs w:val="24"/>
          <w:lang w:val="lv-LV" w:eastAsia="lv-LV"/>
        </w:rPr>
        <w:t xml:space="preserve">onkoloģijā </w:t>
      </w:r>
      <w:r w:rsidRPr="00485A95">
        <w:rPr>
          <w:rFonts w:ascii="Times New Roman" w:eastAsia="Times New Roman" w:hAnsi="Times New Roman"/>
          <w:color w:val="000000" w:themeColor="text1"/>
          <w:sz w:val="24"/>
          <w:szCs w:val="24"/>
          <w:lang w:val="lv-LV" w:eastAsia="lv-LV"/>
        </w:rPr>
        <w:t xml:space="preserve">4 138 795 </w:t>
      </w:r>
      <w:r w:rsidRPr="00485A95">
        <w:rPr>
          <w:rFonts w:ascii="Times New Roman" w:eastAsia="Times New Roman" w:hAnsi="Times New Roman"/>
          <w:i/>
          <w:color w:val="000000" w:themeColor="text1"/>
          <w:sz w:val="24"/>
          <w:szCs w:val="24"/>
          <w:lang w:val="lv-LV" w:eastAsia="lv-LV"/>
        </w:rPr>
        <w:t>euro</w:t>
      </w:r>
      <w:r w:rsidRPr="00485A95">
        <w:rPr>
          <w:rFonts w:ascii="Times New Roman" w:eastAsia="Times New Roman" w:hAnsi="Times New Roman"/>
          <w:color w:val="000000" w:themeColor="text1"/>
          <w:sz w:val="24"/>
          <w:szCs w:val="24"/>
          <w:lang w:val="lv-LV" w:eastAsia="lv-LV"/>
        </w:rPr>
        <w:t xml:space="preserve">. </w:t>
      </w:r>
    </w:p>
    <w:p w:rsidR="003F1488" w:rsidP="00A97499" w14:paraId="0609D6E3" w14:textId="709687A7">
      <w:pPr>
        <w:pStyle w:val="BodyText2"/>
        <w:tabs>
          <w:tab w:val="left" w:pos="-5387"/>
          <w:tab w:val="left" w:pos="709"/>
        </w:tabs>
        <w:spacing w:after="0" w:line="240" w:lineRule="auto"/>
        <w:jc w:val="both"/>
        <w:rPr>
          <w:szCs w:val="28"/>
        </w:rPr>
      </w:pPr>
      <w:r>
        <w:tab/>
      </w:r>
      <w:r w:rsidRPr="00D93EBF">
        <w:t>Pamatojoties uz veselības reformas pasākumu īstenošanas progresu veselīb</w:t>
      </w:r>
      <w:r>
        <w:t xml:space="preserve">as aprūpē 2017.gada 1.pusgadā </w:t>
      </w:r>
      <w:r w:rsidR="00155FF4">
        <w:t>tika</w:t>
      </w:r>
      <w:r w:rsidRPr="00D93EBF">
        <w:t xml:space="preserve"> veikt</w:t>
      </w:r>
      <w:r w:rsidR="00155FF4">
        <w:t>a</w:t>
      </w:r>
      <w:r w:rsidRPr="00D93EBF">
        <w:t xml:space="preserve"> vienreizēj</w:t>
      </w:r>
      <w:r w:rsidR="00155FF4">
        <w:t>a</w:t>
      </w:r>
      <w:r w:rsidRPr="00D93EBF">
        <w:t xml:space="preserve"> apropriācija</w:t>
      </w:r>
      <w:r w:rsidR="00155FF4">
        <w:t>s</w:t>
      </w:r>
      <w:r w:rsidRPr="00D93EBF">
        <w:t xml:space="preserve"> pārdal</w:t>
      </w:r>
      <w:r w:rsidR="00155FF4">
        <w:t>e</w:t>
      </w:r>
      <w:r w:rsidRPr="00D93EBF">
        <w:t xml:space="preserve"> 2017.gadā </w:t>
      </w:r>
      <w:r w:rsidRPr="00D93EBF">
        <w:rPr>
          <w:szCs w:val="28"/>
        </w:rPr>
        <w:t>Veselības ministrijas budžeta programmas 33.00.00 “Veselības aprūpes nodrošināšana” ietvaros, apakšprogrammā 33.16.00 “Pārējo ambulatoro veselības aprūpes pakalpojumu nodrošināšana” samazinot dotāciju no vispārējiem ieņēmumiem un izdevu</w:t>
      </w:r>
      <w:r w:rsidR="00F90ED9">
        <w:rPr>
          <w:szCs w:val="28"/>
        </w:rPr>
        <w:t>mus subsīdijām un dotācijām 839 </w:t>
      </w:r>
      <w:r w:rsidRPr="00D93EBF">
        <w:rPr>
          <w:szCs w:val="28"/>
        </w:rPr>
        <w:t xml:space="preserve">621 </w:t>
      </w:r>
      <w:r w:rsidRPr="00D93EBF">
        <w:rPr>
          <w:i/>
          <w:szCs w:val="28"/>
        </w:rPr>
        <w:t>euro</w:t>
      </w:r>
      <w:r w:rsidRPr="00D93EBF">
        <w:rPr>
          <w:szCs w:val="28"/>
        </w:rPr>
        <w:t xml:space="preserve"> apmērā un attiecīgi  apakšprogrammā 33.03.00 “Kompensējamo medikamentu un materiālu apmaksāšana” palielinot dotāciju no vispārējiem ieņēmumiem un izdevumus subsīdijām un dotācijām, lai Eiropas Komisijas pieļautās budžeta deficīta veselības aprūpes reformas ietvaros nodrošinātu kompensējamos medikamentus onkoloģiskajiem pacientiem.</w:t>
      </w:r>
      <w:r>
        <w:rPr>
          <w:szCs w:val="28"/>
        </w:rPr>
        <w:t xml:space="preserve"> Līdz ar to 2017.gadā atbilstoši noteiktajam prioritārajam virzienam, tika paredzēti papildus finanšu līdzekļi šādā apmērā:</w:t>
      </w:r>
    </w:p>
    <w:p w:rsidR="003F1488" w:rsidRPr="00485A95" w:rsidP="003F1488" w14:paraId="3B1432D5" w14:textId="0587A4F5">
      <w:pPr>
        <w:pStyle w:val="ListParagraph"/>
        <w:numPr>
          <w:ilvl w:val="0"/>
          <w:numId w:val="7"/>
        </w:numPr>
        <w:jc w:val="both"/>
        <w:rPr>
          <w:sz w:val="24"/>
          <w:szCs w:val="24"/>
          <w:lang w:val="lv-LV"/>
        </w:rPr>
      </w:pPr>
      <w:r w:rsidRPr="00485A95">
        <w:rPr>
          <w:rFonts w:ascii="Times New Roman" w:eastAsia="Times New Roman" w:hAnsi="Times New Roman"/>
          <w:color w:val="000000"/>
          <w:sz w:val="24"/>
          <w:szCs w:val="24"/>
          <w:lang w:val="lv-LV" w:eastAsia="lv-LV"/>
        </w:rPr>
        <w:t xml:space="preserve">Primārās diagnostikas algoritmu ieviešanai </w:t>
      </w:r>
      <w:r>
        <w:rPr>
          <w:rFonts w:ascii="Times New Roman" w:eastAsia="Times New Roman" w:hAnsi="Times New Roman"/>
          <w:color w:val="000000"/>
          <w:sz w:val="24"/>
          <w:szCs w:val="24"/>
          <w:lang w:val="lv-LV" w:eastAsia="lv-LV"/>
        </w:rPr>
        <w:t>659 885</w:t>
      </w:r>
      <w:r w:rsidRPr="00485A95">
        <w:rPr>
          <w:rFonts w:ascii="Times New Roman" w:eastAsia="Times New Roman" w:hAnsi="Times New Roman"/>
          <w:color w:val="000000" w:themeColor="text1"/>
          <w:sz w:val="24"/>
          <w:szCs w:val="24"/>
          <w:lang w:val="lv-LV" w:eastAsia="lv-LV"/>
        </w:rPr>
        <w:t xml:space="preserve"> </w:t>
      </w:r>
      <w:r w:rsidRPr="00485A95">
        <w:rPr>
          <w:rFonts w:ascii="Times New Roman" w:eastAsia="Times New Roman" w:hAnsi="Times New Roman"/>
          <w:i/>
          <w:color w:val="000000" w:themeColor="text1"/>
          <w:sz w:val="24"/>
          <w:szCs w:val="24"/>
          <w:lang w:val="lv-LV" w:eastAsia="lv-LV"/>
        </w:rPr>
        <w:t>euro</w:t>
      </w:r>
      <w:r w:rsidRPr="00485A95">
        <w:rPr>
          <w:rFonts w:ascii="Times New Roman" w:eastAsia="Times New Roman" w:hAnsi="Times New Roman"/>
          <w:color w:val="000000" w:themeColor="text1"/>
          <w:sz w:val="24"/>
          <w:szCs w:val="24"/>
          <w:lang w:val="lv-LV" w:eastAsia="lv-LV"/>
        </w:rPr>
        <w:t>;</w:t>
      </w:r>
    </w:p>
    <w:p w:rsidR="003F1488" w:rsidRPr="00485A95" w:rsidP="003F1488" w14:paraId="10EEED0C" w14:textId="77777777">
      <w:pPr>
        <w:pStyle w:val="ListParagraph"/>
        <w:numPr>
          <w:ilvl w:val="0"/>
          <w:numId w:val="7"/>
        </w:numPr>
        <w:jc w:val="both"/>
        <w:rPr>
          <w:sz w:val="24"/>
          <w:szCs w:val="24"/>
          <w:lang w:val="lv-LV"/>
        </w:rPr>
      </w:pPr>
      <w:r w:rsidRPr="00485A95">
        <w:rPr>
          <w:rFonts w:ascii="Times New Roman" w:eastAsia="Times New Roman" w:hAnsi="Times New Roman"/>
          <w:color w:val="000000"/>
          <w:sz w:val="24"/>
          <w:szCs w:val="24"/>
          <w:lang w:val="lv-LV" w:eastAsia="lv-LV"/>
        </w:rPr>
        <w:t xml:space="preserve">Speciālistu konsultāciju izmaksu pieaugums, atbilstoši noteiktajiem algoritmiem </w:t>
      </w:r>
      <w:r w:rsidRPr="00485A95">
        <w:rPr>
          <w:rFonts w:ascii="Times New Roman" w:eastAsia="Times New Roman" w:hAnsi="Times New Roman"/>
          <w:color w:val="000000" w:themeColor="text1"/>
          <w:sz w:val="24"/>
          <w:szCs w:val="24"/>
          <w:lang w:val="lv-LV" w:eastAsia="lv-LV"/>
        </w:rPr>
        <w:t xml:space="preserve">650 278 </w:t>
      </w:r>
      <w:r w:rsidRPr="00485A95">
        <w:rPr>
          <w:rFonts w:ascii="Times New Roman" w:eastAsia="Times New Roman" w:hAnsi="Times New Roman"/>
          <w:i/>
          <w:color w:val="000000" w:themeColor="text1"/>
          <w:sz w:val="24"/>
          <w:szCs w:val="24"/>
          <w:lang w:val="lv-LV" w:eastAsia="lv-LV"/>
        </w:rPr>
        <w:t>euro</w:t>
      </w:r>
      <w:r w:rsidRPr="00485A95">
        <w:rPr>
          <w:rFonts w:ascii="Times New Roman" w:eastAsia="Times New Roman" w:hAnsi="Times New Roman"/>
          <w:color w:val="000000" w:themeColor="text1"/>
          <w:sz w:val="24"/>
          <w:szCs w:val="24"/>
          <w:lang w:val="lv-LV" w:eastAsia="lv-LV"/>
        </w:rPr>
        <w:t>;</w:t>
      </w:r>
    </w:p>
    <w:p w:rsidR="003F1488" w:rsidRPr="00485A95" w:rsidP="003F1488" w14:paraId="3908ACC4" w14:textId="77777777">
      <w:pPr>
        <w:pStyle w:val="ListParagraph"/>
        <w:numPr>
          <w:ilvl w:val="0"/>
          <w:numId w:val="7"/>
        </w:numPr>
        <w:jc w:val="both"/>
        <w:rPr>
          <w:sz w:val="24"/>
          <w:szCs w:val="24"/>
          <w:lang w:val="lv-LV"/>
        </w:rPr>
      </w:pPr>
      <w:r w:rsidRPr="00485A95">
        <w:rPr>
          <w:rFonts w:ascii="Times New Roman" w:eastAsia="Times New Roman" w:hAnsi="Times New Roman"/>
          <w:color w:val="000000"/>
          <w:sz w:val="24"/>
          <w:szCs w:val="24"/>
          <w:lang w:val="lv-LV" w:eastAsia="lv-LV"/>
        </w:rPr>
        <w:t xml:space="preserve">Sekundārās diagnostikas un izmeklēšanas  algoritmu ieviešanai </w:t>
      </w:r>
      <w:r w:rsidRPr="00485A95">
        <w:rPr>
          <w:rFonts w:ascii="Times New Roman" w:eastAsia="Times New Roman" w:hAnsi="Times New Roman"/>
          <w:color w:val="000000" w:themeColor="text1"/>
          <w:sz w:val="24"/>
          <w:szCs w:val="24"/>
          <w:lang w:val="lv-LV" w:eastAsia="lv-LV"/>
        </w:rPr>
        <w:t xml:space="preserve">2 332 565 </w:t>
      </w:r>
      <w:r w:rsidRPr="00485A95">
        <w:rPr>
          <w:rFonts w:ascii="Times New Roman" w:eastAsia="Times New Roman" w:hAnsi="Times New Roman"/>
          <w:i/>
          <w:color w:val="000000" w:themeColor="text1"/>
          <w:sz w:val="24"/>
          <w:szCs w:val="24"/>
          <w:lang w:val="lv-LV" w:eastAsia="lv-LV"/>
        </w:rPr>
        <w:t>euro</w:t>
      </w:r>
      <w:r w:rsidRPr="00485A95">
        <w:rPr>
          <w:rFonts w:ascii="Times New Roman" w:eastAsia="Times New Roman" w:hAnsi="Times New Roman"/>
          <w:color w:val="000000" w:themeColor="text1"/>
          <w:sz w:val="24"/>
          <w:szCs w:val="24"/>
          <w:lang w:val="lv-LV" w:eastAsia="lv-LV"/>
        </w:rPr>
        <w:t xml:space="preserve">, </w:t>
      </w:r>
    </w:p>
    <w:p w:rsidR="003F1488" w:rsidRPr="00485A95" w:rsidP="003F1488" w14:paraId="1CD8B904" w14:textId="77777777">
      <w:pPr>
        <w:pStyle w:val="ListParagraph"/>
        <w:numPr>
          <w:ilvl w:val="0"/>
          <w:numId w:val="7"/>
        </w:numPr>
        <w:jc w:val="both"/>
        <w:rPr>
          <w:sz w:val="24"/>
          <w:szCs w:val="24"/>
          <w:lang w:val="lv-LV"/>
        </w:rPr>
      </w:pPr>
      <w:r w:rsidRPr="00485A95">
        <w:rPr>
          <w:rFonts w:ascii="Times New Roman" w:eastAsia="Times New Roman" w:hAnsi="Times New Roman"/>
          <w:color w:val="000000"/>
          <w:sz w:val="24"/>
          <w:szCs w:val="24"/>
          <w:lang w:val="lv-LV" w:eastAsia="lv-LV"/>
        </w:rPr>
        <w:t xml:space="preserve">Onkoloģisko pacientu skaita un prognozētās ārstēšanas izmaksu pieaugumam ambulatori </w:t>
      </w:r>
      <w:r w:rsidRPr="00485A95">
        <w:rPr>
          <w:rFonts w:ascii="Times New Roman" w:eastAsia="Times New Roman" w:hAnsi="Times New Roman"/>
          <w:color w:val="000000" w:themeColor="text1"/>
          <w:sz w:val="24"/>
          <w:szCs w:val="24"/>
          <w:lang w:val="lv-LV" w:eastAsia="lv-LV"/>
        </w:rPr>
        <w:t xml:space="preserve">1 178 058 </w:t>
      </w:r>
      <w:r w:rsidRPr="00485A95">
        <w:rPr>
          <w:rFonts w:ascii="Times New Roman" w:eastAsia="Times New Roman" w:hAnsi="Times New Roman"/>
          <w:i/>
          <w:color w:val="000000" w:themeColor="text1"/>
          <w:sz w:val="24"/>
          <w:szCs w:val="24"/>
          <w:lang w:val="lv-LV" w:eastAsia="lv-LV"/>
        </w:rPr>
        <w:t>euro</w:t>
      </w:r>
      <w:r w:rsidRPr="00485A95">
        <w:rPr>
          <w:rFonts w:ascii="Times New Roman" w:eastAsia="Times New Roman" w:hAnsi="Times New Roman"/>
          <w:color w:val="000000" w:themeColor="text1"/>
          <w:sz w:val="24"/>
          <w:szCs w:val="24"/>
          <w:lang w:val="lv-LV" w:eastAsia="lv-LV"/>
        </w:rPr>
        <w:t>;</w:t>
      </w:r>
    </w:p>
    <w:p w:rsidR="003F1488" w:rsidRPr="00485A95" w:rsidP="003F1488" w14:paraId="413E91D0" w14:textId="77777777">
      <w:pPr>
        <w:pStyle w:val="ListParagraph"/>
        <w:numPr>
          <w:ilvl w:val="0"/>
          <w:numId w:val="7"/>
        </w:numPr>
        <w:jc w:val="both"/>
        <w:rPr>
          <w:sz w:val="24"/>
          <w:szCs w:val="24"/>
          <w:lang w:val="lv-LV"/>
        </w:rPr>
      </w:pPr>
      <w:r w:rsidRPr="00485A95">
        <w:rPr>
          <w:rFonts w:ascii="Times New Roman" w:eastAsia="Times New Roman" w:hAnsi="Times New Roman"/>
          <w:color w:val="000000"/>
          <w:sz w:val="24"/>
          <w:szCs w:val="24"/>
          <w:lang w:val="lv-LV" w:eastAsia="lv-LV"/>
        </w:rPr>
        <w:t xml:space="preserve">Onkoloģisko pacientu skaita un prognozētās ārstēšanas izmaksu pieaugumam stacionārā </w:t>
      </w:r>
      <w:r w:rsidRPr="00485A95">
        <w:rPr>
          <w:rFonts w:ascii="Times New Roman" w:eastAsia="Times New Roman" w:hAnsi="Times New Roman"/>
          <w:color w:val="000000" w:themeColor="text1"/>
          <w:sz w:val="24"/>
          <w:szCs w:val="24"/>
          <w:lang w:val="lv-LV" w:eastAsia="lv-LV"/>
        </w:rPr>
        <w:t xml:space="preserve">2 463 058 </w:t>
      </w:r>
      <w:r w:rsidRPr="00485A95">
        <w:rPr>
          <w:rFonts w:ascii="Times New Roman" w:eastAsia="Times New Roman" w:hAnsi="Times New Roman"/>
          <w:i/>
          <w:color w:val="000000" w:themeColor="text1"/>
          <w:sz w:val="24"/>
          <w:szCs w:val="24"/>
          <w:lang w:val="lv-LV" w:eastAsia="lv-LV"/>
        </w:rPr>
        <w:t>euro</w:t>
      </w:r>
      <w:r w:rsidRPr="00485A95">
        <w:rPr>
          <w:rFonts w:ascii="Times New Roman" w:eastAsia="Times New Roman" w:hAnsi="Times New Roman"/>
          <w:color w:val="000000" w:themeColor="text1"/>
          <w:sz w:val="24"/>
          <w:szCs w:val="24"/>
          <w:lang w:val="lv-LV" w:eastAsia="lv-LV"/>
        </w:rPr>
        <w:t>;</w:t>
      </w:r>
    </w:p>
    <w:p w:rsidR="003F1488" w:rsidRPr="0094461C" w:rsidP="003F1488" w14:paraId="186CBDB8" w14:textId="29BFFB90">
      <w:pPr>
        <w:pStyle w:val="ListParagraph"/>
        <w:numPr>
          <w:ilvl w:val="0"/>
          <w:numId w:val="7"/>
        </w:numPr>
        <w:jc w:val="both"/>
        <w:rPr>
          <w:sz w:val="24"/>
          <w:szCs w:val="24"/>
          <w:lang w:val="lv-LV"/>
        </w:rPr>
      </w:pPr>
      <w:r w:rsidRPr="00485A95">
        <w:rPr>
          <w:rFonts w:ascii="Times New Roman" w:eastAsia="Times New Roman" w:hAnsi="Times New Roman"/>
          <w:color w:val="000000"/>
          <w:sz w:val="24"/>
          <w:szCs w:val="24"/>
          <w:lang w:val="lv-LV" w:eastAsia="lv-LV"/>
        </w:rPr>
        <w:t>Kompensējamos medikamentus saņēmušo pacientu skaita un līdzekļu pieaugumam</w:t>
      </w:r>
      <w:r>
        <w:rPr>
          <w:rFonts w:ascii="Times New Roman" w:eastAsia="Times New Roman" w:hAnsi="Times New Roman"/>
          <w:color w:val="000000"/>
          <w:sz w:val="24"/>
          <w:szCs w:val="24"/>
          <w:lang w:val="lv-LV" w:eastAsia="lv-LV"/>
        </w:rPr>
        <w:t xml:space="preserve"> </w:t>
      </w:r>
      <w:r w:rsidRPr="00485A95">
        <w:rPr>
          <w:rFonts w:ascii="Times New Roman" w:eastAsia="Times New Roman" w:hAnsi="Times New Roman"/>
          <w:color w:val="000000"/>
          <w:sz w:val="24"/>
          <w:szCs w:val="24"/>
          <w:lang w:val="lv-LV" w:eastAsia="lv-LV"/>
        </w:rPr>
        <w:t xml:space="preserve">onkoloģijā </w:t>
      </w:r>
      <w:r w:rsidRPr="00485A95">
        <w:rPr>
          <w:rFonts w:ascii="Times New Roman" w:eastAsia="Times New Roman" w:hAnsi="Times New Roman"/>
          <w:color w:val="000000" w:themeColor="text1"/>
          <w:sz w:val="24"/>
          <w:szCs w:val="24"/>
          <w:lang w:val="lv-LV" w:eastAsia="lv-LV"/>
        </w:rPr>
        <w:t>4</w:t>
      </w:r>
      <w:r w:rsidR="00E96DA7">
        <w:rPr>
          <w:rFonts w:ascii="Times New Roman" w:eastAsia="Times New Roman" w:hAnsi="Times New Roman"/>
          <w:color w:val="000000" w:themeColor="text1"/>
          <w:sz w:val="24"/>
          <w:szCs w:val="24"/>
          <w:lang w:val="lv-LV" w:eastAsia="lv-LV"/>
        </w:rPr>
        <w:t> 978 416</w:t>
      </w:r>
      <w:r w:rsidRPr="00485A95">
        <w:rPr>
          <w:rFonts w:ascii="Times New Roman" w:eastAsia="Times New Roman" w:hAnsi="Times New Roman"/>
          <w:color w:val="000000" w:themeColor="text1"/>
          <w:sz w:val="24"/>
          <w:szCs w:val="24"/>
          <w:lang w:val="lv-LV" w:eastAsia="lv-LV"/>
        </w:rPr>
        <w:t xml:space="preserve"> </w:t>
      </w:r>
      <w:r w:rsidRPr="00485A95">
        <w:rPr>
          <w:rFonts w:ascii="Times New Roman" w:eastAsia="Times New Roman" w:hAnsi="Times New Roman"/>
          <w:i/>
          <w:color w:val="000000" w:themeColor="text1"/>
          <w:sz w:val="24"/>
          <w:szCs w:val="24"/>
          <w:lang w:val="lv-LV" w:eastAsia="lv-LV"/>
        </w:rPr>
        <w:t>euro</w:t>
      </w:r>
      <w:r w:rsidRPr="00485A95">
        <w:rPr>
          <w:rFonts w:ascii="Times New Roman" w:eastAsia="Times New Roman" w:hAnsi="Times New Roman"/>
          <w:color w:val="000000" w:themeColor="text1"/>
          <w:sz w:val="24"/>
          <w:szCs w:val="24"/>
          <w:lang w:val="lv-LV" w:eastAsia="lv-LV"/>
        </w:rPr>
        <w:t xml:space="preserve">. </w:t>
      </w:r>
    </w:p>
    <w:p w:rsidR="003F1488" w:rsidRPr="00C71BC0" w:rsidP="00D7513D" w14:paraId="338C461C" w14:textId="08F18128">
      <w:pPr>
        <w:jc w:val="both"/>
      </w:pPr>
    </w:p>
    <w:p w:rsidR="000E09B4" w:rsidRPr="00485A95" w:rsidP="00B90904" w14:paraId="104EC5C4" w14:textId="74D2DE9F">
      <w:pPr>
        <w:ind w:firstLine="720"/>
        <w:jc w:val="both"/>
        <w:rPr>
          <w:color w:val="2A2A2A"/>
        </w:rPr>
      </w:pPr>
      <w:r w:rsidRPr="00485A95">
        <w:t>Ar</w:t>
      </w:r>
      <w:r w:rsidRPr="00485A95" w:rsidR="00DB7296">
        <w:t xml:space="preserve"> Ministru kabineta 2017.gada 14.februāra sēdes protokola Nr.7 45§ 1.un 5</w:t>
      </w:r>
      <w:r w:rsidRPr="00485A95" w:rsidR="00572EC7">
        <w:t>.</w:t>
      </w:r>
      <w:r w:rsidRPr="00485A95" w:rsidR="00DB7296">
        <w:t>pu</w:t>
      </w:r>
      <w:r w:rsidRPr="00485A95">
        <w:t>nktu</w:t>
      </w:r>
      <w:r w:rsidRPr="00485A95" w:rsidR="002461FF">
        <w:t>,</w:t>
      </w:r>
      <w:r w:rsidRPr="00485A95" w:rsidR="00DB7296">
        <w:t xml:space="preserve"> Veselības ministrijai 2017.gadā </w:t>
      </w:r>
      <w:r w:rsidRPr="00485A95">
        <w:rPr>
          <w:color w:val="2A2A2A"/>
        </w:rPr>
        <w:t xml:space="preserve">no budžeta resora "74.Gadskārtējā valsts budžeta izpildes procesā pārdalāmais finansējums" 08.00.00 programmas "Veselības aprūpes sistēmas reformas ieviešanas finansējums" rezervētā finansējuma </w:t>
      </w:r>
      <w:r w:rsidRPr="00485A95" w:rsidR="00DB7296">
        <w:t xml:space="preserve">piešķirts finansējums </w:t>
      </w:r>
      <w:r w:rsidRPr="00485A95">
        <w:t>22</w:t>
      </w:r>
      <w:r w:rsidR="00F90ED9">
        <w:t> </w:t>
      </w:r>
      <w:r w:rsidRPr="00485A95">
        <w:t>062</w:t>
      </w:r>
      <w:r w:rsidR="00F90ED9">
        <w:t> </w:t>
      </w:r>
      <w:r w:rsidRPr="00485A95">
        <w:t xml:space="preserve">190 </w:t>
      </w:r>
      <w:r w:rsidRPr="00485A95">
        <w:rPr>
          <w:i/>
        </w:rPr>
        <w:t>euro</w:t>
      </w:r>
      <w:r w:rsidRPr="00485A95">
        <w:t xml:space="preserve"> reformām veselības aprūpē, lai </w:t>
      </w:r>
      <w:r w:rsidRPr="00485A95">
        <w:rPr>
          <w:color w:val="2A2A2A"/>
        </w:rPr>
        <w:t xml:space="preserve">veiktu nepieciešamās reformas rindu mazināšanai pie speciālistiem, uz diagnostiskajiem izmeklējumiem, dienas stacionārā un ambulatorajā rehabilitācijā un reformām valsts kompensējamo medikamentu nodrošinājumam </w:t>
      </w:r>
      <w:r w:rsidRPr="00485A95" w:rsidR="002B41D8">
        <w:rPr>
          <w:color w:val="2A2A2A"/>
        </w:rPr>
        <w:t xml:space="preserve">hroniska C Hepatīta (turpmāk – </w:t>
      </w:r>
      <w:r w:rsidRPr="00485A95">
        <w:rPr>
          <w:color w:val="2A2A2A"/>
        </w:rPr>
        <w:t>VHC</w:t>
      </w:r>
      <w:r w:rsidRPr="00485A95" w:rsidR="002B41D8">
        <w:rPr>
          <w:color w:val="2A2A2A"/>
        </w:rPr>
        <w:t>)</w:t>
      </w:r>
      <w:r w:rsidRPr="00485A95">
        <w:rPr>
          <w:color w:val="2A2A2A"/>
        </w:rPr>
        <w:t xml:space="preserve"> pacientiem F3-F4</w:t>
      </w:r>
      <w:r w:rsidRPr="00485A95" w:rsidR="002B41D8">
        <w:rPr>
          <w:color w:val="2A2A2A"/>
        </w:rPr>
        <w:t xml:space="preserve"> aknu šūnu bojājuma</w:t>
      </w:r>
      <w:r w:rsidRPr="00485A95">
        <w:rPr>
          <w:color w:val="2A2A2A"/>
        </w:rPr>
        <w:t xml:space="preserve"> stadijā</w:t>
      </w:r>
      <w:r w:rsidRPr="00485A95" w:rsidR="002B41D8">
        <w:rPr>
          <w:color w:val="2A2A2A"/>
        </w:rPr>
        <w:t>, kad ārstēšana jāuzsāk nekavējoties</w:t>
      </w:r>
      <w:r w:rsidRPr="00485A95">
        <w:rPr>
          <w:color w:val="2A2A2A"/>
        </w:rPr>
        <w:t xml:space="preserve">. </w:t>
      </w:r>
    </w:p>
    <w:p w:rsidR="00D236D9" w:rsidRPr="00485A95" w:rsidP="00B90904" w14:paraId="74A4BA5B" w14:textId="78768AD7">
      <w:pPr>
        <w:ind w:firstLine="720"/>
        <w:jc w:val="both"/>
      </w:pPr>
      <w:r w:rsidRPr="00485A95">
        <w:t xml:space="preserve">Veselības nozares reformu turpināšanai no Eiropas Komisijas pieļautā budžeta deficīta </w:t>
      </w:r>
      <w:r w:rsidRPr="00485A95" w:rsidR="008B2EC1">
        <w:t>plānoti</w:t>
      </w:r>
      <w:r w:rsidRPr="00485A95">
        <w:t xml:space="preserve"> finanšu līdzekļi: </w:t>
      </w:r>
    </w:p>
    <w:p w:rsidR="00D236D9" w:rsidRPr="00485A95" w:rsidP="00D236D9" w14:paraId="5789BAD0" w14:textId="4AF6B35E">
      <w:pPr>
        <w:pStyle w:val="ListParagraph"/>
        <w:numPr>
          <w:ilvl w:val="0"/>
          <w:numId w:val="9"/>
        </w:numPr>
        <w:jc w:val="both"/>
        <w:rPr>
          <w:color w:val="2A2A2A"/>
          <w:sz w:val="24"/>
          <w:szCs w:val="24"/>
          <w:lang w:val="lv-LV"/>
        </w:rPr>
      </w:pPr>
      <w:r w:rsidRPr="00485A95">
        <w:rPr>
          <w:rFonts w:ascii="Times New Roman" w:eastAsia="Times New Roman" w:hAnsi="Times New Roman"/>
          <w:bCs/>
          <w:color w:val="000000"/>
          <w:sz w:val="24"/>
          <w:szCs w:val="24"/>
          <w:lang w:val="lv-LV" w:eastAsia="lv-LV"/>
        </w:rPr>
        <w:t>Rindu mazināšanai pie speciālistiem, uz diagnostiskajiem izmeklējumiem, dienas stacionārā</w:t>
      </w:r>
      <w:r w:rsidRPr="00485A95">
        <w:rPr>
          <w:rFonts w:ascii="Times New Roman" w:eastAsia="Times New Roman" w:hAnsi="Times New Roman"/>
          <w:sz w:val="24"/>
          <w:szCs w:val="24"/>
          <w:lang w:val="lv-LV" w:eastAsia="lv-LV"/>
        </w:rPr>
        <w:t xml:space="preserve"> un ambulatorajā rehabilitācijā </w:t>
      </w:r>
      <w:r w:rsidRPr="00485A95">
        <w:rPr>
          <w:rFonts w:ascii="Times New Roman" w:eastAsia="Times New Roman" w:hAnsi="Times New Roman"/>
          <w:bCs/>
          <w:color w:val="000000"/>
          <w:sz w:val="24"/>
          <w:szCs w:val="24"/>
          <w:lang w:val="lv-LV" w:eastAsia="lv-LV"/>
        </w:rPr>
        <w:t xml:space="preserve">16 599 307 </w:t>
      </w:r>
      <w:r w:rsidRPr="00485A95">
        <w:rPr>
          <w:rFonts w:ascii="Times New Roman" w:eastAsia="Times New Roman" w:hAnsi="Times New Roman"/>
          <w:bCs/>
          <w:i/>
          <w:color w:val="000000"/>
          <w:sz w:val="24"/>
          <w:szCs w:val="24"/>
          <w:lang w:val="lv-LV" w:eastAsia="lv-LV"/>
        </w:rPr>
        <w:t>euro</w:t>
      </w:r>
      <w:r w:rsidRPr="00485A95">
        <w:rPr>
          <w:rFonts w:ascii="Times New Roman" w:eastAsia="Times New Roman" w:hAnsi="Times New Roman"/>
          <w:bCs/>
          <w:color w:val="000000"/>
          <w:sz w:val="24"/>
          <w:szCs w:val="24"/>
          <w:lang w:val="lv-LV" w:eastAsia="lv-LV"/>
        </w:rPr>
        <w:t xml:space="preserve">: </w:t>
      </w:r>
    </w:p>
    <w:p w:rsidR="002D2334" w:rsidRPr="00485A95" w:rsidP="002D2334" w14:paraId="3C46071B" w14:textId="77777777">
      <w:pPr>
        <w:pStyle w:val="ListParagraph"/>
        <w:numPr>
          <w:ilvl w:val="0"/>
          <w:numId w:val="9"/>
        </w:numPr>
        <w:ind w:firstLine="201"/>
        <w:jc w:val="both"/>
        <w:rPr>
          <w:color w:val="2A2A2A"/>
          <w:sz w:val="24"/>
          <w:szCs w:val="24"/>
          <w:lang w:val="lv-LV"/>
        </w:rPr>
      </w:pPr>
      <w:r w:rsidRPr="00485A95">
        <w:rPr>
          <w:rFonts w:ascii="Times New Roman" w:eastAsia="Times New Roman" w:hAnsi="Times New Roman"/>
          <w:sz w:val="24"/>
          <w:szCs w:val="24"/>
          <w:lang w:val="lv-LV" w:eastAsia="lv-LV"/>
        </w:rPr>
        <w:t xml:space="preserve">Speciālistu konsultācijas 3 386 187 </w:t>
      </w:r>
      <w:r w:rsidRPr="00485A95">
        <w:rPr>
          <w:rFonts w:ascii="Times New Roman" w:eastAsia="Times New Roman" w:hAnsi="Times New Roman"/>
          <w:i/>
          <w:sz w:val="24"/>
          <w:szCs w:val="24"/>
          <w:lang w:val="lv-LV" w:eastAsia="lv-LV"/>
        </w:rPr>
        <w:t>euro</w:t>
      </w:r>
      <w:r w:rsidRPr="00485A95">
        <w:rPr>
          <w:rFonts w:ascii="Times New Roman" w:eastAsia="Times New Roman" w:hAnsi="Times New Roman"/>
          <w:sz w:val="24"/>
          <w:szCs w:val="24"/>
          <w:lang w:val="lv-LV" w:eastAsia="lv-LV"/>
        </w:rPr>
        <w:t>;</w:t>
      </w:r>
    </w:p>
    <w:p w:rsidR="002D2334" w:rsidRPr="00485A95" w:rsidP="002D2334" w14:paraId="36709D3E" w14:textId="65077438">
      <w:pPr>
        <w:pStyle w:val="ListParagraph"/>
        <w:numPr>
          <w:ilvl w:val="0"/>
          <w:numId w:val="9"/>
        </w:numPr>
        <w:ind w:firstLine="201"/>
        <w:jc w:val="both"/>
        <w:rPr>
          <w:color w:val="2A2A2A"/>
          <w:sz w:val="24"/>
          <w:szCs w:val="24"/>
          <w:lang w:val="lv-LV"/>
        </w:rPr>
      </w:pPr>
      <w:r w:rsidRPr="00485A95">
        <w:rPr>
          <w:rFonts w:ascii="Times New Roman" w:eastAsia="Times New Roman" w:hAnsi="Times New Roman"/>
          <w:sz w:val="24"/>
          <w:szCs w:val="24"/>
          <w:lang w:val="lv-LV" w:eastAsia="lv-LV"/>
        </w:rPr>
        <w:t>Amb</w:t>
      </w:r>
      <w:r w:rsidR="004E133B">
        <w:rPr>
          <w:rFonts w:ascii="Times New Roman" w:eastAsia="Times New Roman" w:hAnsi="Times New Roman"/>
          <w:sz w:val="24"/>
          <w:szCs w:val="24"/>
          <w:lang w:val="lv-LV" w:eastAsia="lv-LV"/>
        </w:rPr>
        <w:t>ulatorie izmeklējumi</w:t>
      </w:r>
      <w:r w:rsidRPr="00485A95">
        <w:rPr>
          <w:rFonts w:ascii="Times New Roman" w:eastAsia="Times New Roman" w:hAnsi="Times New Roman"/>
          <w:sz w:val="24"/>
          <w:szCs w:val="24"/>
          <w:lang w:val="lv-LV" w:eastAsia="lv-LV"/>
        </w:rPr>
        <w:t xml:space="preserve"> 7 541 491 </w:t>
      </w:r>
      <w:r w:rsidRPr="00485A95">
        <w:rPr>
          <w:rFonts w:ascii="Times New Roman" w:eastAsia="Times New Roman" w:hAnsi="Times New Roman"/>
          <w:i/>
          <w:sz w:val="24"/>
          <w:szCs w:val="24"/>
          <w:lang w:val="lv-LV" w:eastAsia="lv-LV"/>
        </w:rPr>
        <w:t>euro</w:t>
      </w:r>
      <w:r w:rsidRPr="00485A95">
        <w:rPr>
          <w:rFonts w:ascii="Times New Roman" w:eastAsia="Times New Roman" w:hAnsi="Times New Roman"/>
          <w:sz w:val="24"/>
          <w:szCs w:val="24"/>
          <w:lang w:val="lv-LV" w:eastAsia="lv-LV"/>
        </w:rPr>
        <w:t>;</w:t>
      </w:r>
    </w:p>
    <w:p w:rsidR="002D2334" w:rsidRPr="00485A95" w:rsidP="002D2334" w14:paraId="2EEBC362" w14:textId="2F7CE290">
      <w:pPr>
        <w:pStyle w:val="ListParagraph"/>
        <w:numPr>
          <w:ilvl w:val="0"/>
          <w:numId w:val="9"/>
        </w:numPr>
        <w:ind w:firstLine="201"/>
        <w:jc w:val="both"/>
        <w:rPr>
          <w:color w:val="2A2A2A"/>
          <w:sz w:val="24"/>
          <w:szCs w:val="24"/>
          <w:lang w:val="lv-LV"/>
        </w:rPr>
      </w:pPr>
      <w:r w:rsidRPr="00485A95">
        <w:rPr>
          <w:rFonts w:ascii="Times New Roman" w:eastAsia="Times New Roman" w:hAnsi="Times New Roman"/>
          <w:sz w:val="24"/>
          <w:szCs w:val="24"/>
          <w:lang w:val="lv-LV" w:eastAsia="lv-LV"/>
        </w:rPr>
        <w:t xml:space="preserve">Dienas stacionārā sniegtie pakalpojumi 5 163 159 </w:t>
      </w:r>
      <w:r w:rsidRPr="00485A95">
        <w:rPr>
          <w:rFonts w:ascii="Times New Roman" w:eastAsia="Times New Roman" w:hAnsi="Times New Roman"/>
          <w:i/>
          <w:sz w:val="24"/>
          <w:szCs w:val="24"/>
          <w:lang w:val="lv-LV" w:eastAsia="lv-LV"/>
        </w:rPr>
        <w:t>euro</w:t>
      </w:r>
      <w:r w:rsidRPr="00485A95">
        <w:rPr>
          <w:rFonts w:ascii="Times New Roman" w:eastAsia="Times New Roman" w:hAnsi="Times New Roman"/>
          <w:sz w:val="24"/>
          <w:szCs w:val="24"/>
          <w:lang w:val="lv-LV" w:eastAsia="lv-LV"/>
        </w:rPr>
        <w:t>;</w:t>
      </w:r>
    </w:p>
    <w:p w:rsidR="002D2334" w:rsidRPr="00485A95" w:rsidP="002D2334" w14:paraId="650C8800" w14:textId="76B960E6">
      <w:pPr>
        <w:pStyle w:val="ListParagraph"/>
        <w:numPr>
          <w:ilvl w:val="0"/>
          <w:numId w:val="9"/>
        </w:numPr>
        <w:ind w:firstLine="201"/>
        <w:jc w:val="both"/>
        <w:rPr>
          <w:color w:val="2A2A2A"/>
          <w:sz w:val="24"/>
          <w:szCs w:val="24"/>
          <w:lang w:val="lv-LV"/>
        </w:rPr>
      </w:pPr>
      <w:r w:rsidRPr="00485A95">
        <w:rPr>
          <w:rFonts w:ascii="Times New Roman" w:eastAsia="Times New Roman" w:hAnsi="Times New Roman"/>
          <w:sz w:val="24"/>
          <w:szCs w:val="24"/>
          <w:lang w:val="lv-LV" w:eastAsia="lv-LV"/>
        </w:rPr>
        <w:t>Ambulatorā rehabilitācija 508</w:t>
      </w:r>
      <w:r w:rsidRPr="00485A95" w:rsidR="008933C7">
        <w:rPr>
          <w:rFonts w:ascii="Times New Roman" w:eastAsia="Times New Roman" w:hAnsi="Times New Roman"/>
          <w:sz w:val="24"/>
          <w:szCs w:val="24"/>
          <w:lang w:val="lv-LV" w:eastAsia="lv-LV"/>
        </w:rPr>
        <w:t> </w:t>
      </w:r>
      <w:r w:rsidRPr="00485A95">
        <w:rPr>
          <w:rFonts w:ascii="Times New Roman" w:eastAsia="Times New Roman" w:hAnsi="Times New Roman"/>
          <w:sz w:val="24"/>
          <w:szCs w:val="24"/>
          <w:lang w:val="lv-LV" w:eastAsia="lv-LV"/>
        </w:rPr>
        <w:t>470</w:t>
      </w:r>
      <w:r w:rsidRPr="00485A95" w:rsidR="008933C7">
        <w:rPr>
          <w:rFonts w:ascii="Times New Roman" w:eastAsia="Times New Roman" w:hAnsi="Times New Roman"/>
          <w:sz w:val="24"/>
          <w:szCs w:val="24"/>
          <w:lang w:val="lv-LV" w:eastAsia="lv-LV"/>
        </w:rPr>
        <w:t xml:space="preserve"> </w:t>
      </w:r>
      <w:r w:rsidRPr="00485A95" w:rsidR="008933C7">
        <w:rPr>
          <w:rFonts w:ascii="Times New Roman" w:eastAsia="Times New Roman" w:hAnsi="Times New Roman"/>
          <w:i/>
          <w:sz w:val="24"/>
          <w:szCs w:val="24"/>
          <w:lang w:val="lv-LV" w:eastAsia="lv-LV"/>
        </w:rPr>
        <w:t>euro</w:t>
      </w:r>
      <w:r w:rsidRPr="00485A95">
        <w:rPr>
          <w:rFonts w:ascii="Times New Roman" w:eastAsia="Times New Roman" w:hAnsi="Times New Roman"/>
          <w:sz w:val="24"/>
          <w:szCs w:val="24"/>
          <w:lang w:val="lv-LV" w:eastAsia="lv-LV"/>
        </w:rPr>
        <w:t>;</w:t>
      </w:r>
    </w:p>
    <w:p w:rsidR="00D236D9" w:rsidRPr="00485A95" w:rsidP="00D236D9" w14:paraId="43AFB96C" w14:textId="1B189256">
      <w:pPr>
        <w:pStyle w:val="ListParagraph"/>
        <w:numPr>
          <w:ilvl w:val="0"/>
          <w:numId w:val="9"/>
        </w:numPr>
        <w:jc w:val="both"/>
        <w:rPr>
          <w:color w:val="2A2A2A"/>
          <w:sz w:val="24"/>
          <w:szCs w:val="24"/>
          <w:lang w:val="lv-LV"/>
        </w:rPr>
      </w:pPr>
      <w:r w:rsidRPr="00485A95">
        <w:rPr>
          <w:rFonts w:ascii="Times New Roman" w:eastAsia="Times New Roman" w:hAnsi="Times New Roman"/>
          <w:bCs/>
          <w:color w:val="000000"/>
          <w:sz w:val="24"/>
          <w:szCs w:val="24"/>
          <w:lang w:val="lv-LV" w:eastAsia="lv-LV"/>
        </w:rPr>
        <w:t>Reformas valsts kompensējamo medikamentu nodrošinājumam VHC pacientiem F3-F4 stadijā 5 462</w:t>
      </w:r>
      <w:r w:rsidRPr="00485A95">
        <w:rPr>
          <w:bCs/>
          <w:color w:val="000000"/>
          <w:sz w:val="24"/>
          <w:szCs w:val="24"/>
          <w:lang w:val="lv-LV"/>
        </w:rPr>
        <w:t> </w:t>
      </w:r>
      <w:r w:rsidRPr="00485A95">
        <w:rPr>
          <w:rFonts w:ascii="Times New Roman" w:eastAsia="Times New Roman" w:hAnsi="Times New Roman"/>
          <w:bCs/>
          <w:color w:val="000000"/>
          <w:sz w:val="24"/>
          <w:szCs w:val="24"/>
          <w:lang w:val="lv-LV" w:eastAsia="lv-LV"/>
        </w:rPr>
        <w:t xml:space="preserve">883 </w:t>
      </w:r>
      <w:r w:rsidRPr="00485A95">
        <w:rPr>
          <w:rFonts w:ascii="Times New Roman" w:eastAsia="Times New Roman" w:hAnsi="Times New Roman"/>
          <w:bCs/>
          <w:i/>
          <w:color w:val="000000"/>
          <w:sz w:val="24"/>
          <w:szCs w:val="24"/>
          <w:lang w:val="lv-LV" w:eastAsia="lv-LV"/>
        </w:rPr>
        <w:t>euro</w:t>
      </w:r>
      <w:r w:rsidRPr="00485A95">
        <w:rPr>
          <w:rFonts w:ascii="Times New Roman" w:eastAsia="Times New Roman" w:hAnsi="Times New Roman"/>
          <w:bCs/>
          <w:color w:val="000000"/>
          <w:sz w:val="24"/>
          <w:szCs w:val="24"/>
          <w:lang w:val="lv-LV" w:eastAsia="lv-LV"/>
        </w:rPr>
        <w:t>.</w:t>
      </w:r>
    </w:p>
    <w:p w:rsidR="00FE4E77" w:rsidRPr="00485A95" w:rsidP="009B5CDC" w14:paraId="66BD6A0E" w14:textId="56237464">
      <w:pPr>
        <w:ind w:firstLine="720"/>
        <w:jc w:val="both"/>
        <w:rPr>
          <w:color w:val="2A2A2A"/>
        </w:rPr>
      </w:pPr>
      <w:r w:rsidRPr="00485A95">
        <w:rPr>
          <w:color w:val="2A2A2A"/>
        </w:rPr>
        <w:t xml:space="preserve">Reformas </w:t>
      </w:r>
      <w:r w:rsidRPr="00485A95" w:rsidR="008B2EC1">
        <w:rPr>
          <w:color w:val="2A2A2A"/>
        </w:rPr>
        <w:t>onkolo</w:t>
      </w:r>
      <w:r w:rsidRPr="00485A95">
        <w:rPr>
          <w:color w:val="2A2A2A"/>
        </w:rPr>
        <w:t xml:space="preserve">ģijas jomā </w:t>
      </w:r>
      <w:r w:rsidRPr="00485A95" w:rsidR="009F6EA8">
        <w:rPr>
          <w:color w:val="2A2A2A"/>
        </w:rPr>
        <w:t xml:space="preserve">paredzēja ātrāku pacientu izmeklēšanu un pieeju speciālistiem jeb “zaļo koridoru” sākotnēji 11 biežāko lokalizāciju onkoloģisko saslimšanu vai aizdomu gadījumā uz onkoloģisko saslimšanu  gadījumos. </w:t>
      </w:r>
      <w:r w:rsidRPr="00485A95" w:rsidR="008B2EC1">
        <w:rPr>
          <w:color w:val="2A2A2A"/>
        </w:rPr>
        <w:t>2017.gada sākumā</w:t>
      </w:r>
      <w:r w:rsidRPr="00485A95" w:rsidR="009F6EA8">
        <w:rPr>
          <w:color w:val="2A2A2A"/>
        </w:rPr>
        <w:t xml:space="preserve"> uzsāktās reformas</w:t>
      </w:r>
      <w:r w:rsidRPr="00485A95" w:rsidR="00A9135F">
        <w:rPr>
          <w:color w:val="2A2A2A"/>
        </w:rPr>
        <w:t xml:space="preserve">, </w:t>
      </w:r>
      <w:r w:rsidR="003F1488">
        <w:rPr>
          <w:color w:val="2A2A2A"/>
        </w:rPr>
        <w:t xml:space="preserve">2017.gada laikā </w:t>
      </w:r>
      <w:r w:rsidRPr="00485A95" w:rsidR="00A9135F">
        <w:rPr>
          <w:color w:val="2A2A2A"/>
        </w:rPr>
        <w:t>nodrošin</w:t>
      </w:r>
      <w:r w:rsidRPr="00485A95" w:rsidR="009F6EA8">
        <w:rPr>
          <w:color w:val="2A2A2A"/>
        </w:rPr>
        <w:t>āja</w:t>
      </w:r>
      <w:r w:rsidRPr="00485A95" w:rsidR="00A9135F">
        <w:rPr>
          <w:color w:val="2A2A2A"/>
        </w:rPr>
        <w:t xml:space="preserve"> </w:t>
      </w:r>
      <w:r w:rsidRPr="00485A95">
        <w:rPr>
          <w:color w:val="2A2A2A"/>
        </w:rPr>
        <w:t xml:space="preserve">primārās diagnostikas algoritmu </w:t>
      </w:r>
      <w:r w:rsidRPr="0055508C">
        <w:rPr>
          <w:color w:val="2A2A2A"/>
        </w:rPr>
        <w:t>ieviešanu</w:t>
      </w:r>
      <w:r w:rsidRPr="0055508C" w:rsidR="009F6EA8">
        <w:rPr>
          <w:color w:val="2A2A2A"/>
        </w:rPr>
        <w:t xml:space="preserve"> </w:t>
      </w:r>
      <w:r w:rsidRPr="0055508C" w:rsidR="003F1488">
        <w:rPr>
          <w:color w:val="2A2A2A"/>
        </w:rPr>
        <w:t>72</w:t>
      </w:r>
      <w:r w:rsidRPr="00485A95" w:rsidR="009F6EA8">
        <w:rPr>
          <w:color w:val="2A2A2A"/>
        </w:rPr>
        <w:t xml:space="preserve"> ārstniecības iestādēs</w:t>
      </w:r>
      <w:r w:rsidRPr="00485A95">
        <w:rPr>
          <w:color w:val="2A2A2A"/>
        </w:rPr>
        <w:t>, speciālistu konsultāciju izmaksu pieaugumu onkoloģijā atbilstoši noteiktajiem algoritmiem un sekundāro diagnostikas, izmeklēšanas  algoritmu ieviešanu</w:t>
      </w:r>
      <w:r w:rsidRPr="00485A95" w:rsidR="009F6EA8">
        <w:rPr>
          <w:color w:val="2A2A2A"/>
        </w:rPr>
        <w:t xml:space="preserve"> 5 ārstniecības iestādēs</w:t>
      </w:r>
      <w:r w:rsidRPr="00485A95">
        <w:rPr>
          <w:color w:val="2A2A2A"/>
        </w:rPr>
        <w:t>, onkoloģisko pacientu skaita un prognozē</w:t>
      </w:r>
      <w:r w:rsidRPr="00485A95" w:rsidR="00A9135F">
        <w:rPr>
          <w:color w:val="2A2A2A"/>
        </w:rPr>
        <w:t>to</w:t>
      </w:r>
      <w:r w:rsidRPr="00485A95">
        <w:rPr>
          <w:color w:val="2A2A2A"/>
        </w:rPr>
        <w:t xml:space="preserve"> ārstēšanas izmaksu pieaugumu ambulatori</w:t>
      </w:r>
      <w:r w:rsidRPr="00485A95" w:rsidR="009F6EA8">
        <w:rPr>
          <w:color w:val="2A2A2A"/>
        </w:rPr>
        <w:t xml:space="preserve"> 6 ārstniecības iestādēs un</w:t>
      </w:r>
      <w:r w:rsidRPr="00485A95">
        <w:rPr>
          <w:color w:val="2A2A2A"/>
        </w:rPr>
        <w:t xml:space="preserve">  onkoloģisko pacientu skaita un prognozēt</w:t>
      </w:r>
      <w:r w:rsidRPr="00485A95" w:rsidR="008931D7">
        <w:rPr>
          <w:color w:val="2A2A2A"/>
        </w:rPr>
        <w:t>ās ārstēšanas izmaksu pieaugumu</w:t>
      </w:r>
      <w:r w:rsidRPr="00485A95">
        <w:rPr>
          <w:color w:val="2A2A2A"/>
        </w:rPr>
        <w:t xml:space="preserve"> </w:t>
      </w:r>
      <w:r w:rsidRPr="00485A95" w:rsidR="009F6EA8">
        <w:rPr>
          <w:color w:val="2A2A2A"/>
        </w:rPr>
        <w:t xml:space="preserve">7 </w:t>
      </w:r>
      <w:r w:rsidRPr="00485A95">
        <w:rPr>
          <w:color w:val="2A2A2A"/>
        </w:rPr>
        <w:t>stacionār</w:t>
      </w:r>
      <w:r w:rsidRPr="00485A95" w:rsidR="009F6EA8">
        <w:rPr>
          <w:color w:val="2A2A2A"/>
        </w:rPr>
        <w:t>os</w:t>
      </w:r>
      <w:r w:rsidRPr="00485A95" w:rsidR="008931D7">
        <w:rPr>
          <w:color w:val="2A2A2A"/>
        </w:rPr>
        <w:t xml:space="preserve">, kā arī </w:t>
      </w:r>
      <w:r w:rsidRPr="00485A95">
        <w:rPr>
          <w:color w:val="2A2A2A"/>
        </w:rPr>
        <w:t>k</w:t>
      </w:r>
      <w:r w:rsidRPr="00485A95" w:rsidR="008931D7">
        <w:rPr>
          <w:color w:val="2A2A2A"/>
        </w:rPr>
        <w:t xml:space="preserve">ompensējamo medikamentu segumu unikālo pacientu </w:t>
      </w:r>
      <w:r w:rsidRPr="00485A95" w:rsidR="002B41D8">
        <w:rPr>
          <w:color w:val="2A2A2A"/>
        </w:rPr>
        <w:t xml:space="preserve">skaita </w:t>
      </w:r>
      <w:r w:rsidRPr="00485A95" w:rsidR="008931D7">
        <w:rPr>
          <w:color w:val="2A2A2A"/>
        </w:rPr>
        <w:t xml:space="preserve">pieaugumam. </w:t>
      </w:r>
    </w:p>
    <w:p w:rsidR="00605AA6" w:rsidRPr="00485A95" w:rsidP="00FE4E77" w14:paraId="61B5468A" w14:textId="77777777">
      <w:pPr>
        <w:jc w:val="both"/>
        <w:rPr>
          <w:color w:val="2A2A2A"/>
        </w:rPr>
      </w:pPr>
    </w:p>
    <w:p w:rsidR="00FE4E77" w:rsidRPr="00485A95" w:rsidP="009B5CDC" w14:paraId="596D0AA7" w14:textId="18BB3E97">
      <w:pPr>
        <w:ind w:firstLine="720"/>
        <w:jc w:val="both"/>
      </w:pPr>
      <w:r w:rsidRPr="00485A95">
        <w:t>Reformas rindu mazināšanai pie speciālistiem, uz diagnostiskajiem izmeklējumiem, dienas stacionārā un ambulatorajā rehabilitācijā</w:t>
      </w:r>
      <w:r w:rsidRPr="00485A95" w:rsidR="007457E8">
        <w:t>, kā arī reformas</w:t>
      </w:r>
      <w:r w:rsidRPr="00485A95">
        <w:t xml:space="preserve"> valsts kompens</w:t>
      </w:r>
      <w:r w:rsidRPr="00485A95" w:rsidR="007457E8">
        <w:t>ējamo medikamentu nodrošinājumā</w:t>
      </w:r>
      <w:r w:rsidRPr="00485A95">
        <w:t xml:space="preserve"> VHC pacientiem F3-F4 stadijā</w:t>
      </w:r>
      <w:r w:rsidR="00D152B8">
        <w:t xml:space="preserve"> uzsāktas ar 2017.gada</w:t>
      </w:r>
      <w:r w:rsidRPr="00485A95" w:rsidR="007457E8">
        <w:t xml:space="preserve"> martu atbilstoši 2017.gada 24.februāra Finanšu ministrijas rīkojumam Nr.79 “</w:t>
      </w:r>
      <w:r w:rsidRPr="00485A95" w:rsidR="00017F6C">
        <w:t>Par apropriācijas pārdali starp budžeta resoru “74.Gadskārtējā valsts budžeta izpildes procesā pārdalāmais finansējums” un Veselības ministriju</w:t>
      </w:r>
      <w:r w:rsidRPr="00485A95" w:rsidR="007457E8">
        <w:t>”</w:t>
      </w:r>
      <w:r w:rsidRPr="00485A95" w:rsidR="00017F6C">
        <w:t xml:space="preserve">. </w:t>
      </w:r>
      <w:r w:rsidRPr="00485A95" w:rsidR="00605AA6">
        <w:t xml:space="preserve">Lai realizētu plānoto rindu samazinājumu, Nacionālais </w:t>
      </w:r>
      <w:r w:rsidRPr="00485A95" w:rsidR="00605AA6">
        <w:t xml:space="preserve">veselības dienests noslēdza līgumus </w:t>
      </w:r>
      <w:r w:rsidRPr="0055508C" w:rsidR="00605AA6">
        <w:t xml:space="preserve">ar </w:t>
      </w:r>
      <w:r w:rsidRPr="0055508C" w:rsidR="0055508C">
        <w:t>26</w:t>
      </w:r>
      <w:r w:rsidRPr="0055508C" w:rsidR="00605AA6">
        <w:t>2 ārstniecības</w:t>
      </w:r>
      <w:r w:rsidRPr="00485A95" w:rsidR="00605AA6">
        <w:t xml:space="preserve"> iestādēm par valsts apmaksātu papildus veselības aprūpes pakalpojumu sniegšanu. </w:t>
      </w:r>
    </w:p>
    <w:p w:rsidR="00FE4E77" w:rsidRPr="00485A95" w:rsidP="00FE4E77" w14:paraId="508BB556" w14:textId="77777777">
      <w:pPr>
        <w:jc w:val="both"/>
        <w:rPr>
          <w:sz w:val="26"/>
          <w:szCs w:val="26"/>
        </w:rPr>
      </w:pPr>
    </w:p>
    <w:p w:rsidR="000E09B4" w:rsidRPr="00485A95" w:rsidP="00F7570D" w14:paraId="343B6B2E" w14:textId="41FFD42B">
      <w:pPr>
        <w:pStyle w:val="ListParagraph"/>
        <w:numPr>
          <w:ilvl w:val="0"/>
          <w:numId w:val="2"/>
        </w:numPr>
        <w:jc w:val="center"/>
        <w:rPr>
          <w:rFonts w:ascii="Times New Roman" w:hAnsi="Times New Roman"/>
          <w:b/>
          <w:color w:val="2A2A2A"/>
          <w:sz w:val="26"/>
          <w:szCs w:val="26"/>
          <w:lang w:val="lv-LV"/>
        </w:rPr>
      </w:pPr>
      <w:r w:rsidRPr="00485A95">
        <w:rPr>
          <w:rFonts w:ascii="Times New Roman" w:hAnsi="Times New Roman"/>
          <w:b/>
          <w:color w:val="2A2A2A"/>
          <w:sz w:val="26"/>
          <w:szCs w:val="26"/>
          <w:lang w:val="lv-LV"/>
        </w:rPr>
        <w:t>Reformu īstenošana</w:t>
      </w:r>
    </w:p>
    <w:p w:rsidR="00F352AF" w:rsidRPr="00485A95" w:rsidP="00CD0DF0" w14:paraId="69CD6D54" w14:textId="4169DA6A">
      <w:pPr>
        <w:jc w:val="center"/>
        <w:rPr>
          <w:b/>
          <w:color w:val="2A2A2A"/>
        </w:rPr>
      </w:pPr>
      <w:r w:rsidRPr="00485A95">
        <w:rPr>
          <w:b/>
          <w:color w:val="2A2A2A"/>
        </w:rPr>
        <w:t xml:space="preserve">2.1. </w:t>
      </w:r>
      <w:r w:rsidRPr="00485A95" w:rsidR="00AA0F08">
        <w:rPr>
          <w:b/>
          <w:color w:val="2A2A2A"/>
        </w:rPr>
        <w:t>Onkoloģijas joma</w:t>
      </w:r>
    </w:p>
    <w:p w:rsidR="00F352AF" w:rsidRPr="00485A95" w:rsidP="00F352AF" w14:paraId="41FE7C4C" w14:textId="25704ACC">
      <w:pPr>
        <w:jc w:val="both"/>
        <w:rPr>
          <w:color w:val="2A2A2A"/>
          <w:u w:val="single"/>
        </w:rPr>
      </w:pPr>
      <w:r w:rsidRPr="00485A95">
        <w:rPr>
          <w:color w:val="2A2A2A"/>
          <w:u w:val="single"/>
        </w:rPr>
        <w:t>Primārā diagnostika</w:t>
      </w:r>
    </w:p>
    <w:p w:rsidR="00C60E89" w:rsidRPr="00485A95" w:rsidP="00F352AF" w14:paraId="51D4EC6A" w14:textId="77777777">
      <w:pPr>
        <w:jc w:val="both"/>
        <w:rPr>
          <w:color w:val="2A2A2A"/>
          <w:u w:val="single"/>
        </w:rPr>
      </w:pPr>
    </w:p>
    <w:p w:rsidR="008A01A0" w:rsidRPr="00A53FBB" w:rsidP="00943EDB" w14:paraId="334383B9" w14:textId="608B47C3">
      <w:pPr>
        <w:ind w:firstLine="720"/>
        <w:jc w:val="both"/>
        <w:rPr>
          <w:color w:val="000000" w:themeColor="text1"/>
        </w:rPr>
      </w:pPr>
      <w:r w:rsidRPr="00485A95">
        <w:rPr>
          <w:color w:val="2A2A2A"/>
        </w:rPr>
        <w:t xml:space="preserve">2017.gadā </w:t>
      </w:r>
      <w:r w:rsidR="00076300">
        <w:rPr>
          <w:color w:val="2A2A2A"/>
        </w:rPr>
        <w:t xml:space="preserve">tika </w:t>
      </w:r>
      <w:r w:rsidRPr="00485A95">
        <w:rPr>
          <w:color w:val="2A2A2A"/>
        </w:rPr>
        <w:t>prognozēt</w:t>
      </w:r>
      <w:r w:rsidR="00F163A8">
        <w:rPr>
          <w:color w:val="2A2A2A"/>
        </w:rPr>
        <w:t>s, ka</w:t>
      </w:r>
      <w:r w:rsidRPr="00485A95">
        <w:rPr>
          <w:color w:val="2A2A2A"/>
        </w:rPr>
        <w:t xml:space="preserve"> papildus 22 tūkst.</w:t>
      </w:r>
      <w:r>
        <w:rPr>
          <w:color w:val="2A2A2A"/>
        </w:rPr>
        <w:t xml:space="preserve"> pacientiem tiks veikti </w:t>
      </w:r>
      <w:r w:rsidRPr="00485A95">
        <w:rPr>
          <w:color w:val="2A2A2A"/>
        </w:rPr>
        <w:t xml:space="preserve"> </w:t>
      </w:r>
      <w:r w:rsidRPr="00485A95">
        <w:t>onkoloģisko slimību primārās diagnostikas algoritm</w:t>
      </w:r>
      <w:r>
        <w:t>os iekļautie izmeklējumi</w:t>
      </w:r>
      <w:r w:rsidRPr="00485A95">
        <w:t xml:space="preserve"> ļaundabīgo audzēju </w:t>
      </w:r>
      <w:r>
        <w:t xml:space="preserve">prioritārai </w:t>
      </w:r>
      <w:r w:rsidRPr="00A53FBB">
        <w:rPr>
          <w:color w:val="000000" w:themeColor="text1"/>
        </w:rPr>
        <w:t xml:space="preserve">diagnostikai noteiktās lokalizācijās. No 2017. gada 1. janvāra tika ieviesti primārās diagnostikas algoritmi šādās lokalizācijās- krūts, priekšdziedzeris, āda, izņemot </w:t>
      </w:r>
      <w:r w:rsidRPr="00A53FBB">
        <w:rPr>
          <w:color w:val="000000" w:themeColor="text1"/>
        </w:rPr>
        <w:t>melanomu</w:t>
      </w:r>
      <w:r w:rsidRPr="00A53FBB">
        <w:rPr>
          <w:color w:val="000000" w:themeColor="text1"/>
        </w:rPr>
        <w:t xml:space="preserve">, resnā un taisnā zarna, bronhi un plaušas, kuņģis, nieres, urīnpūslis, aizkuņģa dziedzeris, dzemdes ķermenis, olnīcas, kuras tika papildinātas no 2017. gada </w:t>
      </w:r>
      <w:r w:rsidR="008F03A4">
        <w:rPr>
          <w:color w:val="000000" w:themeColor="text1"/>
        </w:rPr>
        <w:t>3</w:t>
      </w:r>
      <w:r w:rsidRPr="00A53FBB">
        <w:rPr>
          <w:color w:val="000000" w:themeColor="text1"/>
        </w:rPr>
        <w:t>.novembra ar sekojošām lokalizācijām</w:t>
      </w:r>
      <w:r w:rsidR="00F163A8">
        <w:rPr>
          <w:color w:val="000000" w:themeColor="text1"/>
        </w:rPr>
        <w:t xml:space="preserve"> - </w:t>
      </w:r>
      <w:r w:rsidRPr="00A53FBB">
        <w:rPr>
          <w:color w:val="000000" w:themeColor="text1"/>
        </w:rPr>
        <w:t xml:space="preserve">lūpas, mutes dobums, rīkles mutes daļa, vairogdziedzeris, </w:t>
      </w:r>
      <w:r w:rsidR="00746B9A">
        <w:rPr>
          <w:color w:val="000000" w:themeColor="text1"/>
        </w:rPr>
        <w:t xml:space="preserve">āda, ja ir aizdomas par </w:t>
      </w:r>
      <w:r w:rsidRPr="00A53FBB">
        <w:rPr>
          <w:color w:val="000000" w:themeColor="text1"/>
        </w:rPr>
        <w:t>melanom</w:t>
      </w:r>
      <w:r w:rsidR="00746B9A">
        <w:rPr>
          <w:color w:val="000000" w:themeColor="text1"/>
        </w:rPr>
        <w:t>u</w:t>
      </w:r>
      <w:r w:rsidRPr="00A53FBB">
        <w:rPr>
          <w:color w:val="000000" w:themeColor="text1"/>
        </w:rPr>
        <w:t xml:space="preserve">, aknas, </w:t>
      </w:r>
      <w:r w:rsidRPr="00A53FBB">
        <w:rPr>
          <w:color w:val="000000" w:themeColor="text1"/>
        </w:rPr>
        <w:t>žultsceļi</w:t>
      </w:r>
      <w:r w:rsidRPr="00A53FBB">
        <w:rPr>
          <w:color w:val="000000" w:themeColor="text1"/>
        </w:rPr>
        <w:t xml:space="preserve">, </w:t>
      </w:r>
      <w:r w:rsidRPr="00A53FBB">
        <w:rPr>
          <w:color w:val="000000" w:themeColor="text1"/>
        </w:rPr>
        <w:t>žūltpūslis</w:t>
      </w:r>
      <w:r w:rsidRPr="00A53FBB">
        <w:rPr>
          <w:color w:val="000000" w:themeColor="text1"/>
        </w:rPr>
        <w:t>, tūplis, centrālā nervu sistēma</w:t>
      </w:r>
      <w:r w:rsidRPr="00A53FBB">
        <w:rPr>
          <w:color w:val="000000" w:themeColor="text1"/>
        </w:rPr>
        <w:t>.</w:t>
      </w:r>
      <w:r w:rsidRPr="00A53FBB" w:rsidR="00047C94">
        <w:rPr>
          <w:color w:val="000000" w:themeColor="text1"/>
        </w:rPr>
        <w:t xml:space="preserve"> </w:t>
      </w:r>
    </w:p>
    <w:p w:rsidR="00F352AF" w:rsidRPr="00485A95" w:rsidP="00CD0DF0" w14:paraId="0525A5CC" w14:textId="526CCEB9">
      <w:pPr>
        <w:spacing w:after="200" w:line="276" w:lineRule="auto"/>
        <w:jc w:val="right"/>
        <w:rPr>
          <w:i/>
        </w:rPr>
      </w:pPr>
      <w:r w:rsidRPr="00485A95">
        <w:rPr>
          <w:i/>
        </w:rPr>
        <w:t xml:space="preserve">1.tabula </w:t>
      </w:r>
    </w:p>
    <w:p w:rsidR="00396F05" w:rsidP="00C71BC0" w14:paraId="5DD986C0" w14:textId="559D1005">
      <w:pPr>
        <w:jc w:val="center"/>
        <w:rPr>
          <w:color w:val="414142"/>
        </w:rPr>
      </w:pPr>
      <w:r w:rsidRPr="00485A95">
        <w:rPr>
          <w:color w:val="414142"/>
        </w:rPr>
        <w:t xml:space="preserve">Primārās diagnostikas algoritmu </w:t>
      </w:r>
      <w:r w:rsidR="00831F5C">
        <w:rPr>
          <w:color w:val="414142"/>
        </w:rPr>
        <w:t>ieviešanas</w:t>
      </w:r>
      <w:r w:rsidRPr="00485A95">
        <w:rPr>
          <w:color w:val="414142"/>
        </w:rPr>
        <w:t xml:space="preserve"> </w:t>
      </w:r>
      <w:r w:rsidR="003F1488">
        <w:rPr>
          <w:color w:val="414142"/>
        </w:rPr>
        <w:t>2017.</w:t>
      </w:r>
      <w:r w:rsidRPr="00485A95">
        <w:rPr>
          <w:color w:val="414142"/>
        </w:rPr>
        <w:t>gada izpilde</w:t>
      </w:r>
    </w:p>
    <w:p w:rsidR="00831F5C" w14:paraId="686DB0FA" w14:textId="77777777">
      <w:pPr>
        <w:jc w:val="center"/>
        <w:rPr>
          <w:color w:val="414142"/>
        </w:rPr>
      </w:pPr>
    </w:p>
    <w:tbl>
      <w:tblPr>
        <w:tblW w:w="9351" w:type="dxa"/>
        <w:jc w:val="center"/>
        <w:tblLook w:val="04A0"/>
      </w:tblPr>
      <w:tblGrid>
        <w:gridCol w:w="1574"/>
        <w:gridCol w:w="1275"/>
        <w:gridCol w:w="1418"/>
        <w:gridCol w:w="1134"/>
        <w:gridCol w:w="1257"/>
        <w:gridCol w:w="1417"/>
        <w:gridCol w:w="1276"/>
      </w:tblGrid>
      <w:tr w14:paraId="3E6E9FA6" w14:textId="77777777" w:rsidTr="00D50D24">
        <w:tblPrEx>
          <w:tblW w:w="9351" w:type="dxa"/>
          <w:jc w:val="center"/>
          <w:tblLook w:val="04A0"/>
        </w:tblPrEx>
        <w:trPr>
          <w:trHeight w:val="600"/>
          <w:jc w:val="center"/>
        </w:trPr>
        <w:tc>
          <w:tcPr>
            <w:tcW w:w="157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rsidR="00396F05" w:rsidRPr="00396F05" w:rsidP="00396F05" w14:paraId="53E93432" w14:textId="77777777">
            <w:pPr>
              <w:jc w:val="center"/>
              <w:rPr>
                <w:b/>
                <w:bCs/>
                <w:color w:val="000000"/>
                <w:sz w:val="22"/>
                <w:szCs w:val="22"/>
              </w:rPr>
            </w:pPr>
            <w:r w:rsidRPr="00396F05">
              <w:rPr>
                <w:b/>
                <w:bCs/>
                <w:color w:val="000000"/>
                <w:sz w:val="22"/>
                <w:szCs w:val="22"/>
              </w:rPr>
              <w:t>Primārās diagnostikas algoritmu ieviešana</w:t>
            </w:r>
          </w:p>
        </w:tc>
        <w:tc>
          <w:tcPr>
            <w:tcW w:w="3827"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rsidR="00396F05" w:rsidRPr="00396F05" w:rsidP="00396F05" w14:paraId="348444EC" w14:textId="0E3AA52B">
            <w:pPr>
              <w:jc w:val="center"/>
              <w:rPr>
                <w:color w:val="000000"/>
                <w:sz w:val="22"/>
                <w:szCs w:val="22"/>
              </w:rPr>
            </w:pPr>
            <w:r w:rsidRPr="00396F05">
              <w:rPr>
                <w:color w:val="000000"/>
                <w:sz w:val="22"/>
                <w:szCs w:val="22"/>
              </w:rPr>
              <w:t>Plānotais ārstējamo</w:t>
            </w:r>
            <w:r w:rsidR="00F163A8">
              <w:rPr>
                <w:color w:val="000000"/>
                <w:sz w:val="22"/>
                <w:szCs w:val="22"/>
              </w:rPr>
              <w:t xml:space="preserve"> unikālo</w:t>
            </w:r>
            <w:r w:rsidRPr="00396F05">
              <w:rPr>
                <w:color w:val="000000"/>
                <w:sz w:val="22"/>
                <w:szCs w:val="22"/>
              </w:rPr>
              <w:t xml:space="preserve"> onkoloģisko pacientu apjoms</w:t>
            </w:r>
          </w:p>
        </w:tc>
        <w:tc>
          <w:tcPr>
            <w:tcW w:w="3950"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rsidR="00396F05" w:rsidRPr="00396F05" w:rsidP="00396F05" w14:paraId="5154D4A5" w14:textId="6D18FEC0">
            <w:pPr>
              <w:jc w:val="center"/>
              <w:rPr>
                <w:color w:val="000000"/>
                <w:sz w:val="22"/>
                <w:szCs w:val="22"/>
              </w:rPr>
            </w:pPr>
            <w:r w:rsidRPr="00396F05">
              <w:rPr>
                <w:color w:val="000000"/>
                <w:sz w:val="22"/>
                <w:szCs w:val="22"/>
              </w:rPr>
              <w:t xml:space="preserve">Faktiskā izpilde ārstējamo </w:t>
            </w:r>
            <w:r w:rsidR="00F163A8">
              <w:rPr>
                <w:color w:val="000000"/>
                <w:sz w:val="22"/>
                <w:szCs w:val="22"/>
              </w:rPr>
              <w:t xml:space="preserve">unikālo </w:t>
            </w:r>
            <w:r w:rsidRPr="00396F05">
              <w:rPr>
                <w:color w:val="000000"/>
                <w:sz w:val="22"/>
                <w:szCs w:val="22"/>
              </w:rPr>
              <w:t>onkoloģisko pacientu apjomam</w:t>
            </w:r>
          </w:p>
        </w:tc>
      </w:tr>
      <w:tr w14:paraId="6A91A3DE" w14:textId="77777777" w:rsidTr="00D50D24">
        <w:tblPrEx>
          <w:tblW w:w="9351" w:type="dxa"/>
          <w:jc w:val="center"/>
          <w:tblLook w:val="04A0"/>
        </w:tblPrEx>
        <w:trPr>
          <w:trHeight w:val="1350"/>
          <w:jc w:val="center"/>
        </w:trPr>
        <w:tc>
          <w:tcPr>
            <w:tcW w:w="1574" w:type="dxa"/>
            <w:vMerge/>
            <w:tcBorders>
              <w:top w:val="single" w:sz="4" w:space="0" w:color="auto"/>
              <w:left w:val="single" w:sz="4" w:space="0" w:color="auto"/>
              <w:bottom w:val="single" w:sz="4" w:space="0" w:color="auto"/>
              <w:right w:val="single" w:sz="4" w:space="0" w:color="auto"/>
            </w:tcBorders>
            <w:vAlign w:val="center"/>
            <w:hideMark/>
          </w:tcPr>
          <w:p w:rsidR="00396F05" w:rsidRPr="00396F05" w:rsidP="00396F05" w14:paraId="34EF77C0" w14:textId="77777777">
            <w:pP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96F05" w:rsidRPr="00396F05" w:rsidP="00396F05" w14:paraId="61D1CF6C" w14:textId="7A20C410">
            <w:pPr>
              <w:jc w:val="center"/>
              <w:rPr>
                <w:color w:val="000000"/>
                <w:sz w:val="22"/>
                <w:szCs w:val="22"/>
              </w:rPr>
            </w:pPr>
            <w:r>
              <w:rPr>
                <w:color w:val="000000"/>
                <w:sz w:val="22"/>
                <w:szCs w:val="22"/>
              </w:rPr>
              <w:t>Plānotais pacientu</w:t>
            </w:r>
            <w:r w:rsidRPr="00396F05">
              <w:rPr>
                <w:color w:val="000000"/>
                <w:sz w:val="22"/>
                <w:szCs w:val="22"/>
              </w:rPr>
              <w:t xml:space="preserve"> </w:t>
            </w:r>
            <w:r>
              <w:rPr>
                <w:color w:val="000000"/>
                <w:sz w:val="22"/>
                <w:szCs w:val="22"/>
              </w:rPr>
              <w:t xml:space="preserve">skaits </w:t>
            </w:r>
            <w:r w:rsidRPr="00396F05">
              <w:rPr>
                <w:color w:val="000000"/>
                <w:sz w:val="22"/>
                <w:szCs w:val="22"/>
              </w:rPr>
              <w:t>gadā</w:t>
            </w:r>
          </w:p>
        </w:tc>
        <w:tc>
          <w:tcPr>
            <w:tcW w:w="1418"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96F05" w:rsidRPr="00396F05" w:rsidP="00396F05" w14:paraId="490F57CC" w14:textId="77777777">
            <w:pPr>
              <w:jc w:val="center"/>
              <w:rPr>
                <w:color w:val="000000"/>
                <w:sz w:val="22"/>
                <w:szCs w:val="22"/>
              </w:rPr>
            </w:pPr>
            <w:r w:rsidRPr="00396F05">
              <w:rPr>
                <w:color w:val="000000"/>
                <w:sz w:val="22"/>
                <w:szCs w:val="22"/>
              </w:rPr>
              <w:t xml:space="preserve">Finansējums  2017.gadā </w:t>
            </w:r>
            <w:r w:rsidRPr="00396F05">
              <w:rPr>
                <w:i/>
                <w:iCs/>
                <w:color w:val="000000"/>
                <w:sz w:val="22"/>
                <w:szCs w:val="22"/>
              </w:rPr>
              <w:t>euro</w:t>
            </w:r>
          </w:p>
        </w:tc>
        <w:tc>
          <w:tcPr>
            <w:tcW w:w="1134"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96F05" w:rsidRPr="00396F05" w:rsidP="00396F05" w14:paraId="6CA806B9" w14:textId="77777777">
            <w:pPr>
              <w:jc w:val="center"/>
              <w:rPr>
                <w:color w:val="000000"/>
                <w:sz w:val="22"/>
                <w:szCs w:val="22"/>
              </w:rPr>
            </w:pPr>
            <w:r w:rsidRPr="00396F05">
              <w:rPr>
                <w:color w:val="000000"/>
                <w:sz w:val="22"/>
                <w:szCs w:val="22"/>
              </w:rPr>
              <w:t xml:space="preserve">Vidējā izmaksa 2017.gadā </w:t>
            </w:r>
            <w:r w:rsidRPr="00396F05">
              <w:rPr>
                <w:i/>
                <w:iCs/>
                <w:color w:val="000000"/>
                <w:sz w:val="22"/>
                <w:szCs w:val="22"/>
              </w:rPr>
              <w:t>euro</w:t>
            </w:r>
          </w:p>
        </w:tc>
        <w:tc>
          <w:tcPr>
            <w:tcW w:w="1257"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96F05" w:rsidRPr="00396F05" w:rsidP="00396F05" w14:paraId="0516CA57" w14:textId="6134E640">
            <w:pPr>
              <w:jc w:val="center"/>
              <w:rPr>
                <w:color w:val="000000"/>
                <w:sz w:val="22"/>
                <w:szCs w:val="22"/>
              </w:rPr>
            </w:pPr>
            <w:r>
              <w:rPr>
                <w:color w:val="000000"/>
                <w:sz w:val="22"/>
                <w:szCs w:val="22"/>
              </w:rPr>
              <w:t xml:space="preserve">Pacientu skaita </w:t>
            </w:r>
            <w:r w:rsidRPr="00396F05">
              <w:rPr>
                <w:color w:val="000000"/>
                <w:sz w:val="22"/>
                <w:szCs w:val="22"/>
              </w:rPr>
              <w:t>pieaugums 2017.gadā</w:t>
            </w:r>
          </w:p>
        </w:tc>
        <w:tc>
          <w:tcPr>
            <w:tcW w:w="1417"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96F05" w:rsidRPr="00396F05" w:rsidP="00396F05" w14:paraId="565D2B12" w14:textId="77777777">
            <w:pPr>
              <w:jc w:val="center"/>
              <w:rPr>
                <w:color w:val="000000"/>
                <w:sz w:val="22"/>
                <w:szCs w:val="22"/>
              </w:rPr>
            </w:pPr>
            <w:r w:rsidRPr="00396F05">
              <w:rPr>
                <w:color w:val="000000"/>
                <w:sz w:val="22"/>
                <w:szCs w:val="22"/>
              </w:rPr>
              <w:t xml:space="preserve">Finansējums 2017.gadā </w:t>
            </w:r>
            <w:r w:rsidRPr="00396F05">
              <w:rPr>
                <w:i/>
                <w:iCs/>
                <w:color w:val="000000"/>
                <w:sz w:val="22"/>
                <w:szCs w:val="22"/>
              </w:rPr>
              <w:t>euro</w:t>
            </w:r>
          </w:p>
        </w:tc>
        <w:tc>
          <w:tcPr>
            <w:tcW w:w="1276" w:type="dxa"/>
            <w:tcBorders>
              <w:top w:val="nil"/>
              <w:left w:val="single" w:sz="4" w:space="0" w:color="auto"/>
              <w:bottom w:val="single" w:sz="8" w:space="0" w:color="auto"/>
              <w:right w:val="single" w:sz="8" w:space="0" w:color="auto"/>
            </w:tcBorders>
            <w:shd w:val="clear" w:color="000000" w:fill="FCE4D6"/>
            <w:vAlign w:val="center"/>
            <w:hideMark/>
          </w:tcPr>
          <w:p w:rsidR="00396F05" w:rsidRPr="00396F05" w:rsidP="00396F05" w14:paraId="4F4A259C" w14:textId="77777777">
            <w:pPr>
              <w:jc w:val="center"/>
              <w:rPr>
                <w:color w:val="000000"/>
                <w:sz w:val="22"/>
                <w:szCs w:val="22"/>
              </w:rPr>
            </w:pPr>
            <w:r w:rsidRPr="00396F05">
              <w:rPr>
                <w:color w:val="000000"/>
                <w:sz w:val="22"/>
                <w:szCs w:val="22"/>
              </w:rPr>
              <w:t xml:space="preserve">Vidējā izmaksa 2017.gadā </w:t>
            </w:r>
            <w:r w:rsidRPr="00396F05">
              <w:rPr>
                <w:i/>
                <w:iCs/>
                <w:color w:val="000000"/>
                <w:sz w:val="22"/>
                <w:szCs w:val="22"/>
              </w:rPr>
              <w:t>euro</w:t>
            </w:r>
          </w:p>
        </w:tc>
      </w:tr>
      <w:tr w14:paraId="6D4BDD56" w14:textId="77777777" w:rsidTr="00D50D24">
        <w:tblPrEx>
          <w:tblW w:w="9351" w:type="dxa"/>
          <w:jc w:val="center"/>
          <w:tblLook w:val="04A0"/>
        </w:tblPrEx>
        <w:trPr>
          <w:trHeight w:val="315"/>
          <w:jc w:val="center"/>
        </w:trPr>
        <w:tc>
          <w:tcPr>
            <w:tcW w:w="157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96F05" w:rsidRPr="00396F05" w:rsidP="00396F05" w14:paraId="70485F73" w14:textId="77777777">
            <w:pPr>
              <w:jc w:val="center"/>
              <w:rPr>
                <w:color w:val="000000"/>
                <w:sz w:val="22"/>
                <w:szCs w:val="22"/>
              </w:rPr>
            </w:pPr>
            <w:r w:rsidRPr="00396F05">
              <w:rPr>
                <w:color w:val="000000"/>
                <w:sz w:val="22"/>
                <w:szCs w:val="22"/>
              </w:rPr>
              <w:t>72 ārstniecības iestādes</w:t>
            </w:r>
          </w:p>
        </w:tc>
        <w:tc>
          <w:tcPr>
            <w:tcW w:w="1275" w:type="dxa"/>
            <w:tcBorders>
              <w:top w:val="single" w:sz="4" w:space="0" w:color="auto"/>
              <w:left w:val="nil"/>
              <w:bottom w:val="single" w:sz="8" w:space="0" w:color="auto"/>
              <w:right w:val="single" w:sz="8" w:space="0" w:color="auto"/>
            </w:tcBorders>
            <w:shd w:val="clear" w:color="auto" w:fill="auto"/>
            <w:noWrap/>
            <w:vAlign w:val="center"/>
            <w:hideMark/>
          </w:tcPr>
          <w:p w:rsidR="00396F05" w:rsidRPr="00396F05" w:rsidP="00396F05" w14:paraId="2382BCE2" w14:textId="77777777">
            <w:pPr>
              <w:jc w:val="center"/>
              <w:rPr>
                <w:color w:val="000000"/>
                <w:sz w:val="22"/>
                <w:szCs w:val="22"/>
              </w:rPr>
            </w:pPr>
            <w:r w:rsidRPr="00396F05">
              <w:rPr>
                <w:color w:val="000000"/>
                <w:sz w:val="22"/>
                <w:szCs w:val="22"/>
              </w:rPr>
              <w:t>22 000</w:t>
            </w: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396F05" w:rsidRPr="00396F05" w:rsidP="00396F05" w14:paraId="6994F88D" w14:textId="77777777">
            <w:pPr>
              <w:jc w:val="center"/>
              <w:rPr>
                <w:color w:val="000000"/>
                <w:sz w:val="22"/>
                <w:szCs w:val="22"/>
              </w:rPr>
            </w:pPr>
            <w:r w:rsidRPr="00396F05">
              <w:rPr>
                <w:color w:val="000000"/>
                <w:sz w:val="22"/>
                <w:szCs w:val="22"/>
              </w:rPr>
              <w:t>659 885</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rsidR="00396F05" w:rsidRPr="00396F05" w:rsidP="00396F05" w14:paraId="131019E2" w14:textId="77777777">
            <w:pPr>
              <w:jc w:val="center"/>
              <w:rPr>
                <w:color w:val="000000"/>
                <w:sz w:val="22"/>
                <w:szCs w:val="22"/>
              </w:rPr>
            </w:pPr>
            <w:r w:rsidRPr="00396F05">
              <w:rPr>
                <w:color w:val="000000"/>
                <w:sz w:val="22"/>
                <w:szCs w:val="22"/>
              </w:rPr>
              <w:t>29,99</w:t>
            </w:r>
          </w:p>
        </w:tc>
        <w:tc>
          <w:tcPr>
            <w:tcW w:w="1257" w:type="dxa"/>
            <w:tcBorders>
              <w:top w:val="single" w:sz="4" w:space="0" w:color="auto"/>
              <w:left w:val="nil"/>
              <w:bottom w:val="single" w:sz="8" w:space="0" w:color="auto"/>
              <w:right w:val="single" w:sz="8" w:space="0" w:color="auto"/>
            </w:tcBorders>
            <w:shd w:val="clear" w:color="auto" w:fill="auto"/>
            <w:noWrap/>
            <w:vAlign w:val="center"/>
            <w:hideMark/>
          </w:tcPr>
          <w:p w:rsidR="00396F05" w:rsidRPr="00396F05" w:rsidP="00396F05" w14:paraId="6BBDB2B7" w14:textId="77777777">
            <w:pPr>
              <w:jc w:val="center"/>
              <w:rPr>
                <w:color w:val="000000"/>
                <w:sz w:val="22"/>
                <w:szCs w:val="22"/>
              </w:rPr>
            </w:pPr>
            <w:r w:rsidRPr="00396F05">
              <w:rPr>
                <w:color w:val="000000"/>
                <w:sz w:val="22"/>
                <w:szCs w:val="22"/>
              </w:rPr>
              <w:t>22 422</w:t>
            </w:r>
          </w:p>
        </w:tc>
        <w:tc>
          <w:tcPr>
            <w:tcW w:w="1417" w:type="dxa"/>
            <w:tcBorders>
              <w:top w:val="single" w:sz="4" w:space="0" w:color="auto"/>
              <w:left w:val="nil"/>
              <w:bottom w:val="single" w:sz="8" w:space="0" w:color="auto"/>
              <w:right w:val="single" w:sz="8" w:space="0" w:color="auto"/>
            </w:tcBorders>
            <w:shd w:val="clear" w:color="auto" w:fill="auto"/>
            <w:noWrap/>
            <w:vAlign w:val="center"/>
            <w:hideMark/>
          </w:tcPr>
          <w:p w:rsidR="00396F05" w:rsidRPr="00396F05" w:rsidP="00396F05" w14:paraId="677DF87C" w14:textId="77777777">
            <w:pPr>
              <w:jc w:val="center"/>
              <w:rPr>
                <w:color w:val="000000"/>
                <w:sz w:val="22"/>
                <w:szCs w:val="22"/>
              </w:rPr>
            </w:pPr>
            <w:r w:rsidRPr="00396F05">
              <w:rPr>
                <w:color w:val="000000"/>
                <w:sz w:val="22"/>
                <w:szCs w:val="22"/>
              </w:rPr>
              <w:t>637 850</w:t>
            </w:r>
          </w:p>
        </w:tc>
        <w:tc>
          <w:tcPr>
            <w:tcW w:w="1276" w:type="dxa"/>
            <w:tcBorders>
              <w:top w:val="nil"/>
              <w:left w:val="nil"/>
              <w:bottom w:val="single" w:sz="8" w:space="0" w:color="auto"/>
              <w:right w:val="single" w:sz="8" w:space="0" w:color="auto"/>
            </w:tcBorders>
            <w:shd w:val="clear" w:color="auto" w:fill="auto"/>
            <w:noWrap/>
            <w:vAlign w:val="center"/>
            <w:hideMark/>
          </w:tcPr>
          <w:p w:rsidR="00396F05" w:rsidRPr="00396F05" w:rsidP="00396F05" w14:paraId="66B29D5D" w14:textId="77777777">
            <w:pPr>
              <w:jc w:val="center"/>
              <w:rPr>
                <w:color w:val="000000"/>
                <w:sz w:val="22"/>
                <w:szCs w:val="22"/>
              </w:rPr>
            </w:pPr>
            <w:r w:rsidRPr="00396F05">
              <w:rPr>
                <w:color w:val="000000"/>
                <w:sz w:val="22"/>
                <w:szCs w:val="22"/>
              </w:rPr>
              <w:t>28,45</w:t>
            </w:r>
          </w:p>
        </w:tc>
      </w:tr>
    </w:tbl>
    <w:p w:rsidR="00F352AF" w:rsidRPr="00485A95" w:rsidP="00F352AF" w14:paraId="1332AC47" w14:textId="57003B39">
      <w:pPr>
        <w:jc w:val="both"/>
        <w:rPr>
          <w:i/>
          <w:sz w:val="20"/>
          <w:szCs w:val="20"/>
        </w:rPr>
      </w:pPr>
      <w:r w:rsidRPr="00485A95">
        <w:rPr>
          <w:i/>
          <w:sz w:val="20"/>
          <w:szCs w:val="20"/>
        </w:rPr>
        <w:t>Avots: NVD</w:t>
      </w:r>
    </w:p>
    <w:p w:rsidR="009B5CDC" w:rsidRPr="00485A95" w:rsidP="00F352AF" w14:paraId="423F90D4" w14:textId="77777777">
      <w:pPr>
        <w:jc w:val="both"/>
        <w:rPr>
          <w:i/>
          <w:sz w:val="20"/>
          <w:szCs w:val="20"/>
        </w:rPr>
      </w:pPr>
      <w:r w:rsidRPr="00485A95">
        <w:rPr>
          <w:i/>
          <w:sz w:val="20"/>
          <w:szCs w:val="20"/>
        </w:rPr>
        <w:tab/>
      </w:r>
    </w:p>
    <w:p w:rsidR="00412BEF" w:rsidRPr="00412BEF" w:rsidP="009B5CDC" w14:paraId="16DD3B7B" w14:textId="3FA5C1FB">
      <w:pPr>
        <w:ind w:firstLine="720"/>
        <w:jc w:val="both"/>
        <w:rPr>
          <w:color w:val="212121"/>
          <w:shd w:val="clear" w:color="auto" w:fill="FFFFFF"/>
        </w:rPr>
      </w:pPr>
      <w:r>
        <w:rPr>
          <w:color w:val="212121"/>
          <w:sz w:val="22"/>
          <w:szCs w:val="22"/>
          <w:shd w:val="clear" w:color="auto" w:fill="FFFFFF"/>
        </w:rPr>
        <w:t> </w:t>
      </w:r>
      <w:r w:rsidRPr="00412BEF">
        <w:rPr>
          <w:color w:val="212121"/>
          <w:shd w:val="clear" w:color="auto" w:fill="FFFFFF"/>
        </w:rPr>
        <w:t xml:space="preserve">Onkoloģisko slimību primārā diagnostika </w:t>
      </w:r>
      <w:r>
        <w:rPr>
          <w:color w:val="212121"/>
          <w:shd w:val="clear" w:color="auto" w:fill="FFFFFF"/>
        </w:rPr>
        <w:t>no</w:t>
      </w:r>
      <w:r w:rsidRPr="00412BEF">
        <w:rPr>
          <w:color w:val="212121"/>
          <w:shd w:val="clear" w:color="auto" w:fill="FFFFFF"/>
        </w:rPr>
        <w:t>tiek ģimenes ārstu praksēs, kur pacientiem tiek atpazītas sūdzības un simptomi, kas var liecināt par onkoloģisku slimību un nozīmēti pirmie izmeklējumi, kas var apstiprināt aizdomas par onkoloģiskajām slimībām. Šie sniegtie pakalpojumi tiek apmaksāti prioritārā kārtībā no šim mērķiem paredzētiem finanšu līdzekļiem. Praksē bieži veidojās situācija, ka pacientiem tiek nozīmēti izmeklējumi saistībā ar citām slimībām, bet izmeklējuma rezultāts  norāda uz aizdomām par onkoloģisku slimību. Šajos gadījumos pirmi</w:t>
      </w:r>
      <w:r w:rsidR="00AE7744">
        <w:rPr>
          <w:color w:val="212121"/>
          <w:shd w:val="clear" w:color="auto" w:fill="FFFFFF"/>
        </w:rPr>
        <w:t>e izmeklējumi ir veikt</w:t>
      </w:r>
      <w:r w:rsidR="009C3A3A">
        <w:rPr>
          <w:color w:val="212121"/>
          <w:shd w:val="clear" w:color="auto" w:fill="FFFFFF"/>
        </w:rPr>
        <w:t>i</w:t>
      </w:r>
      <w:r w:rsidR="00AE7744">
        <w:rPr>
          <w:color w:val="212121"/>
          <w:shd w:val="clear" w:color="auto" w:fill="FFFFFF"/>
        </w:rPr>
        <w:t xml:space="preserve"> ārpus “</w:t>
      </w:r>
      <w:r w:rsidRPr="00412BEF">
        <w:rPr>
          <w:color w:val="212121"/>
          <w:shd w:val="clear" w:color="auto" w:fill="FFFFFF"/>
        </w:rPr>
        <w:t>zaļā koridora”, bet pacients tiek ievirzīts “zaļā koridorā” ar jau kādu veiktu izmeklējumu vispārīgā kārtībā. Šādu iemeslu dē</w:t>
      </w:r>
      <w:r w:rsidR="00F163A8">
        <w:rPr>
          <w:color w:val="212121"/>
          <w:shd w:val="clear" w:color="auto" w:fill="FFFFFF"/>
        </w:rPr>
        <w:t>ļ</w:t>
      </w:r>
      <w:r w:rsidRPr="00412BEF">
        <w:rPr>
          <w:color w:val="212121"/>
          <w:shd w:val="clear" w:color="auto" w:fill="FFFFFF"/>
        </w:rPr>
        <w:t xml:space="preserve"> samazinās plānotā finanšu līdzekļu apguve</w:t>
      </w:r>
      <w:r w:rsidR="009C3A3A">
        <w:rPr>
          <w:color w:val="212121"/>
          <w:shd w:val="clear" w:color="auto" w:fill="FFFFFF"/>
        </w:rPr>
        <w:t xml:space="preserve"> pret plānoto finansējumu</w:t>
      </w:r>
      <w:r w:rsidRPr="00412BEF">
        <w:rPr>
          <w:color w:val="212121"/>
          <w:shd w:val="clear" w:color="auto" w:fill="FFFFFF"/>
        </w:rPr>
        <w:t xml:space="preserve"> primārā diagnostikā. Papildus līdzekļu apguvi ietekmēja faktors, ka ģimenes ārsti 2017. gada laikā pakāpeniski apguva izpratni un uzticību “zaļā koridora” darbības principiem</w:t>
      </w:r>
      <w:r w:rsidR="00F163A8">
        <w:rPr>
          <w:color w:val="212121"/>
          <w:shd w:val="clear" w:color="auto" w:fill="FFFFFF"/>
        </w:rPr>
        <w:t>.</w:t>
      </w:r>
    </w:p>
    <w:p w:rsidR="004460D0" w:rsidRPr="00485A95" w:rsidP="009B5CDC" w14:paraId="62B2B4FA" w14:textId="2269DAF9">
      <w:pPr>
        <w:ind w:firstLine="720"/>
        <w:jc w:val="both"/>
      </w:pPr>
      <w:r w:rsidRPr="00221FEA">
        <w:t>Atbilstoši 2017.gada faktiskajai izpildei</w:t>
      </w:r>
      <w:r w:rsidRPr="00221FEA" w:rsidR="00071AF3">
        <w:t xml:space="preserve"> un reformas ietvarā izstrādātajiem algoritmiem primārajā veselības aprūpē ar ģimenes ārsta nosūtījumu un vēlāk 2017.gada otrajā pusē papildinot ar citu tiešo speciālistu nosūtījumu tika </w:t>
      </w:r>
      <w:r w:rsidRPr="00A53FBB" w:rsidR="00071AF3">
        <w:t xml:space="preserve">veikti </w:t>
      </w:r>
      <w:r w:rsidRPr="00A53FBB" w:rsidR="00390F83">
        <w:t>7</w:t>
      </w:r>
      <w:r w:rsidRPr="00A53FBB" w:rsidR="00D818E3">
        <w:t>2</w:t>
      </w:r>
      <w:r w:rsidRPr="00A53FBB" w:rsidR="00390F83">
        <w:t xml:space="preserve"> </w:t>
      </w:r>
      <w:r w:rsidRPr="00A53FBB" w:rsidR="00A53FBB">
        <w:t>849</w:t>
      </w:r>
      <w:r w:rsidRPr="00221FEA" w:rsidR="00071AF3">
        <w:t xml:space="preserve"> primārās diagnostikas izmeklējumi</w:t>
      </w:r>
      <w:r w:rsidR="00390F83">
        <w:t xml:space="preserve"> 22 422 unikālajiem pacientiem</w:t>
      </w:r>
      <w:r w:rsidRPr="00221FEA" w:rsidR="008933C7">
        <w:t>,</w:t>
      </w:r>
      <w:r w:rsidRPr="00221FEA">
        <w:t xml:space="preserve"> </w:t>
      </w:r>
      <w:r w:rsidRPr="00221FEA" w:rsidR="00071AF3">
        <w:t xml:space="preserve">kur </w:t>
      </w:r>
      <w:r w:rsidRPr="00221FEA">
        <w:t>vidējās izmaksas primāro diagnostikas algoritmu ieviešanai ir par</w:t>
      </w:r>
      <w:r w:rsidRPr="00221FEA" w:rsidR="0004688A">
        <w:t xml:space="preserve"> </w:t>
      </w:r>
      <w:r w:rsidRPr="00221FEA" w:rsidR="00F0157F">
        <w:t>5%</w:t>
      </w:r>
      <w:r w:rsidRPr="00221FEA">
        <w:t xml:space="preserve"> zemākas kā plānotās</w:t>
      </w:r>
      <w:r w:rsidRPr="00221FEA" w:rsidR="00071AF3">
        <w:t>.</w:t>
      </w:r>
      <w:r w:rsidRPr="00485A95">
        <w:t xml:space="preserve"> </w:t>
      </w:r>
      <w:r w:rsidR="00BF5BB2">
        <w:t xml:space="preserve">Kopumā primārās diagnostikas vidējā izmaksa ir zemāka, jo </w:t>
      </w:r>
      <w:r w:rsidR="00102276">
        <w:t xml:space="preserve">no visiem izmeklējumiem, kas tika veikti 88,18% sastāda laboratoriskie izmeklējumi, kam ir zemākas izmaksas nekā diagnostiskajiem izmeklējumiem, kuru īpatsvars kopējā veikto izmeklējumu apjomā sastāda vien 11,82%. </w:t>
      </w:r>
    </w:p>
    <w:p w:rsidR="00610B6E" w:rsidP="009B5CDC" w14:paraId="1B23AB24" w14:textId="5A4CEACA">
      <w:pPr>
        <w:jc w:val="both"/>
      </w:pPr>
      <w:r w:rsidRPr="00485A95">
        <w:tab/>
      </w:r>
      <w:r w:rsidR="00C82DE3">
        <w:t>Sistēmas</w:t>
      </w:r>
      <w:r w:rsidRPr="00485A95" w:rsidR="00B93FA7">
        <w:t xml:space="preserve"> ie</w:t>
      </w:r>
      <w:r w:rsidRPr="00485A95" w:rsidR="00E42ECC">
        <w:t>vieš</w:t>
      </w:r>
      <w:r w:rsidR="00C82DE3">
        <w:t>anas</w:t>
      </w:r>
      <w:r w:rsidRPr="00485A95" w:rsidR="00E42ECC">
        <w:t xml:space="preserve"> sākum</w:t>
      </w:r>
      <w:r w:rsidR="00476B15">
        <w:t>a</w:t>
      </w:r>
      <w:r w:rsidRPr="00485A95" w:rsidR="00E42ECC">
        <w:t xml:space="preserve"> posmā</w:t>
      </w:r>
      <w:r w:rsidRPr="00485A95" w:rsidR="00B93FA7">
        <w:t>,</w:t>
      </w:r>
      <w:r w:rsidRPr="00485A95">
        <w:t xml:space="preserve"> ne visos gadījumos veikta pilna ļaundabīgo audzēju primārā diagnostika, kas šajā g</w:t>
      </w:r>
      <w:r w:rsidRPr="00485A95" w:rsidR="00E42ECC">
        <w:t>adījumā pusgada tvērumā veido</w:t>
      </w:r>
      <w:r w:rsidR="00E66EA4">
        <w:t>ja</w:t>
      </w:r>
      <w:r w:rsidRPr="00485A95" w:rsidR="00E42ECC">
        <w:t xml:space="preserve"> 46</w:t>
      </w:r>
      <w:r w:rsidRPr="00485A95">
        <w:t xml:space="preserve"> % faktisko izmaksu </w:t>
      </w:r>
      <w:r w:rsidRPr="00485A95">
        <w:t>samazinājumu atbilstoši plānotaj</w:t>
      </w:r>
      <w:r w:rsidRPr="00485A95" w:rsidR="00B93FA7">
        <w:t>a</w:t>
      </w:r>
      <w:r w:rsidRPr="00485A95">
        <w:t>m.</w:t>
      </w:r>
      <w:r w:rsidRPr="00485A95" w:rsidR="0030431C">
        <w:t xml:space="preserve"> </w:t>
      </w:r>
      <w:r w:rsidRPr="00485A95" w:rsidR="00B93FA7">
        <w:t xml:space="preserve">Attiecīgi </w:t>
      </w:r>
      <w:r w:rsidRPr="00485A95" w:rsidR="004460D0">
        <w:t>2017.gada 1.pusgadā ārstē</w:t>
      </w:r>
      <w:r w:rsidRPr="00485A95" w:rsidR="00B93FA7">
        <w:t>to</w:t>
      </w:r>
      <w:r w:rsidRPr="00485A95" w:rsidR="004460D0">
        <w:t xml:space="preserve"> onkoloģisko pacientu aptvere </w:t>
      </w:r>
      <w:r w:rsidR="008E37F1">
        <w:t>bija</w:t>
      </w:r>
      <w:r w:rsidRPr="00485A95" w:rsidR="000B7D18">
        <w:t xml:space="preserve"> zemāka</w:t>
      </w:r>
      <w:r w:rsidRPr="00485A95" w:rsidR="004460D0">
        <w:t xml:space="preserve">, jo </w:t>
      </w:r>
      <w:r w:rsidR="00E40004">
        <w:t xml:space="preserve">bija </w:t>
      </w:r>
      <w:r w:rsidRPr="00485A95" w:rsidR="009370FF">
        <w:t xml:space="preserve">nepieciešams laiks, lai adaptētu sistēmas izmaiņas, kā arī </w:t>
      </w:r>
      <w:r w:rsidRPr="00485A95" w:rsidR="004460D0">
        <w:t>sākotnēji primārās diagnostikas algoritmu ieviešana</w:t>
      </w:r>
      <w:r w:rsidRPr="00485A95" w:rsidR="000B7D18">
        <w:t xml:space="preserve"> </w:t>
      </w:r>
      <w:r w:rsidRPr="00485A95" w:rsidR="0030431C">
        <w:t xml:space="preserve">tika </w:t>
      </w:r>
      <w:r w:rsidRPr="00485A95" w:rsidR="000B7D18">
        <w:t xml:space="preserve">attiecināta uz </w:t>
      </w:r>
      <w:r w:rsidRPr="00485A95" w:rsidR="0030431C">
        <w:t>11 biežākajām</w:t>
      </w:r>
      <w:r w:rsidRPr="00485A95" w:rsidR="004460D0">
        <w:t xml:space="preserve"> ļaundabīgo audzēju lokalizācijām, kuras</w:t>
      </w:r>
      <w:r w:rsidRPr="00485A95" w:rsidR="0030431C">
        <w:t>, nodrošinot vienlīdzīgu pieeju,</w:t>
      </w:r>
      <w:r w:rsidR="00C82DE3">
        <w:t xml:space="preserve"> </w:t>
      </w:r>
      <w:r w:rsidR="00875AE7">
        <w:t>2017.gada otrā pusē</w:t>
      </w:r>
      <w:r w:rsidRPr="00485A95" w:rsidR="004460D0">
        <w:t xml:space="preserve"> </w:t>
      </w:r>
      <w:r w:rsidRPr="00485A95" w:rsidR="009370FF">
        <w:t>tik</w:t>
      </w:r>
      <w:r w:rsidR="00E40004">
        <w:t>a</w:t>
      </w:r>
      <w:r w:rsidRPr="00485A95" w:rsidR="004460D0">
        <w:t xml:space="preserve"> paplašināt</w:t>
      </w:r>
      <w:r w:rsidRPr="00485A95" w:rsidR="009370FF">
        <w:t>as</w:t>
      </w:r>
      <w:r w:rsidRPr="00485A95" w:rsidR="004460D0">
        <w:t xml:space="preserve"> </w:t>
      </w:r>
      <w:r w:rsidRPr="00485A95" w:rsidR="0030431C">
        <w:t xml:space="preserve">ar citām </w:t>
      </w:r>
      <w:r w:rsidRPr="00485A95" w:rsidR="00A83DE4">
        <w:t xml:space="preserve"> </w:t>
      </w:r>
      <w:r w:rsidRPr="00485A95" w:rsidR="004460D0">
        <w:t>onkolo</w:t>
      </w:r>
      <w:r w:rsidRPr="00485A95" w:rsidR="00A83DE4">
        <w:t xml:space="preserve">ģiskajām </w:t>
      </w:r>
      <w:r w:rsidRPr="00485A95" w:rsidR="004460D0">
        <w:t>saslim</w:t>
      </w:r>
      <w:r w:rsidRPr="00485A95" w:rsidR="00A83DE4">
        <w:t>šanām</w:t>
      </w:r>
      <w:r w:rsidR="00D8716A">
        <w:t xml:space="preserve">, kā piemēram, </w:t>
      </w:r>
      <w:r w:rsidRPr="00E40004" w:rsidR="00D8716A">
        <w:rPr>
          <w:color w:val="000000" w:themeColor="text1"/>
        </w:rPr>
        <w:t>centrālā nervu sistēma, vairogdziedzeris,</w:t>
      </w:r>
      <w:r w:rsidR="00746B9A">
        <w:rPr>
          <w:color w:val="000000" w:themeColor="text1"/>
        </w:rPr>
        <w:t xml:space="preserve"> āda, ja ir aizdomas par </w:t>
      </w:r>
      <w:r w:rsidRPr="00E40004" w:rsidR="00D8716A">
        <w:rPr>
          <w:color w:val="000000" w:themeColor="text1"/>
        </w:rPr>
        <w:t xml:space="preserve"> </w:t>
      </w:r>
      <w:r w:rsidRPr="00E40004" w:rsidR="00D8716A">
        <w:rPr>
          <w:color w:val="000000" w:themeColor="text1"/>
        </w:rPr>
        <w:t>melanom</w:t>
      </w:r>
      <w:r w:rsidR="00746B9A">
        <w:rPr>
          <w:color w:val="000000" w:themeColor="text1"/>
        </w:rPr>
        <w:t>u</w:t>
      </w:r>
      <w:r w:rsidRPr="00E40004" w:rsidR="00D8716A">
        <w:rPr>
          <w:color w:val="000000" w:themeColor="text1"/>
        </w:rPr>
        <w:t xml:space="preserve">, aknas, </w:t>
      </w:r>
      <w:r w:rsidRPr="00E40004" w:rsidR="00D8716A">
        <w:rPr>
          <w:color w:val="000000" w:themeColor="text1"/>
        </w:rPr>
        <w:t>žūltsceļu</w:t>
      </w:r>
      <w:r w:rsidRPr="00E40004" w:rsidR="00D8716A">
        <w:rPr>
          <w:color w:val="000000" w:themeColor="text1"/>
        </w:rPr>
        <w:t xml:space="preserve"> vai žultspūslis un lūpas, mutes dobuma vai rīkles mutes daļa</w:t>
      </w:r>
      <w:r w:rsidRPr="00E3005A" w:rsidR="009C3A3A">
        <w:rPr>
          <w:color w:val="000000" w:themeColor="text1"/>
        </w:rPr>
        <w:t xml:space="preserve">. </w:t>
      </w:r>
      <w:r w:rsidRPr="00EA62A4" w:rsidR="00B5164A">
        <w:t>P</w:t>
      </w:r>
      <w:r w:rsidRPr="00E3005A">
        <w:t xml:space="preserve">aplašinot </w:t>
      </w:r>
      <w:r w:rsidRPr="00E3005A" w:rsidR="00220B82">
        <w:t>“zaļā koridora”</w:t>
      </w:r>
      <w:r w:rsidRPr="006B453F" w:rsidR="009B5CDC">
        <w:t xml:space="preserve"> </w:t>
      </w:r>
      <w:r w:rsidRPr="006B453F" w:rsidR="00220B82">
        <w:t>diagnostikas iespējas</w:t>
      </w:r>
      <w:r w:rsidRPr="00EA62A4" w:rsidR="00B5164A">
        <w:t xml:space="preserve"> ar</w:t>
      </w:r>
      <w:r w:rsidRPr="00E3005A">
        <w:t xml:space="preserve"> jaunām ļaundabīgo audzēju lokalizācijām, kā arī atbilstošu kārtību kādā veicami izmeklējumi</w:t>
      </w:r>
      <w:r w:rsidRPr="006B453F" w:rsidR="00B5164A">
        <w:t xml:space="preserve"> </w:t>
      </w:r>
      <w:r w:rsidRPr="005C3B86" w:rsidR="00B5164A">
        <w:t>i</w:t>
      </w:r>
      <w:r w:rsidRPr="00EA62A4" w:rsidR="00B5164A">
        <w:t>r nodrošināta pacientiem ar onkoloģiskām slimībām ātrāka un efektīvāka diagnosticēšana,</w:t>
      </w:r>
      <w:r w:rsidR="00B5164A">
        <w:t xml:space="preserve"> uzsākot savlaicīgu onkoloģisko slimību ārstēšanu</w:t>
      </w:r>
      <w:r w:rsidRPr="00485A95" w:rsidR="00220B82">
        <w:t>.</w:t>
      </w:r>
      <w:r w:rsidRPr="00485A95">
        <w:t xml:space="preserve"> </w:t>
      </w:r>
      <w:r w:rsidRPr="00485A95" w:rsidR="00411CC2">
        <w:t>Papildus tam</w:t>
      </w:r>
      <w:r w:rsidR="007351C6">
        <w:t>, p</w:t>
      </w:r>
      <w:r w:rsidR="00E40004">
        <w:t>acienti varēja uzsākt ātrāku ārstēšanas uzsākšanu, ņemot vērā</w:t>
      </w:r>
      <w:r w:rsidR="007351C6">
        <w:t xml:space="preserve"> </w:t>
      </w:r>
      <w:r w:rsidRPr="00485A95" w:rsidR="007351C6">
        <w:t>izmaiņas primārās diagnostikas paka</w:t>
      </w:r>
      <w:r w:rsidR="00BF5F24">
        <w:t>lpojumu saņemšanā, paredzot, ka</w:t>
      </w:r>
      <w:r w:rsidRPr="00485A95" w:rsidR="007351C6">
        <w:t xml:space="preserve"> Piejūras slimnīcā, Liepājas reģionālajā slimnīcā, Rīgas Austrumu klīniskajā universitātes slimnīcā, Paula Stradiņa klīniskajā universitātes slimnīca un Daugavpils reģionālajā slimnīcā konstatēto pacientu sūdzību vai simptomu gadījumā varēs arī nodrošināt onkoloģisko pacientu ļaundabīgo audzēju primāro diagnostiku atbilstoši noteiktajiem algoritmiem. </w:t>
      </w:r>
      <w:r w:rsidR="00E40004">
        <w:t xml:space="preserve"> </w:t>
      </w:r>
    </w:p>
    <w:p w:rsidR="003F43B0" w:rsidP="0025727F" w14:paraId="55A91951" w14:textId="1A45A052">
      <w:pPr>
        <w:ind w:firstLine="720"/>
        <w:contextualSpacing/>
        <w:jc w:val="both"/>
      </w:pPr>
      <w:r>
        <w:t>G</w:t>
      </w:r>
      <w:r w:rsidRPr="002D2420">
        <w:t>inekologs (tiešās pieejamības speciālists) pa</w:t>
      </w:r>
      <w:r>
        <w:t>matojoties uz pacienta sūdzībām, kā</w:t>
      </w:r>
      <w:r w:rsidR="00C82DE3">
        <w:t xml:space="preserve"> arī veiktā simptomu </w:t>
      </w:r>
      <w:r w:rsidR="00C82DE3">
        <w:t>izvērtējumu</w:t>
      </w:r>
      <w:r>
        <w:t xml:space="preserve"> (ievērojot </w:t>
      </w:r>
      <w:r w:rsidR="00684C71">
        <w:t>N</w:t>
      </w:r>
      <w:r w:rsidRPr="002D2420">
        <w:t>oteikumu</w:t>
      </w:r>
      <w:r w:rsidR="00684C71">
        <w:t xml:space="preserve"> Nr.1529</w:t>
      </w:r>
      <w:r w:rsidRPr="002D2420">
        <w:t xml:space="preserve"> 34.pielikuma 1., 10. vai 11.punktā</w:t>
      </w:r>
      <w:r>
        <w:t xml:space="preserve"> noteikto)</w:t>
      </w:r>
      <w:r w:rsidRPr="002D2420">
        <w:t xml:space="preserve">, var veikt ļaundabīgo audzēju primāro diagnostiku, kā arī izsniegt pacientam nosūtījumu </w:t>
      </w:r>
      <w:r>
        <w:t xml:space="preserve">uz </w:t>
      </w:r>
      <w:r w:rsidR="00D152B8">
        <w:t>34.pielikumā 1., 10. un 11.pun</w:t>
      </w:r>
      <w:r w:rsidRPr="002D2420">
        <w:t>k</w:t>
      </w:r>
      <w:r w:rsidR="00D152B8">
        <w:t>t</w:t>
      </w:r>
      <w:r w:rsidRPr="002D2420">
        <w:t>ā minētajiem</w:t>
      </w:r>
      <w:r>
        <w:t xml:space="preserve"> (aizdomu gadījumā par ļaundabīgu audzēju krūtīs, dzemdes ķermenī un olnīcās)</w:t>
      </w:r>
      <w:r w:rsidRPr="002D2420">
        <w:t xml:space="preserve"> ļaundabīgo audzēju primāriem diagnostiskiem izmeklējumiem</w:t>
      </w:r>
      <w:r w:rsidR="0025727F">
        <w:t>. Iepriekš</w:t>
      </w:r>
      <w:r>
        <w:t xml:space="preserve"> g</w:t>
      </w:r>
      <w:r w:rsidRPr="002D2420">
        <w:t>adījumos, ja ginekolog</w:t>
      </w:r>
      <w:r>
        <w:t>am pacienta</w:t>
      </w:r>
      <w:r w:rsidRPr="002D2420">
        <w:t xml:space="preserve"> vizītes laikā </w:t>
      </w:r>
      <w:r>
        <w:t>r</w:t>
      </w:r>
      <w:r w:rsidR="0071703E">
        <w:t>a</w:t>
      </w:r>
      <w:r>
        <w:t>d</w:t>
      </w:r>
      <w:r w:rsidR="0071703E">
        <w:t>ā</w:t>
      </w:r>
      <w:r>
        <w:t>s aizdomas par</w:t>
      </w:r>
      <w:r w:rsidRPr="002D2420">
        <w:t xml:space="preserve"> ļaundabīga</w:t>
      </w:r>
      <w:r w:rsidR="001F7EC0">
        <w:t xml:space="preserve"> </w:t>
      </w:r>
      <w:r w:rsidRPr="002D2420" w:rsidR="001F7EC0">
        <w:t xml:space="preserve">audzēja iespējamību, tad ginekologam </w:t>
      </w:r>
      <w:r w:rsidR="0071703E">
        <w:t>bija</w:t>
      </w:r>
      <w:r w:rsidRPr="002D2420" w:rsidR="001F7EC0">
        <w:t xml:space="preserve"> jāinformē pacients par </w:t>
      </w:r>
      <w:r w:rsidR="001F7EC0">
        <w:t>viņa</w:t>
      </w:r>
      <w:r w:rsidRPr="002D2420" w:rsidR="001F7EC0">
        <w:t xml:space="preserve"> veselības stāvokli, kā arī jāinformē pacients par nepieciešamību vērsties pie sava ģimenes ārsta, lai saņemtu nosūtījumu uz 34.pielikumā minētajiem ļaundabīgo audzēju primāriem diagnostiskiem izmeklējumiem. Ņemot vērā, ka šāds process paildzina pacienta iespēju saņemt nepieciešamos izmeklējumus iespējamās slimības apstiprināšanai vai neapstiprināšanai, kā arī savlaicīgas ār</w:t>
      </w:r>
      <w:r w:rsidR="001F7EC0">
        <w:t xml:space="preserve">stniecības uzsākšanai, </w:t>
      </w:r>
      <w:r w:rsidR="009C3A3A">
        <w:t>MK noteikumu Nr</w:t>
      </w:r>
      <w:r w:rsidR="007C5E34">
        <w:t>.</w:t>
      </w:r>
      <w:r w:rsidR="009C3A3A">
        <w:t xml:space="preserve">1529 grozījumi </w:t>
      </w:r>
      <w:r w:rsidR="001F7EC0">
        <w:t>notei</w:t>
      </w:r>
      <w:r w:rsidR="00341AF7">
        <w:t>ca</w:t>
      </w:r>
      <w:r w:rsidR="001F7EC0">
        <w:t xml:space="preserve"> tiesības ginekologiem veikt ļaundabīgo audzēju primāro diagnostiku (noteiktām lokalizācijām) un tiesības </w:t>
      </w:r>
      <w:r w:rsidRPr="002D2420" w:rsidR="001F7EC0">
        <w:t>izrakstīt nosūtījumus ļaundabīgo audzēju primāro diagnostisko izmeklējumu saņemšanai (</w:t>
      </w:r>
      <w:r w:rsidR="00F54A48">
        <w:t>N</w:t>
      </w:r>
      <w:r w:rsidRPr="002D2420" w:rsidR="001F7EC0">
        <w:t>oteikumu</w:t>
      </w:r>
      <w:r w:rsidR="001F7EC0">
        <w:t xml:space="preserve"> </w:t>
      </w:r>
      <w:r w:rsidR="009C3A3A">
        <w:t>Nr.1529</w:t>
      </w:r>
      <w:r w:rsidRPr="002D2420" w:rsidR="001F7EC0">
        <w:t xml:space="preserve"> </w:t>
      </w:r>
      <w:r w:rsidR="001F7EC0">
        <w:t>51</w:t>
      </w:r>
      <w:r w:rsidRPr="002D2420" w:rsidR="001F7EC0">
        <w:t>.</w:t>
      </w:r>
      <w:r w:rsidRPr="002D2420" w:rsidR="001F7EC0">
        <w:rPr>
          <w:vertAlign w:val="superscript"/>
        </w:rPr>
        <w:t>1 </w:t>
      </w:r>
      <w:r w:rsidRPr="002D2420" w:rsidR="001F7EC0">
        <w:t xml:space="preserve"> punkts un 34.pielikuma piezīme).</w:t>
      </w:r>
    </w:p>
    <w:p w:rsidR="00412BEF" w:rsidRPr="00485A95" w:rsidP="00412BEF" w14:paraId="28E236A0" w14:textId="5D399612">
      <w:pPr>
        <w:ind w:firstLine="720"/>
        <w:jc w:val="both"/>
      </w:pPr>
      <w:r>
        <w:t xml:space="preserve">Jāņem vērā, ka </w:t>
      </w:r>
      <w:r w:rsidRPr="00847710" w:rsidR="00781E13">
        <w:t>onkoloģisko saslimšanu ārstēšanas gaitā visi ārstēšanas veidi var savstarpēji papildināties, ko determinē arī precīza slimības stadijas jeb audzēja morfoloģijas noteikšana, kas ļauj precīzāk iezīmēt tālāko ārstēšanas ceļu. Būtiski, ka kombinējot dažādus ārstēšanas veidus (ķīmijterapija, staru terapija vai ķirurģiska iejaukšanas), svarīgs ir laiks kurā secīgi jāsāk katrs nākamais ārstēšanas posms, kas ir nozīmīgs aspekts, lai pieejamību uzlabotu visos diagnostikas un ārstēšanas posmos kompleksi, tādejādi garantējot iespējami labāko rezultātu pacientam un secīgi arī iegūstot PZMG uzlabojumu</w:t>
      </w:r>
      <w:r w:rsidR="00AB0223">
        <w:t>.</w:t>
      </w:r>
    </w:p>
    <w:p w:rsidR="00610B6E" w:rsidRPr="00485A95" w:rsidP="00AB0223" w14:paraId="265A3D6D" w14:textId="7D5016B8">
      <w:pPr>
        <w:ind w:firstLine="720"/>
        <w:jc w:val="both"/>
      </w:pPr>
      <w:r w:rsidRPr="00485A95">
        <w:t xml:space="preserve">Ņemot vērā </w:t>
      </w:r>
      <w:r w:rsidRPr="00485A95" w:rsidR="00AC1DFD">
        <w:t>minēto</w:t>
      </w:r>
      <w:r w:rsidRPr="00485A95" w:rsidR="00220B82">
        <w:t>s pasākumus</w:t>
      </w:r>
      <w:r w:rsidRPr="00485A95" w:rsidR="008933C7">
        <w:t>,</w:t>
      </w:r>
      <w:r w:rsidRPr="00485A95" w:rsidR="00AC1DFD">
        <w:t xml:space="preserve"> līdz 2017.gada 31.decembrim onkoloģijas</w:t>
      </w:r>
      <w:r w:rsidRPr="00485A95" w:rsidR="007B2DAA">
        <w:t xml:space="preserve"> jomas</w:t>
      </w:r>
      <w:r w:rsidRPr="00485A95" w:rsidR="00AC1DFD">
        <w:t xml:space="preserve"> aptvere ievērojami uzlabo</w:t>
      </w:r>
      <w:r w:rsidR="0047044D">
        <w:t>ju</w:t>
      </w:r>
      <w:r w:rsidRPr="00485A95" w:rsidR="00AC1DFD">
        <w:t xml:space="preserve">sies, </w:t>
      </w:r>
      <w:r w:rsidRPr="00485A95">
        <w:t xml:space="preserve">nodrošinot onkoloģisko pacientu primāro diagnostiku </w:t>
      </w:r>
      <w:r w:rsidR="0047044D">
        <w:t>101,92</w:t>
      </w:r>
      <w:r w:rsidRPr="00485A95">
        <w:t>% apmērā no plānotās</w:t>
      </w:r>
      <w:r w:rsidRPr="00485A95" w:rsidR="009370FF">
        <w:t xml:space="preserve">, savukārt </w:t>
      </w:r>
      <w:r w:rsidR="0047044D">
        <w:t>2018.gadā turpinot iesāktās</w:t>
      </w:r>
      <w:r w:rsidRPr="00485A95" w:rsidR="009370FF">
        <w:t xml:space="preserve"> intervenc</w:t>
      </w:r>
      <w:r w:rsidR="0047044D">
        <w:t>es</w:t>
      </w:r>
      <w:r w:rsidRPr="00485A95" w:rsidR="009370FF">
        <w:t>, nodrošinot primār</w:t>
      </w:r>
      <w:r w:rsidR="0047044D">
        <w:t>ās</w:t>
      </w:r>
      <w:r w:rsidRPr="00485A95" w:rsidR="009370FF">
        <w:t xml:space="preserve"> diagnostik</w:t>
      </w:r>
      <w:r w:rsidR="0047044D">
        <w:t>as</w:t>
      </w:r>
      <w:r w:rsidRPr="00485A95" w:rsidR="009370FF">
        <w:t xml:space="preserve"> </w:t>
      </w:r>
      <w:r w:rsidR="0047044D">
        <w:t>pakalpojumus</w:t>
      </w:r>
      <w:r w:rsidRPr="00485A95" w:rsidR="009370FF">
        <w:t>.</w:t>
      </w:r>
    </w:p>
    <w:p w:rsidR="00411CC2" w:rsidRPr="00485A95" w:rsidP="00F352AF" w14:paraId="763CDB41" w14:textId="77777777">
      <w:pPr>
        <w:jc w:val="both"/>
      </w:pPr>
    </w:p>
    <w:p w:rsidR="00C60E89" w:rsidRPr="00485A95" w:rsidP="00F352AF" w14:paraId="4A44BC58" w14:textId="6F4EA4DB">
      <w:pPr>
        <w:jc w:val="both"/>
        <w:rPr>
          <w:u w:val="single"/>
        </w:rPr>
      </w:pPr>
      <w:r w:rsidRPr="00485A95">
        <w:rPr>
          <w:u w:val="single"/>
        </w:rPr>
        <w:t>Speciālistu konsultācijas</w:t>
      </w:r>
    </w:p>
    <w:p w:rsidR="00C60E89" w:rsidRPr="00485A95" w:rsidP="00F352AF" w14:paraId="371769F5" w14:textId="0C1DEE31">
      <w:pPr>
        <w:jc w:val="both"/>
      </w:pPr>
    </w:p>
    <w:p w:rsidR="006B2D4E" w:rsidP="00973ABD" w14:paraId="0094AB08" w14:textId="257354C6">
      <w:pPr>
        <w:ind w:firstLine="720"/>
        <w:jc w:val="both"/>
      </w:pPr>
      <w:r w:rsidRPr="00485A95">
        <w:t xml:space="preserve">Lai veicinātu </w:t>
      </w:r>
      <w:r w:rsidRPr="00485A95" w:rsidR="008C0858">
        <w:t>agrīnu onkoloģisko slimību diagnostiku un ā</w:t>
      </w:r>
      <w:r w:rsidRPr="00485A95">
        <w:t>rstēšanu pacientiem nepieciešamas</w:t>
      </w:r>
      <w:r w:rsidRPr="00485A95" w:rsidR="008C0858">
        <w:t xml:space="preserve"> savlaicīgas speciālistu konsultācijas. </w:t>
      </w:r>
      <w:r w:rsidRPr="00485A95">
        <w:t>Līdz ar ko o</w:t>
      </w:r>
      <w:r w:rsidRPr="00485A95" w:rsidR="008C0858">
        <w:t xml:space="preserve">nkoloģijas jomas reformu ietvaros </w:t>
      </w:r>
      <w:r w:rsidRPr="00485A95">
        <w:t xml:space="preserve">plānots ievērojams speciālistu konsultāciju pieejamības pieaugums, paredzot attiecīgā speciālista (atbilstoši ļaundabīgā audzēja lokalizācijas vietai) pieejamību 10 darbdienu laikā no pacienta vēršanās ārstniecības iestādē vai konsultācijas pieteikšanas. </w:t>
      </w:r>
    </w:p>
    <w:p w:rsidR="00AE7744" w:rsidRPr="00485A95" w:rsidP="00973ABD" w14:paraId="5487FC35" w14:textId="0EA398CC">
      <w:pPr>
        <w:ind w:firstLine="720"/>
        <w:jc w:val="both"/>
      </w:pPr>
      <w:r w:rsidRPr="00485A95">
        <w:t>Atbilstoši pieejamības tvērumam, 2017.gadā plānots</w:t>
      </w:r>
      <w:r>
        <w:t xml:space="preserve"> 11 tūkst.</w:t>
      </w:r>
      <w:r w:rsidRPr="00485A95">
        <w:t xml:space="preserve"> unikālo onkoloģisko pacientu</w:t>
      </w:r>
      <w:r>
        <w:t xml:space="preserve"> </w:t>
      </w:r>
      <w:r w:rsidRPr="00485A95">
        <w:t xml:space="preserve">  ar aizdom</w:t>
      </w:r>
      <w:r w:rsidRPr="003A12F4">
        <w:t xml:space="preserve">ām uz onkoloģisku </w:t>
      </w:r>
      <w:r>
        <w:t xml:space="preserve"> </w:t>
      </w:r>
      <w:r w:rsidRPr="003A12F4">
        <w:t xml:space="preserve">saslimšanu </w:t>
      </w:r>
      <w:r>
        <w:t xml:space="preserve">un diagnosticēto slimību </w:t>
      </w:r>
      <w:r w:rsidRPr="003A12F4">
        <w:t>izmantos speciālista konsultācijas</w:t>
      </w:r>
      <w:r>
        <w:t>, t.sk. arī speciālistu konsīlijus ārstēšanas taktikas noteikšanai</w:t>
      </w:r>
      <w:r w:rsidRPr="003A12F4">
        <w:t>. Šādas speciālistu konsultācijas paredzētas Piejūras slimnīc</w:t>
      </w:r>
      <w:r>
        <w:t>ā</w:t>
      </w:r>
      <w:r w:rsidRPr="003A12F4">
        <w:t>, Liepājas reģionāl</w:t>
      </w:r>
      <w:r>
        <w:t>aj</w:t>
      </w:r>
      <w:r w:rsidRPr="003A12F4">
        <w:t>ā slimnīc</w:t>
      </w:r>
      <w:r>
        <w:t>ā</w:t>
      </w:r>
      <w:r w:rsidRPr="003A12F4">
        <w:t>, Rīgas Austrumu klīnisk</w:t>
      </w:r>
      <w:r>
        <w:t>aj</w:t>
      </w:r>
      <w:r w:rsidRPr="003A12F4">
        <w:t>ā universitātes slimnīc</w:t>
      </w:r>
      <w:r>
        <w:t>ā</w:t>
      </w:r>
      <w:r w:rsidRPr="003A12F4">
        <w:t>, P</w:t>
      </w:r>
      <w:r>
        <w:t xml:space="preserve">aula </w:t>
      </w:r>
      <w:r w:rsidRPr="003A12F4">
        <w:t>Stradiņa klīnisk</w:t>
      </w:r>
      <w:r>
        <w:t>aj</w:t>
      </w:r>
      <w:r w:rsidRPr="003A12F4">
        <w:t>ā universitātes slimnīc</w:t>
      </w:r>
      <w:r>
        <w:t>ā</w:t>
      </w:r>
      <w:r w:rsidRPr="003A12F4">
        <w:t>, Daugavpils reģionāl</w:t>
      </w:r>
      <w:r>
        <w:t>aj</w:t>
      </w:r>
      <w:r w:rsidRPr="003A12F4">
        <w:t>ā slimnīc</w:t>
      </w:r>
      <w:r>
        <w:t>ā</w:t>
      </w:r>
      <w:r w:rsidRPr="003A12F4">
        <w:t xml:space="preserve">. </w:t>
      </w:r>
      <w:r>
        <w:rPr>
          <w:color w:val="212121"/>
        </w:rPr>
        <w:t>No 2017.gada 1.aprīļa tika ieviesti pirmreizējo onkoloģisko pacientu konsīliju apmaksas jaunie nosacījumi.</w:t>
      </w:r>
    </w:p>
    <w:p w:rsidR="00D7513D" w:rsidP="00D7513D" w14:paraId="2BBD2463" w14:textId="77777777">
      <w:pPr>
        <w:ind w:firstLine="720"/>
        <w:jc w:val="right"/>
        <w:rPr>
          <w:i/>
        </w:rPr>
      </w:pPr>
    </w:p>
    <w:p w:rsidR="00F118D8" w:rsidRPr="00F352AF" w:rsidP="00D7513D" w14:paraId="2A06561B" w14:textId="0B287FD7">
      <w:pPr>
        <w:ind w:firstLine="720"/>
        <w:jc w:val="right"/>
        <w:rPr>
          <w:i/>
        </w:rPr>
      </w:pPr>
      <w:r>
        <w:rPr>
          <w:i/>
        </w:rPr>
        <w:t xml:space="preserve">2.tabula </w:t>
      </w:r>
    </w:p>
    <w:p w:rsidR="00F118D8" w:rsidRPr="00F352AF" w:rsidP="00F118D8" w14:paraId="468B0253" w14:textId="0A5B8DB4">
      <w:pPr>
        <w:jc w:val="center"/>
        <w:rPr>
          <w:color w:val="414142"/>
        </w:rPr>
      </w:pPr>
      <w:r>
        <w:rPr>
          <w:color w:val="414142"/>
        </w:rPr>
        <w:t>Speciālistu konsultācij</w:t>
      </w:r>
      <w:r w:rsidR="00DA1006">
        <w:rPr>
          <w:color w:val="414142"/>
        </w:rPr>
        <w:t>as 2017.</w:t>
      </w:r>
      <w:r>
        <w:rPr>
          <w:color w:val="414142"/>
        </w:rPr>
        <w:t>gada izpilde</w:t>
      </w:r>
    </w:p>
    <w:p w:rsidR="00F118D8" w:rsidRPr="007957A8" w:rsidP="008C0858" w14:paraId="2F05CCE9" w14:textId="4248B914">
      <w:pPr>
        <w:jc w:val="both"/>
        <w:rPr>
          <w:sz w:val="22"/>
          <w:szCs w:val="22"/>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1"/>
        <w:gridCol w:w="1418"/>
        <w:gridCol w:w="1329"/>
        <w:gridCol w:w="1303"/>
        <w:gridCol w:w="1337"/>
        <w:gridCol w:w="1329"/>
        <w:gridCol w:w="1222"/>
      </w:tblGrid>
      <w:tr w14:paraId="0523EECA" w14:textId="77777777" w:rsidTr="00DA1006">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00"/>
          <w:jc w:val="center"/>
        </w:trPr>
        <w:tc>
          <w:tcPr>
            <w:tcW w:w="1691" w:type="dxa"/>
            <w:vMerge w:val="restart"/>
            <w:shd w:val="clear" w:color="000000" w:fill="FCE4D6"/>
            <w:vAlign w:val="center"/>
            <w:hideMark/>
          </w:tcPr>
          <w:p w:rsidR="00DA1006" w:rsidRPr="00DA1006" w:rsidP="00DA1006" w14:paraId="06C5A6C6" w14:textId="77777777">
            <w:pPr>
              <w:jc w:val="center"/>
              <w:rPr>
                <w:b/>
                <w:bCs/>
                <w:color w:val="000000"/>
                <w:sz w:val="22"/>
                <w:szCs w:val="22"/>
              </w:rPr>
            </w:pPr>
            <w:r w:rsidRPr="00DA1006">
              <w:rPr>
                <w:b/>
                <w:bCs/>
                <w:color w:val="000000"/>
                <w:sz w:val="22"/>
                <w:szCs w:val="22"/>
              </w:rPr>
              <w:t xml:space="preserve">Speciālistu konsultācijas atbilstoši noteiktajiem algoritmiem </w:t>
            </w:r>
          </w:p>
        </w:tc>
        <w:tc>
          <w:tcPr>
            <w:tcW w:w="4050" w:type="dxa"/>
            <w:gridSpan w:val="3"/>
            <w:shd w:val="clear" w:color="000000" w:fill="FCE4D6"/>
            <w:vAlign w:val="center"/>
            <w:hideMark/>
          </w:tcPr>
          <w:p w:rsidR="00DA1006" w:rsidRPr="00DA1006" w:rsidP="00DA1006" w14:paraId="679B9C18" w14:textId="77777777">
            <w:pPr>
              <w:jc w:val="center"/>
              <w:rPr>
                <w:color w:val="000000"/>
                <w:sz w:val="22"/>
                <w:szCs w:val="22"/>
              </w:rPr>
            </w:pPr>
            <w:r w:rsidRPr="00DA1006">
              <w:rPr>
                <w:color w:val="000000"/>
                <w:sz w:val="22"/>
                <w:szCs w:val="22"/>
              </w:rPr>
              <w:t>Plānotais unikālo onkoloģisko pacientu apjoms</w:t>
            </w:r>
          </w:p>
        </w:tc>
        <w:tc>
          <w:tcPr>
            <w:tcW w:w="3888" w:type="dxa"/>
            <w:gridSpan w:val="3"/>
            <w:shd w:val="clear" w:color="000000" w:fill="FCE4D6"/>
            <w:vAlign w:val="center"/>
            <w:hideMark/>
          </w:tcPr>
          <w:p w:rsidR="00DA1006" w:rsidRPr="00DA1006" w:rsidP="00DA1006" w14:paraId="57C03E54" w14:textId="77777777">
            <w:pPr>
              <w:jc w:val="center"/>
              <w:rPr>
                <w:color w:val="000000"/>
                <w:sz w:val="22"/>
                <w:szCs w:val="22"/>
              </w:rPr>
            </w:pPr>
            <w:r w:rsidRPr="00DA1006">
              <w:rPr>
                <w:color w:val="000000"/>
                <w:sz w:val="22"/>
                <w:szCs w:val="22"/>
              </w:rPr>
              <w:t>Faktiskā izpilde  unikālo  onkoloģisko  pacientu apjomam</w:t>
            </w:r>
          </w:p>
        </w:tc>
      </w:tr>
      <w:tr w14:paraId="1622A972" w14:textId="77777777" w:rsidTr="00A97499">
        <w:tblPrEx>
          <w:tblW w:w="9629" w:type="dxa"/>
          <w:jc w:val="center"/>
          <w:tblLook w:val="04A0"/>
        </w:tblPrEx>
        <w:trPr>
          <w:trHeight w:val="1215"/>
          <w:jc w:val="center"/>
        </w:trPr>
        <w:tc>
          <w:tcPr>
            <w:tcW w:w="1691" w:type="dxa"/>
            <w:vMerge/>
            <w:vAlign w:val="center"/>
            <w:hideMark/>
          </w:tcPr>
          <w:p w:rsidR="00DA1006" w:rsidRPr="00DA1006" w:rsidP="00DA1006" w14:paraId="4E8C7FCB" w14:textId="77777777">
            <w:pPr>
              <w:rPr>
                <w:b/>
                <w:bCs/>
                <w:color w:val="000000"/>
                <w:sz w:val="22"/>
                <w:szCs w:val="22"/>
              </w:rPr>
            </w:pPr>
          </w:p>
        </w:tc>
        <w:tc>
          <w:tcPr>
            <w:tcW w:w="1418" w:type="dxa"/>
            <w:shd w:val="clear" w:color="000000" w:fill="FCE4D6"/>
            <w:vAlign w:val="center"/>
            <w:hideMark/>
          </w:tcPr>
          <w:p w:rsidR="00DA1006" w:rsidRPr="00DA1006" w:rsidP="00DA1006" w14:paraId="7F0F625D" w14:textId="79F998EB">
            <w:pPr>
              <w:jc w:val="center"/>
              <w:rPr>
                <w:color w:val="000000"/>
                <w:sz w:val="22"/>
                <w:szCs w:val="22"/>
              </w:rPr>
            </w:pPr>
            <w:r>
              <w:rPr>
                <w:color w:val="000000"/>
                <w:sz w:val="22"/>
                <w:szCs w:val="22"/>
              </w:rPr>
              <w:t>Plānotais pacientu</w:t>
            </w:r>
            <w:r w:rsidRPr="00396F05">
              <w:rPr>
                <w:color w:val="000000"/>
                <w:sz w:val="22"/>
                <w:szCs w:val="22"/>
              </w:rPr>
              <w:t xml:space="preserve"> </w:t>
            </w:r>
            <w:r>
              <w:rPr>
                <w:color w:val="000000"/>
                <w:sz w:val="22"/>
                <w:szCs w:val="22"/>
              </w:rPr>
              <w:t xml:space="preserve">skaits </w:t>
            </w:r>
            <w:r w:rsidRPr="00396F05">
              <w:rPr>
                <w:color w:val="000000"/>
                <w:sz w:val="22"/>
                <w:szCs w:val="22"/>
              </w:rPr>
              <w:t>gadā</w:t>
            </w:r>
          </w:p>
        </w:tc>
        <w:tc>
          <w:tcPr>
            <w:tcW w:w="1329" w:type="dxa"/>
            <w:shd w:val="clear" w:color="000000" w:fill="FCE4D6"/>
            <w:vAlign w:val="center"/>
            <w:hideMark/>
          </w:tcPr>
          <w:p w:rsidR="00DA1006" w:rsidRPr="00DA1006" w:rsidP="00DA1006" w14:paraId="0C3D7EE7" w14:textId="77777777">
            <w:pPr>
              <w:jc w:val="center"/>
              <w:rPr>
                <w:color w:val="000000"/>
                <w:sz w:val="22"/>
                <w:szCs w:val="22"/>
              </w:rPr>
            </w:pPr>
            <w:r w:rsidRPr="00DA1006">
              <w:rPr>
                <w:color w:val="000000"/>
                <w:sz w:val="22"/>
                <w:szCs w:val="22"/>
              </w:rPr>
              <w:t xml:space="preserve">Finansējums  2017.gadā </w:t>
            </w:r>
            <w:r w:rsidRPr="00DA1006">
              <w:rPr>
                <w:i/>
                <w:iCs/>
                <w:color w:val="000000"/>
                <w:sz w:val="22"/>
                <w:szCs w:val="22"/>
              </w:rPr>
              <w:t>euro</w:t>
            </w:r>
          </w:p>
        </w:tc>
        <w:tc>
          <w:tcPr>
            <w:tcW w:w="1303" w:type="dxa"/>
            <w:shd w:val="clear" w:color="000000" w:fill="FCE4D6"/>
            <w:vAlign w:val="center"/>
            <w:hideMark/>
          </w:tcPr>
          <w:p w:rsidR="00DA1006" w:rsidRPr="00DA1006" w:rsidP="00DA1006" w14:paraId="2E3A13CC" w14:textId="77777777">
            <w:pPr>
              <w:jc w:val="center"/>
              <w:rPr>
                <w:color w:val="000000"/>
                <w:sz w:val="22"/>
                <w:szCs w:val="22"/>
              </w:rPr>
            </w:pPr>
            <w:r w:rsidRPr="00DA1006">
              <w:rPr>
                <w:color w:val="000000"/>
                <w:sz w:val="22"/>
                <w:szCs w:val="22"/>
              </w:rPr>
              <w:t xml:space="preserve">Vidējā izmaksa 2017.gadā </w:t>
            </w:r>
            <w:r w:rsidRPr="00DA1006">
              <w:rPr>
                <w:i/>
                <w:iCs/>
                <w:color w:val="000000"/>
                <w:sz w:val="22"/>
                <w:szCs w:val="22"/>
              </w:rPr>
              <w:t>euro</w:t>
            </w:r>
          </w:p>
        </w:tc>
        <w:tc>
          <w:tcPr>
            <w:tcW w:w="1337" w:type="dxa"/>
            <w:shd w:val="clear" w:color="000000" w:fill="FCE4D6"/>
            <w:vAlign w:val="center"/>
            <w:hideMark/>
          </w:tcPr>
          <w:p w:rsidR="00DA1006" w:rsidRPr="00DA1006" w:rsidP="00DA1006" w14:paraId="05165593" w14:textId="3A1F8BA9">
            <w:pPr>
              <w:jc w:val="center"/>
              <w:rPr>
                <w:color w:val="000000"/>
                <w:sz w:val="22"/>
                <w:szCs w:val="22"/>
              </w:rPr>
            </w:pPr>
            <w:r>
              <w:rPr>
                <w:color w:val="000000"/>
                <w:sz w:val="22"/>
                <w:szCs w:val="22"/>
              </w:rPr>
              <w:t xml:space="preserve">Pacientu skaita </w:t>
            </w:r>
            <w:r w:rsidRPr="00396F05">
              <w:rPr>
                <w:color w:val="000000"/>
                <w:sz w:val="22"/>
                <w:szCs w:val="22"/>
              </w:rPr>
              <w:t>pieaugums 2017.gadā</w:t>
            </w:r>
          </w:p>
        </w:tc>
        <w:tc>
          <w:tcPr>
            <w:tcW w:w="1329" w:type="dxa"/>
            <w:shd w:val="clear" w:color="000000" w:fill="FCE4D6"/>
            <w:vAlign w:val="center"/>
            <w:hideMark/>
          </w:tcPr>
          <w:p w:rsidR="00DA1006" w:rsidRPr="00DA1006" w:rsidP="00DA1006" w14:paraId="44DDA16C" w14:textId="77777777">
            <w:pPr>
              <w:jc w:val="center"/>
              <w:rPr>
                <w:color w:val="000000"/>
                <w:sz w:val="22"/>
                <w:szCs w:val="22"/>
              </w:rPr>
            </w:pPr>
            <w:r w:rsidRPr="00DA1006">
              <w:rPr>
                <w:color w:val="000000"/>
                <w:sz w:val="22"/>
                <w:szCs w:val="22"/>
              </w:rPr>
              <w:t xml:space="preserve">Finansējums 2017.gadā </w:t>
            </w:r>
            <w:r w:rsidRPr="00DA1006">
              <w:rPr>
                <w:i/>
                <w:iCs/>
                <w:color w:val="000000"/>
                <w:sz w:val="22"/>
                <w:szCs w:val="22"/>
              </w:rPr>
              <w:t>euro</w:t>
            </w:r>
          </w:p>
        </w:tc>
        <w:tc>
          <w:tcPr>
            <w:tcW w:w="1222" w:type="dxa"/>
            <w:shd w:val="clear" w:color="000000" w:fill="FCE4D6"/>
            <w:vAlign w:val="center"/>
            <w:hideMark/>
          </w:tcPr>
          <w:p w:rsidR="00DA1006" w:rsidRPr="00DA1006" w:rsidP="00DA1006" w14:paraId="05868ED8" w14:textId="77777777">
            <w:pPr>
              <w:jc w:val="center"/>
              <w:rPr>
                <w:color w:val="000000"/>
                <w:sz w:val="22"/>
                <w:szCs w:val="22"/>
              </w:rPr>
            </w:pPr>
            <w:r w:rsidRPr="00DA1006">
              <w:rPr>
                <w:color w:val="000000"/>
                <w:sz w:val="22"/>
                <w:szCs w:val="22"/>
              </w:rPr>
              <w:t xml:space="preserve">Vidējā izmaksa 2017.gadā </w:t>
            </w:r>
            <w:r w:rsidRPr="00DA1006">
              <w:rPr>
                <w:i/>
                <w:iCs/>
                <w:color w:val="000000"/>
                <w:sz w:val="22"/>
                <w:szCs w:val="22"/>
              </w:rPr>
              <w:t>euro</w:t>
            </w:r>
          </w:p>
        </w:tc>
      </w:tr>
      <w:tr w14:paraId="2FEE8794" w14:textId="77777777" w:rsidTr="00A97499">
        <w:tblPrEx>
          <w:tblW w:w="9629" w:type="dxa"/>
          <w:jc w:val="center"/>
          <w:tblLook w:val="04A0"/>
        </w:tblPrEx>
        <w:trPr>
          <w:trHeight w:val="315"/>
          <w:jc w:val="center"/>
        </w:trPr>
        <w:tc>
          <w:tcPr>
            <w:tcW w:w="1691" w:type="dxa"/>
            <w:shd w:val="clear" w:color="auto" w:fill="auto"/>
            <w:noWrap/>
            <w:vAlign w:val="center"/>
            <w:hideMark/>
          </w:tcPr>
          <w:p w:rsidR="00DA1006" w:rsidRPr="00DA1006" w:rsidP="00DA1006" w14:paraId="4ACB3E00" w14:textId="77777777">
            <w:pPr>
              <w:jc w:val="center"/>
              <w:rPr>
                <w:color w:val="000000"/>
                <w:sz w:val="22"/>
                <w:szCs w:val="22"/>
              </w:rPr>
            </w:pPr>
            <w:r w:rsidRPr="00DA1006">
              <w:rPr>
                <w:color w:val="000000"/>
                <w:sz w:val="22"/>
                <w:szCs w:val="22"/>
              </w:rPr>
              <w:t>5 ārstniecības iestādes</w:t>
            </w:r>
          </w:p>
        </w:tc>
        <w:tc>
          <w:tcPr>
            <w:tcW w:w="1418" w:type="dxa"/>
            <w:shd w:val="clear" w:color="auto" w:fill="auto"/>
            <w:noWrap/>
            <w:vAlign w:val="center"/>
            <w:hideMark/>
          </w:tcPr>
          <w:p w:rsidR="00DA1006" w:rsidRPr="00DA1006" w:rsidP="00DA1006" w14:paraId="721659B1" w14:textId="77777777">
            <w:pPr>
              <w:jc w:val="center"/>
              <w:rPr>
                <w:color w:val="000000"/>
                <w:sz w:val="22"/>
                <w:szCs w:val="22"/>
              </w:rPr>
            </w:pPr>
            <w:r w:rsidRPr="00DA1006">
              <w:rPr>
                <w:color w:val="000000"/>
                <w:sz w:val="22"/>
                <w:szCs w:val="22"/>
              </w:rPr>
              <w:t>11 000</w:t>
            </w:r>
          </w:p>
        </w:tc>
        <w:tc>
          <w:tcPr>
            <w:tcW w:w="1329" w:type="dxa"/>
            <w:shd w:val="clear" w:color="auto" w:fill="auto"/>
            <w:noWrap/>
            <w:vAlign w:val="center"/>
            <w:hideMark/>
          </w:tcPr>
          <w:p w:rsidR="00DA1006" w:rsidRPr="00DA1006" w:rsidP="00DA1006" w14:paraId="5E7BD761" w14:textId="77777777">
            <w:pPr>
              <w:jc w:val="center"/>
              <w:rPr>
                <w:color w:val="000000"/>
                <w:sz w:val="22"/>
                <w:szCs w:val="22"/>
              </w:rPr>
            </w:pPr>
            <w:r w:rsidRPr="00DA1006">
              <w:rPr>
                <w:color w:val="000000"/>
                <w:sz w:val="22"/>
                <w:szCs w:val="22"/>
              </w:rPr>
              <w:t>650 278</w:t>
            </w:r>
          </w:p>
        </w:tc>
        <w:tc>
          <w:tcPr>
            <w:tcW w:w="1303" w:type="dxa"/>
            <w:shd w:val="clear" w:color="auto" w:fill="auto"/>
            <w:noWrap/>
            <w:vAlign w:val="center"/>
            <w:hideMark/>
          </w:tcPr>
          <w:p w:rsidR="00DA1006" w:rsidRPr="00DA1006" w:rsidP="00DA1006" w14:paraId="50029CA6" w14:textId="77777777">
            <w:pPr>
              <w:jc w:val="center"/>
              <w:rPr>
                <w:color w:val="000000"/>
                <w:sz w:val="22"/>
                <w:szCs w:val="22"/>
              </w:rPr>
            </w:pPr>
            <w:r w:rsidRPr="00DA1006">
              <w:rPr>
                <w:color w:val="000000"/>
                <w:sz w:val="22"/>
                <w:szCs w:val="22"/>
              </w:rPr>
              <w:t>59,12</w:t>
            </w:r>
          </w:p>
        </w:tc>
        <w:tc>
          <w:tcPr>
            <w:tcW w:w="1337" w:type="dxa"/>
            <w:shd w:val="clear" w:color="auto" w:fill="auto"/>
            <w:noWrap/>
            <w:vAlign w:val="center"/>
            <w:hideMark/>
          </w:tcPr>
          <w:p w:rsidR="00DA1006" w:rsidRPr="00DA1006" w:rsidP="00DA1006" w14:paraId="0F40622D" w14:textId="396D6C81">
            <w:pPr>
              <w:jc w:val="center"/>
              <w:rPr>
                <w:color w:val="000000"/>
                <w:sz w:val="22"/>
                <w:szCs w:val="22"/>
              </w:rPr>
            </w:pPr>
            <w:r>
              <w:rPr>
                <w:color w:val="000000"/>
                <w:sz w:val="22"/>
                <w:szCs w:val="22"/>
              </w:rPr>
              <w:t>33 683</w:t>
            </w:r>
          </w:p>
        </w:tc>
        <w:tc>
          <w:tcPr>
            <w:tcW w:w="1329" w:type="dxa"/>
            <w:shd w:val="clear" w:color="auto" w:fill="auto"/>
            <w:noWrap/>
            <w:vAlign w:val="center"/>
            <w:hideMark/>
          </w:tcPr>
          <w:p w:rsidR="00DA1006" w:rsidRPr="00DA1006" w:rsidP="00DA1006" w14:paraId="340311F8" w14:textId="77777777">
            <w:pPr>
              <w:jc w:val="center"/>
              <w:rPr>
                <w:color w:val="000000"/>
                <w:sz w:val="22"/>
                <w:szCs w:val="22"/>
              </w:rPr>
            </w:pPr>
            <w:r w:rsidRPr="00DA1006">
              <w:rPr>
                <w:color w:val="000000"/>
                <w:sz w:val="22"/>
                <w:szCs w:val="22"/>
              </w:rPr>
              <w:t>658 720</w:t>
            </w:r>
          </w:p>
        </w:tc>
        <w:tc>
          <w:tcPr>
            <w:tcW w:w="1222" w:type="dxa"/>
            <w:shd w:val="clear" w:color="auto" w:fill="auto"/>
            <w:noWrap/>
            <w:vAlign w:val="center"/>
            <w:hideMark/>
          </w:tcPr>
          <w:p w:rsidR="00DA1006" w:rsidRPr="00DA1006" w:rsidP="00DA1006" w14:paraId="74D524B7" w14:textId="4D0C6626">
            <w:pPr>
              <w:jc w:val="center"/>
              <w:rPr>
                <w:color w:val="000000"/>
                <w:sz w:val="22"/>
                <w:szCs w:val="22"/>
              </w:rPr>
            </w:pPr>
            <w:r>
              <w:rPr>
                <w:color w:val="000000"/>
                <w:sz w:val="22"/>
                <w:szCs w:val="22"/>
              </w:rPr>
              <w:t>19,56</w:t>
            </w:r>
          </w:p>
        </w:tc>
      </w:tr>
    </w:tbl>
    <w:p w:rsidR="007957A8" w:rsidP="007957A8" w14:paraId="5FFC10A3" w14:textId="77777777">
      <w:pPr>
        <w:jc w:val="both"/>
        <w:rPr>
          <w:i/>
          <w:sz w:val="20"/>
          <w:szCs w:val="20"/>
        </w:rPr>
      </w:pPr>
      <w:r w:rsidRPr="006E1FFA">
        <w:rPr>
          <w:i/>
          <w:sz w:val="20"/>
          <w:szCs w:val="20"/>
        </w:rPr>
        <w:t>Avots</w:t>
      </w:r>
      <w:r w:rsidRPr="008603A3">
        <w:rPr>
          <w:i/>
          <w:sz w:val="20"/>
          <w:szCs w:val="20"/>
        </w:rPr>
        <w:t>: NVD</w:t>
      </w:r>
    </w:p>
    <w:p w:rsidR="00F118D8" w:rsidRPr="007957A8" w:rsidP="008C0858" w14:paraId="0DDA240A" w14:textId="77777777">
      <w:pPr>
        <w:jc w:val="both"/>
        <w:rPr>
          <w:sz w:val="22"/>
          <w:szCs w:val="22"/>
        </w:rPr>
      </w:pPr>
    </w:p>
    <w:p w:rsidR="00AE7744" w:rsidRPr="00953C95" w:rsidP="00AE7744" w14:paraId="52A79198" w14:textId="22D08F04">
      <w:pPr>
        <w:shd w:val="clear" w:color="auto" w:fill="FFFFFF"/>
        <w:ind w:firstLine="720"/>
        <w:jc w:val="both"/>
        <w:rPr>
          <w:rFonts w:ascii="Segoe UI" w:hAnsi="Segoe UI" w:cs="Segoe UI"/>
          <w:color w:val="212121"/>
        </w:rPr>
      </w:pPr>
      <w:r>
        <w:rPr>
          <w:color w:val="212121"/>
        </w:rPr>
        <w:t xml:space="preserve">Tā kā izpratne un uzticība zaļā koridora darbībai veidojās pakāpeniski, tad gada laikā pacienti onkoloģisko slimību diagnostikai </w:t>
      </w:r>
      <w:r w:rsidR="00981AC7">
        <w:rPr>
          <w:color w:val="212121"/>
        </w:rPr>
        <w:t>paralēli</w:t>
      </w:r>
      <w:r>
        <w:rPr>
          <w:color w:val="212121"/>
        </w:rPr>
        <w:t xml:space="preserve"> tika virzīti arī  vispārīgā kārtībā</w:t>
      </w:r>
      <w:r w:rsidR="005B1094">
        <w:rPr>
          <w:color w:val="212121"/>
        </w:rPr>
        <w:t xml:space="preserve"> uz</w:t>
      </w:r>
      <w:r>
        <w:rPr>
          <w:color w:val="212121"/>
        </w:rPr>
        <w:t xml:space="preserve"> specializētām ārstniecības iestādēm pie onkologa</w:t>
      </w:r>
      <w:r w:rsidR="00F51EA1">
        <w:rPr>
          <w:color w:val="212121"/>
        </w:rPr>
        <w:t xml:space="preserve"> -</w:t>
      </w:r>
      <w:r>
        <w:rPr>
          <w:color w:val="212121"/>
        </w:rPr>
        <w:t xml:space="preserve"> </w:t>
      </w:r>
      <w:r>
        <w:rPr>
          <w:color w:val="212121"/>
        </w:rPr>
        <w:t>ķīmijterapeita</w:t>
      </w:r>
      <w:r>
        <w:rPr>
          <w:color w:val="212121"/>
        </w:rPr>
        <w:t xml:space="preserve"> konsultācijas saņemšanai par slimības diagnostiku un ārstēšanas taktiku un pēc tam novirzīti pie attiecīgā speciālista. Šāda kārtība turpinājās arī tajās lokalizācijās kurās sākotnēji nebija izstrādāti diagnostikas algoritmi. </w:t>
      </w:r>
      <w:r w:rsidRPr="00953C95">
        <w:rPr>
          <w:color w:val="212121"/>
        </w:rPr>
        <w:t xml:space="preserve">Tāpat </w:t>
      </w:r>
      <w:r>
        <w:rPr>
          <w:color w:val="212121"/>
        </w:rPr>
        <w:t xml:space="preserve">2017.gada laikā tika </w:t>
      </w:r>
      <w:r w:rsidRPr="00953C95">
        <w:rPr>
          <w:color w:val="212121"/>
        </w:rPr>
        <w:t xml:space="preserve">paplašināts ārstu loks, kuri ir tiesīgi nosūtīt pacientu </w:t>
      </w:r>
      <w:r>
        <w:rPr>
          <w:color w:val="212121"/>
        </w:rPr>
        <w:t>speciālista konsultāciju saņemšanai</w:t>
      </w:r>
      <w:r w:rsidR="00860E0E">
        <w:rPr>
          <w:color w:val="212121"/>
        </w:rPr>
        <w:t xml:space="preserve"> aizdomu gadījumā par ļaundabīgu saslimšanu</w:t>
      </w:r>
      <w:r>
        <w:rPr>
          <w:color w:val="212121"/>
        </w:rPr>
        <w:t>.</w:t>
      </w:r>
      <w:r w:rsidRPr="00953C95">
        <w:rPr>
          <w:color w:val="212121"/>
        </w:rPr>
        <w:t xml:space="preserve"> </w:t>
      </w:r>
      <w:r>
        <w:rPr>
          <w:color w:val="212121"/>
        </w:rPr>
        <w:t>Š</w:t>
      </w:r>
      <w:r w:rsidRPr="00953C95">
        <w:rPr>
          <w:color w:val="212121"/>
        </w:rPr>
        <w:t>ādu nosūtījumu var izsniegt ne tikai ģimenes ārsti, bet arī ginekologi (savas kompetences ietvaros) un ārsti-speciālisti piecās specializētajās ārstniecības iestādēs – Rīgas Austrumu klīniskajā universitātes slimnīcā, Paula Stradiņa Klīniskajā universitātes slimnīcā, Liepājas reģionālajā slimnīcā, Piejūras slimnīcā un Daugavpils reģionālajā slimnīcā. Tādējādi tik</w:t>
      </w:r>
      <w:r>
        <w:rPr>
          <w:color w:val="212121"/>
        </w:rPr>
        <w:t>a</w:t>
      </w:r>
      <w:r w:rsidRPr="00953C95">
        <w:rPr>
          <w:color w:val="212121"/>
        </w:rPr>
        <w:t xml:space="preserve"> atvieglots pacienta “ceļš” līdz </w:t>
      </w:r>
      <w:r>
        <w:rPr>
          <w:color w:val="212121"/>
        </w:rPr>
        <w:t xml:space="preserve">speciālista konsultācijai </w:t>
      </w:r>
      <w:r w:rsidRPr="00953C95">
        <w:rPr>
          <w:color w:val="212121"/>
        </w:rPr>
        <w:t>un paātrināta diagnozes noteikšana</w:t>
      </w:r>
      <w:r>
        <w:rPr>
          <w:color w:val="212121"/>
        </w:rPr>
        <w:t>.</w:t>
      </w:r>
    </w:p>
    <w:p w:rsidR="00AE7744" w:rsidRPr="00A80C31" w:rsidP="00AE7744" w14:paraId="01895E9F" w14:textId="774F68D6">
      <w:pPr>
        <w:ind w:firstLine="720"/>
        <w:jc w:val="both"/>
      </w:pPr>
      <w:r>
        <w:t>G</w:t>
      </w:r>
      <w:r w:rsidRPr="00A80C31">
        <w:t>ada</w:t>
      </w:r>
      <w:r>
        <w:t xml:space="preserve"> sākumā, kamēr nebija ieviesta speciālistu konsīlija apmaksa</w:t>
      </w:r>
      <w:r w:rsidRPr="00A80C31">
        <w:t xml:space="preserve"> </w:t>
      </w:r>
      <w:r>
        <w:t>vienam unikālajam pacientam</w:t>
      </w:r>
      <w:r w:rsidRPr="00A80C31">
        <w:t xml:space="preserve"> </w:t>
      </w:r>
      <w:r>
        <w:t>ir veiktas</w:t>
      </w:r>
      <w:r w:rsidRPr="00A80C31">
        <w:t xml:space="preserve"> no </w:t>
      </w:r>
      <w:r>
        <w:t xml:space="preserve">4 līdz </w:t>
      </w:r>
      <w:r w:rsidRPr="00A80C31">
        <w:t xml:space="preserve">5 </w:t>
      </w:r>
      <w:r>
        <w:t>speciālistu konsultācij</w:t>
      </w:r>
      <w:r w:rsidR="00662658">
        <w:t>ām, ko</w:t>
      </w:r>
      <w:r>
        <w:t xml:space="preserve"> vēlāk aizstāja viena manipulācija</w:t>
      </w:r>
      <w:r w:rsidR="00662658">
        <w:t xml:space="preserve"> </w:t>
      </w:r>
      <w:r w:rsidRPr="00A80C31">
        <w:t>– konsīliju</w:t>
      </w:r>
      <w:r>
        <w:t xml:space="preserve"> apmaksa (4 speciālisti konsīlijā)</w:t>
      </w:r>
      <w:r w:rsidRPr="00A80C31">
        <w:t xml:space="preserve"> ārstniecības iestādē</w:t>
      </w:r>
      <w:r>
        <w:t xml:space="preserve"> noteiktas lokalizācijas audzējiem.</w:t>
      </w:r>
      <w:r w:rsidRPr="00A80C31">
        <w:t xml:space="preserve"> Ņemot vērā, </w:t>
      </w:r>
      <w:r w:rsidR="00662658">
        <w:t xml:space="preserve">to </w:t>
      </w:r>
      <w:r w:rsidRPr="00A80C31">
        <w:t xml:space="preserve">ka unikālo pacienu ārstēšanas process ir uzsākts </w:t>
      </w:r>
      <w:r>
        <w:t>gada sākumā</w:t>
      </w:r>
      <w:r w:rsidR="00662658">
        <w:t xml:space="preserve"> un</w:t>
      </w:r>
      <w:r>
        <w:t xml:space="preserve"> </w:t>
      </w:r>
      <w:r w:rsidRPr="00A80C31">
        <w:t xml:space="preserve">līdz </w:t>
      </w:r>
      <w:r>
        <w:t>gada</w:t>
      </w:r>
      <w:r w:rsidRPr="00A80C31">
        <w:t xml:space="preserve"> beigām plāno</w:t>
      </w:r>
      <w:r>
        <w:t>t</w:t>
      </w:r>
      <w:r w:rsidR="00662658">
        <w:t>o</w:t>
      </w:r>
      <w:r w:rsidRPr="00A80C31">
        <w:t xml:space="preserve"> ārstēšanu uzsākuš</w:t>
      </w:r>
      <w:r w:rsidR="00662658">
        <w:t>ie</w:t>
      </w:r>
      <w:r w:rsidRPr="00A80C31">
        <w:t xml:space="preserve"> pacient</w:t>
      </w:r>
      <w:r w:rsidR="00662658">
        <w:t>i</w:t>
      </w:r>
      <w:r w:rsidRPr="00A80C31">
        <w:t xml:space="preserve"> </w:t>
      </w:r>
      <w:r w:rsidR="00662658">
        <w:t xml:space="preserve">ir saņēmuši </w:t>
      </w:r>
      <w:r w:rsidRPr="00A80C31">
        <w:t>atkārtot</w:t>
      </w:r>
      <w:r>
        <w:t>as</w:t>
      </w:r>
      <w:r w:rsidRPr="00A80C31">
        <w:t xml:space="preserve"> vizī</w:t>
      </w:r>
      <w:r>
        <w:t>tes</w:t>
      </w:r>
      <w:r w:rsidRPr="00A80C31">
        <w:t xml:space="preserve">, </w:t>
      </w:r>
      <w:r w:rsidR="00662658">
        <w:t>tā rezultātā</w:t>
      </w:r>
      <w:r w:rsidRPr="00A80C31">
        <w:t xml:space="preserve"> gada ietvaros </w:t>
      </w:r>
      <w:r>
        <w:t>ir samazinājies</w:t>
      </w:r>
      <w:r w:rsidRPr="00A80C31">
        <w:t xml:space="preserve"> faktisk</w:t>
      </w:r>
      <w:r>
        <w:t>ā konsultāciju vidējā izmaksa</w:t>
      </w:r>
      <w:r w:rsidRPr="00A80C31">
        <w:t xml:space="preserve"> </w:t>
      </w:r>
      <w:r>
        <w:t xml:space="preserve">kā sākotnēji tika </w:t>
      </w:r>
      <w:r w:rsidRPr="00A80C31">
        <w:t>plānot</w:t>
      </w:r>
      <w:r>
        <w:t>s</w:t>
      </w:r>
      <w:r w:rsidRPr="00A80C31">
        <w:t>.</w:t>
      </w:r>
      <w:r>
        <w:t xml:space="preserve"> </w:t>
      </w:r>
      <w:r w:rsidR="00662658">
        <w:t>Piemēram, v</w:t>
      </w:r>
      <w:r>
        <w:t>ienas konsultācijas izmaksas ietekmēja faktors, ka ne visās konsultācijās speciālisti veic papildus manipulācijas, piemēram, ādas  audu parauga paņemšana tiek veikta pirmajā konsultācijā, bet rezultātu skaidrošana nākamajā konsultācijā.</w:t>
      </w:r>
    </w:p>
    <w:p w:rsidR="00AE7744" w:rsidP="00AE7744" w14:paraId="781A4440" w14:textId="3C75C2DE">
      <w:pPr>
        <w:ind w:firstLine="720"/>
        <w:jc w:val="both"/>
      </w:pPr>
      <w:r>
        <w:t>2017.gadā onkoloģisko pacientu konsultāciju aptvere ir</w:t>
      </w:r>
      <w:r w:rsidR="00F51EA1">
        <w:t xml:space="preserve"> 306,21% no gada plānotā unikālo</w:t>
      </w:r>
      <w:r>
        <w:t xml:space="preserve"> onkoloģisko pacientu apjoma,</w:t>
      </w:r>
      <w:r w:rsidRPr="00610B6E">
        <w:t xml:space="preserve"> </w:t>
      </w:r>
      <w:r>
        <w:t>paplašinot</w:t>
      </w:r>
      <w:r w:rsidRPr="00610B6E">
        <w:t xml:space="preserve"> </w:t>
      </w:r>
      <w:r>
        <w:t>“zaļā koridora” ļaundabīgo audzēju lokalizācijas, tādējādi turpinot palielināt arī pieejamību pie speciālistiem ar citām ļaundabīgo audzēju saslimšanām. Tāpat ārstniecības iestādēs pēc līgumu noslēgšanas ar Nacionālo veselības dienestu bija nepieciešams veikt darba organizācijas maiņu attiecībā uz iespējām nodrošināt lielāku valsts apmaks</w:t>
      </w:r>
      <w:r w:rsidR="00F51EA1">
        <w:t>ājamo pakalpojumu apjomu</w:t>
      </w:r>
      <w:r w:rsidR="00662658">
        <w:t xml:space="preserve">, </w:t>
      </w:r>
      <w:r w:rsidR="001C6722">
        <w:t>k</w:t>
      </w:r>
      <w:r w:rsidR="00662658">
        <w:t>ā rezultātā</w:t>
      </w:r>
      <w:r>
        <w:t xml:space="preserve"> papildus konsultāciju sniegšanas uzsākšana starp ārstniecības iestādēm </w:t>
      </w:r>
      <w:r w:rsidR="00662658">
        <w:t xml:space="preserve">ir </w:t>
      </w:r>
      <w:r>
        <w:t xml:space="preserve">notikusi atšķirīgi. </w:t>
      </w:r>
    </w:p>
    <w:p w:rsidR="006A20AC" w:rsidP="00AE7744" w14:paraId="0516EC31" w14:textId="755DDFB0">
      <w:pPr>
        <w:ind w:firstLine="720"/>
        <w:jc w:val="both"/>
      </w:pPr>
      <w:r>
        <w:t>Ņemot vērā minēto, līdz 2017.gada 31.decembrim speciālistu konsultāciju  aptvere onkoloģijas jomā ir ievērojami pieaugusi, jo ārstniecības iestādes ir izstrādājušas noteiktus, organizatoriskus mehānismus konsultāciju organizēšanai</w:t>
      </w:r>
      <w:r w:rsidR="00121331">
        <w:t xml:space="preserve">. </w:t>
      </w:r>
    </w:p>
    <w:p w:rsidR="00973ABD" w:rsidP="00973ABD" w14:paraId="2B3BB86D" w14:textId="77777777">
      <w:pPr>
        <w:jc w:val="both"/>
      </w:pPr>
    </w:p>
    <w:p w:rsidR="00D7513D" w:rsidP="00973ABD" w14:paraId="31261AB9" w14:textId="5685CB0D">
      <w:pPr>
        <w:jc w:val="both"/>
        <w:rPr>
          <w:u w:val="single"/>
        </w:rPr>
      </w:pPr>
    </w:p>
    <w:p w:rsidR="00973ABD" w:rsidP="00973ABD" w14:paraId="18EB58BA" w14:textId="6D0342C9">
      <w:pPr>
        <w:jc w:val="both"/>
        <w:rPr>
          <w:u w:val="single"/>
        </w:rPr>
      </w:pPr>
      <w:r w:rsidRPr="00D60D9F">
        <w:rPr>
          <w:u w:val="single"/>
        </w:rPr>
        <w:t xml:space="preserve">Sekundārā diagnostika un izmeklējumi  </w:t>
      </w:r>
    </w:p>
    <w:p w:rsidR="00A1482C" w:rsidRPr="00D60D9F" w:rsidP="00973ABD" w14:paraId="1EC1CD53" w14:textId="77777777">
      <w:pPr>
        <w:jc w:val="both"/>
        <w:rPr>
          <w:u w:val="single"/>
        </w:rPr>
      </w:pPr>
    </w:p>
    <w:p w:rsidR="00AE7744" w:rsidP="00AE7744" w14:paraId="5668C390" w14:textId="360B49F8">
      <w:pPr>
        <w:ind w:firstLine="335"/>
        <w:jc w:val="both"/>
      </w:pPr>
      <w:r>
        <w:tab/>
      </w:r>
      <w:r>
        <w:t>Ļaundabīgo audzēju sekundārās diagnostikas noteiktām lokalizācijām kārtība  paredz ārstniecības iestādēm, kas specializējušās onkoloģisko slimību ārstēšanā, pēc speciālistu konsultācijas p</w:t>
      </w:r>
      <w:r w:rsidR="00D14D82">
        <w:t>rimārā</w:t>
      </w:r>
      <w:r>
        <w:t xml:space="preserve"> kārtībā veikt visus tālāk nepieciešamos izmeklējumus onkoloģisko pacientu sekundārai diagnostikai, kas nodrošina  onkoloģiskās slimības morfoloģisku apstiprināšanu un  tās izplatības noteikšanu.</w:t>
      </w:r>
    </w:p>
    <w:p w:rsidR="00D7513D" w:rsidRPr="00D7513D" w:rsidP="00AE7744" w14:paraId="39F8909C" w14:textId="7003F1CD">
      <w:pPr>
        <w:jc w:val="both"/>
      </w:pPr>
      <w:r>
        <w:tab/>
      </w:r>
      <w:r w:rsidRPr="003A12F4">
        <w:t xml:space="preserve">2017.gadā </w:t>
      </w:r>
      <w:r w:rsidR="00D67996">
        <w:t xml:space="preserve">bija </w:t>
      </w:r>
      <w:r w:rsidRPr="003A12F4">
        <w:t>pl</w:t>
      </w:r>
      <w:r>
        <w:t>ānoti 14,6 tūkst. sekundāro diagnostiku saņemoš</w:t>
      </w:r>
      <w:r w:rsidR="00D67996">
        <w:t>ie</w:t>
      </w:r>
      <w:r>
        <w:t xml:space="preserve"> onkoloģisk</w:t>
      </w:r>
      <w:r w:rsidR="00D67996">
        <w:t>ie</w:t>
      </w:r>
      <w:r>
        <w:t xml:space="preserve"> pacient</w:t>
      </w:r>
      <w:r w:rsidR="00D67996">
        <w:t>i</w:t>
      </w:r>
      <w:r w:rsidRPr="003A12F4">
        <w:t>, kuri</w:t>
      </w:r>
      <w:r>
        <w:t>em atbilstoši noteiktajiem algoritmiem tik</w:t>
      </w:r>
      <w:r w:rsidR="00D67996">
        <w:t>tu</w:t>
      </w:r>
      <w:r>
        <w:t xml:space="preserve"> veikta slimību morfoloģiska diagnostika, diferenciālā diagnostika, slimības izplatības novērtējums. </w:t>
      </w:r>
      <w:r w:rsidRPr="003A12F4">
        <w:t>Š</w:t>
      </w:r>
      <w:r>
        <w:t>ādus veselības aprūpes pakalpojumus nodrošin</w:t>
      </w:r>
      <w:r w:rsidR="00D14D82">
        <w:t>a</w:t>
      </w:r>
      <w:r>
        <w:t xml:space="preserve"> </w:t>
      </w:r>
      <w:r w:rsidRPr="003A12F4">
        <w:t>Piejūras slimnīc</w:t>
      </w:r>
      <w:r>
        <w:t>ā</w:t>
      </w:r>
      <w:r w:rsidRPr="003A12F4">
        <w:t>, Liepājas reģionāl</w:t>
      </w:r>
      <w:r>
        <w:t>aj</w:t>
      </w:r>
      <w:r w:rsidRPr="003A12F4">
        <w:t>ā slimnīc</w:t>
      </w:r>
      <w:r>
        <w:t>ā</w:t>
      </w:r>
      <w:r w:rsidRPr="003A12F4">
        <w:t>, Rīgas Austrumu klīnisk</w:t>
      </w:r>
      <w:r>
        <w:t>aj</w:t>
      </w:r>
      <w:r w:rsidRPr="003A12F4">
        <w:t>ā universitātes slimnīc</w:t>
      </w:r>
      <w:r>
        <w:t>ā</w:t>
      </w:r>
      <w:r w:rsidRPr="003A12F4">
        <w:t>, P</w:t>
      </w:r>
      <w:r>
        <w:t xml:space="preserve">aula </w:t>
      </w:r>
      <w:r w:rsidRPr="003A12F4">
        <w:t>Stradiņa klīnisk</w:t>
      </w:r>
      <w:r>
        <w:t>aj</w:t>
      </w:r>
      <w:r w:rsidRPr="003A12F4">
        <w:t>ā universitātes slimnīc</w:t>
      </w:r>
      <w:r>
        <w:t>ā</w:t>
      </w:r>
      <w:r w:rsidR="00D14D82">
        <w:t xml:space="preserve"> un</w:t>
      </w:r>
      <w:r w:rsidRPr="003A12F4">
        <w:t xml:space="preserve"> Daugavpils reģionāl</w:t>
      </w:r>
      <w:r>
        <w:t>aj</w:t>
      </w:r>
      <w:r w:rsidRPr="003A12F4">
        <w:t>ā slimnīc</w:t>
      </w:r>
      <w:r>
        <w:t>ā</w:t>
      </w:r>
      <w:r w:rsidRPr="003A12F4">
        <w:t xml:space="preserve">. </w:t>
      </w:r>
    </w:p>
    <w:p w:rsidR="00D77311" w:rsidRPr="00F352AF" w:rsidP="00D7513D" w14:paraId="4207E898" w14:textId="5313CEFD">
      <w:pPr>
        <w:spacing w:after="200" w:line="276" w:lineRule="auto"/>
        <w:jc w:val="right"/>
        <w:rPr>
          <w:i/>
        </w:rPr>
      </w:pPr>
      <w:r>
        <w:rPr>
          <w:i/>
        </w:rPr>
        <w:t xml:space="preserve">3.tabula </w:t>
      </w:r>
    </w:p>
    <w:p w:rsidR="00D77311" w:rsidRPr="00F352AF" w:rsidP="00ED210D" w14:paraId="0452F96E" w14:textId="6BC6C6A2">
      <w:pPr>
        <w:jc w:val="center"/>
        <w:rPr>
          <w:color w:val="414142"/>
        </w:rPr>
      </w:pPr>
      <w:r>
        <w:rPr>
          <w:color w:val="414142"/>
        </w:rPr>
        <w:t xml:space="preserve">Sekundārās diagnostikas un izmeklējumu </w:t>
      </w:r>
      <w:r w:rsidR="004D41AF">
        <w:rPr>
          <w:color w:val="414142"/>
        </w:rPr>
        <w:t>2017.</w:t>
      </w:r>
      <w:r>
        <w:rPr>
          <w:color w:val="414142"/>
        </w:rPr>
        <w:t>gada izpilde</w:t>
      </w:r>
    </w:p>
    <w:p w:rsidR="00914B6C" w:rsidP="008C0858" w14:paraId="6539EE20" w14:textId="7E5AA02A">
      <w:pPr>
        <w:jc w:val="both"/>
      </w:pPr>
    </w:p>
    <w:tbl>
      <w:tblPr>
        <w:tblW w:w="9506" w:type="dxa"/>
        <w:jc w:val="center"/>
        <w:tblLook w:val="04A0"/>
      </w:tblPr>
      <w:tblGrid>
        <w:gridCol w:w="1691"/>
        <w:gridCol w:w="1276"/>
        <w:gridCol w:w="1329"/>
        <w:gridCol w:w="1364"/>
        <w:gridCol w:w="1170"/>
        <w:gridCol w:w="1382"/>
        <w:gridCol w:w="1294"/>
      </w:tblGrid>
      <w:tr w14:paraId="682DB26F" w14:textId="77777777" w:rsidTr="00A97499">
        <w:tblPrEx>
          <w:tblW w:w="9506" w:type="dxa"/>
          <w:jc w:val="center"/>
          <w:tblLook w:val="04A0"/>
        </w:tblPrEx>
        <w:trPr>
          <w:trHeight w:val="600"/>
          <w:jc w:val="center"/>
        </w:trPr>
        <w:tc>
          <w:tcPr>
            <w:tcW w:w="169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rsidR="004D41AF" w:rsidRPr="004D41AF" w:rsidP="004D41AF" w14:paraId="1C94F768" w14:textId="77777777">
            <w:pPr>
              <w:jc w:val="center"/>
              <w:rPr>
                <w:b/>
                <w:bCs/>
                <w:color w:val="000000"/>
                <w:sz w:val="22"/>
                <w:szCs w:val="22"/>
              </w:rPr>
            </w:pPr>
            <w:r w:rsidRPr="004D41AF">
              <w:rPr>
                <w:b/>
                <w:bCs/>
                <w:color w:val="000000"/>
                <w:sz w:val="22"/>
                <w:szCs w:val="22"/>
              </w:rPr>
              <w:t>Sekundārā diagnostika un izmeklējumi</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rsidR="004D41AF" w:rsidRPr="004D41AF" w:rsidP="004D41AF" w14:paraId="19E410C6" w14:textId="44922522">
            <w:pPr>
              <w:jc w:val="center"/>
              <w:rPr>
                <w:color w:val="000000"/>
                <w:sz w:val="22"/>
                <w:szCs w:val="22"/>
              </w:rPr>
            </w:pPr>
            <w:r w:rsidRPr="004D41AF">
              <w:rPr>
                <w:color w:val="000000"/>
                <w:sz w:val="22"/>
                <w:szCs w:val="22"/>
              </w:rPr>
              <w:t xml:space="preserve">Plānotais ārstējamo </w:t>
            </w:r>
            <w:r w:rsidR="005368AD">
              <w:rPr>
                <w:color w:val="000000"/>
                <w:sz w:val="22"/>
                <w:szCs w:val="22"/>
              </w:rPr>
              <w:t xml:space="preserve">unikālo </w:t>
            </w:r>
            <w:r w:rsidRPr="004D41AF">
              <w:rPr>
                <w:color w:val="000000"/>
                <w:sz w:val="22"/>
                <w:szCs w:val="22"/>
              </w:rPr>
              <w:t>onkoloģisko pacientu apjoms</w:t>
            </w:r>
          </w:p>
        </w:tc>
        <w:tc>
          <w:tcPr>
            <w:tcW w:w="3846"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rsidR="004D41AF" w:rsidRPr="004D41AF" w:rsidP="004D41AF" w14:paraId="5D64340D" w14:textId="145ADF73">
            <w:pPr>
              <w:jc w:val="center"/>
              <w:rPr>
                <w:color w:val="000000"/>
                <w:sz w:val="22"/>
                <w:szCs w:val="22"/>
              </w:rPr>
            </w:pPr>
            <w:r w:rsidRPr="004D41AF">
              <w:rPr>
                <w:color w:val="000000"/>
                <w:sz w:val="22"/>
                <w:szCs w:val="22"/>
              </w:rPr>
              <w:t xml:space="preserve">Faktiskā izpilde ārstējamo </w:t>
            </w:r>
            <w:r w:rsidR="005368AD">
              <w:rPr>
                <w:color w:val="000000"/>
                <w:sz w:val="22"/>
                <w:szCs w:val="22"/>
              </w:rPr>
              <w:t xml:space="preserve">unikālo </w:t>
            </w:r>
            <w:r w:rsidRPr="004D41AF">
              <w:rPr>
                <w:color w:val="000000"/>
                <w:sz w:val="22"/>
                <w:szCs w:val="22"/>
              </w:rPr>
              <w:t>onkoloģisko pacientu apjomam</w:t>
            </w:r>
          </w:p>
        </w:tc>
      </w:tr>
      <w:tr w14:paraId="32E2CB8C" w14:textId="77777777" w:rsidTr="00A97499">
        <w:tblPrEx>
          <w:tblW w:w="9506" w:type="dxa"/>
          <w:jc w:val="center"/>
          <w:tblLook w:val="04A0"/>
        </w:tblPrEx>
        <w:trPr>
          <w:trHeight w:val="517"/>
          <w:jc w:val="center"/>
        </w:trPr>
        <w:tc>
          <w:tcPr>
            <w:tcW w:w="1691" w:type="dxa"/>
            <w:vMerge/>
            <w:tcBorders>
              <w:top w:val="single" w:sz="4" w:space="0" w:color="auto"/>
              <w:left w:val="single" w:sz="4" w:space="0" w:color="auto"/>
              <w:bottom w:val="single" w:sz="4" w:space="0" w:color="auto"/>
              <w:right w:val="single" w:sz="4" w:space="0" w:color="auto"/>
            </w:tcBorders>
            <w:vAlign w:val="center"/>
            <w:hideMark/>
          </w:tcPr>
          <w:p w:rsidR="004D41AF" w:rsidRPr="004D41AF" w:rsidP="004D41AF" w14:paraId="3C2332C0" w14:textId="77777777">
            <w:pPr>
              <w:rPr>
                <w:b/>
                <w:bCs/>
                <w:color w:val="000000"/>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rsidR="004D41AF" w:rsidRPr="004D41AF" w:rsidP="004D41AF" w14:paraId="2D5ED534" w14:textId="4C824A0F">
            <w:pPr>
              <w:jc w:val="center"/>
              <w:rPr>
                <w:color w:val="000000"/>
                <w:sz w:val="22"/>
                <w:szCs w:val="22"/>
              </w:rPr>
            </w:pPr>
            <w:r>
              <w:rPr>
                <w:color w:val="000000"/>
                <w:sz w:val="22"/>
                <w:szCs w:val="22"/>
              </w:rPr>
              <w:t>Plānotais pacientu</w:t>
            </w:r>
            <w:r w:rsidRPr="00396F05">
              <w:rPr>
                <w:color w:val="000000"/>
                <w:sz w:val="22"/>
                <w:szCs w:val="22"/>
              </w:rPr>
              <w:t xml:space="preserve"> </w:t>
            </w:r>
            <w:r>
              <w:rPr>
                <w:color w:val="000000"/>
                <w:sz w:val="22"/>
                <w:szCs w:val="22"/>
              </w:rPr>
              <w:t xml:space="preserve">skaits </w:t>
            </w:r>
            <w:r w:rsidRPr="00396F05">
              <w:rPr>
                <w:color w:val="000000"/>
                <w:sz w:val="22"/>
                <w:szCs w:val="22"/>
              </w:rPr>
              <w:t>gadā</w:t>
            </w:r>
          </w:p>
        </w:tc>
        <w:tc>
          <w:tcPr>
            <w:tcW w:w="132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rsidR="004D41AF" w:rsidRPr="004D41AF" w:rsidP="004D41AF" w14:paraId="2A26037C" w14:textId="77777777">
            <w:pPr>
              <w:jc w:val="center"/>
              <w:rPr>
                <w:color w:val="000000"/>
                <w:sz w:val="22"/>
                <w:szCs w:val="22"/>
              </w:rPr>
            </w:pPr>
            <w:r w:rsidRPr="004D41AF">
              <w:rPr>
                <w:color w:val="000000"/>
                <w:sz w:val="22"/>
                <w:szCs w:val="22"/>
              </w:rPr>
              <w:t xml:space="preserve">Finansējums  2017.gadā </w:t>
            </w:r>
            <w:r w:rsidRPr="004D41AF">
              <w:rPr>
                <w:color w:val="000000"/>
                <w:sz w:val="22"/>
                <w:szCs w:val="22"/>
              </w:rPr>
              <w:t>euro</w:t>
            </w:r>
          </w:p>
        </w:tc>
        <w:tc>
          <w:tcPr>
            <w:tcW w:w="136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rsidR="004D41AF" w:rsidRPr="004D41AF" w:rsidP="004D41AF" w14:paraId="0F606C7D" w14:textId="77777777">
            <w:pPr>
              <w:jc w:val="center"/>
              <w:rPr>
                <w:color w:val="000000"/>
                <w:sz w:val="22"/>
                <w:szCs w:val="22"/>
              </w:rPr>
            </w:pPr>
            <w:r w:rsidRPr="004D41AF">
              <w:rPr>
                <w:color w:val="000000"/>
                <w:sz w:val="22"/>
                <w:szCs w:val="22"/>
              </w:rPr>
              <w:t xml:space="preserve">Vidējā izmaksa 2017.gadā </w:t>
            </w:r>
            <w:r w:rsidRPr="004D41AF">
              <w:rPr>
                <w:color w:val="000000"/>
                <w:sz w:val="22"/>
                <w:szCs w:val="22"/>
              </w:rPr>
              <w:t>euro</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rsidR="004D41AF" w:rsidRPr="004D41AF" w:rsidP="004D41AF" w14:paraId="012EB2FB" w14:textId="6CAE4EF0">
            <w:pPr>
              <w:jc w:val="center"/>
              <w:rPr>
                <w:color w:val="000000"/>
                <w:sz w:val="22"/>
                <w:szCs w:val="22"/>
              </w:rPr>
            </w:pPr>
            <w:r>
              <w:rPr>
                <w:color w:val="000000"/>
                <w:sz w:val="22"/>
                <w:szCs w:val="22"/>
              </w:rPr>
              <w:t xml:space="preserve">Pacientu skaita </w:t>
            </w:r>
            <w:r w:rsidRPr="00396F05">
              <w:rPr>
                <w:color w:val="000000"/>
                <w:sz w:val="22"/>
                <w:szCs w:val="22"/>
              </w:rPr>
              <w:t>pieaugums 2017.gadā</w:t>
            </w:r>
          </w:p>
        </w:tc>
        <w:tc>
          <w:tcPr>
            <w:tcW w:w="1382"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rsidR="004D41AF" w:rsidRPr="004D41AF" w:rsidP="004D41AF" w14:paraId="77950A2B" w14:textId="77777777">
            <w:pPr>
              <w:jc w:val="center"/>
              <w:rPr>
                <w:color w:val="000000"/>
                <w:sz w:val="22"/>
                <w:szCs w:val="22"/>
              </w:rPr>
            </w:pPr>
            <w:r w:rsidRPr="004D41AF">
              <w:rPr>
                <w:color w:val="000000"/>
                <w:sz w:val="22"/>
                <w:szCs w:val="22"/>
              </w:rPr>
              <w:t xml:space="preserve">Finansējums 2017.gadā </w:t>
            </w:r>
            <w:r w:rsidRPr="004D41AF">
              <w:rPr>
                <w:color w:val="000000"/>
                <w:sz w:val="22"/>
                <w:szCs w:val="22"/>
              </w:rPr>
              <w:t>euro</w:t>
            </w:r>
          </w:p>
        </w:tc>
        <w:tc>
          <w:tcPr>
            <w:tcW w:w="1294" w:type="dxa"/>
            <w:vMerge w:val="restart"/>
            <w:tcBorders>
              <w:top w:val="nil"/>
              <w:left w:val="single" w:sz="4" w:space="0" w:color="auto"/>
              <w:bottom w:val="single" w:sz="8" w:space="0" w:color="000000"/>
              <w:right w:val="single" w:sz="8" w:space="0" w:color="auto"/>
            </w:tcBorders>
            <w:shd w:val="clear" w:color="000000" w:fill="FCE4D6"/>
            <w:vAlign w:val="center"/>
            <w:hideMark/>
          </w:tcPr>
          <w:p w:rsidR="004D41AF" w:rsidRPr="004D41AF" w:rsidP="004D41AF" w14:paraId="2BB3FC4C" w14:textId="77777777">
            <w:pPr>
              <w:jc w:val="center"/>
              <w:rPr>
                <w:color w:val="000000"/>
                <w:sz w:val="22"/>
                <w:szCs w:val="22"/>
              </w:rPr>
            </w:pPr>
            <w:r w:rsidRPr="004D41AF">
              <w:rPr>
                <w:color w:val="000000"/>
                <w:sz w:val="22"/>
                <w:szCs w:val="22"/>
              </w:rPr>
              <w:t xml:space="preserve">Vidējā izmaksa 2017.gadā </w:t>
            </w:r>
            <w:r w:rsidRPr="004D41AF">
              <w:rPr>
                <w:color w:val="000000"/>
                <w:sz w:val="22"/>
                <w:szCs w:val="22"/>
              </w:rPr>
              <w:t>euro</w:t>
            </w:r>
          </w:p>
        </w:tc>
      </w:tr>
      <w:tr w14:paraId="68C8A016" w14:textId="77777777" w:rsidTr="00A97499">
        <w:tblPrEx>
          <w:tblW w:w="9506" w:type="dxa"/>
          <w:jc w:val="center"/>
          <w:tblLook w:val="04A0"/>
        </w:tblPrEx>
        <w:trPr>
          <w:trHeight w:val="624"/>
          <w:jc w:val="center"/>
        </w:trPr>
        <w:tc>
          <w:tcPr>
            <w:tcW w:w="1691" w:type="dxa"/>
            <w:vMerge/>
            <w:tcBorders>
              <w:top w:val="single" w:sz="4" w:space="0" w:color="auto"/>
              <w:left w:val="single" w:sz="4" w:space="0" w:color="auto"/>
              <w:bottom w:val="single" w:sz="4" w:space="0" w:color="auto"/>
              <w:right w:val="single" w:sz="4" w:space="0" w:color="auto"/>
            </w:tcBorders>
            <w:vAlign w:val="center"/>
            <w:hideMark/>
          </w:tcPr>
          <w:p w:rsidR="004D41AF" w:rsidRPr="004D41AF" w:rsidP="004D41AF" w14:paraId="41A78ED4" w14:textId="77777777">
            <w:pPr>
              <w:rPr>
                <w:b/>
                <w:bCs/>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D41AF" w:rsidRPr="004D41AF" w:rsidP="004D41AF" w14:paraId="541F341B" w14:textId="77777777">
            <w:pPr>
              <w:rPr>
                <w:color w:val="000000"/>
                <w:sz w:val="22"/>
                <w:szCs w:val="22"/>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4D41AF" w:rsidRPr="004D41AF" w:rsidP="004D41AF" w14:paraId="4C1EC886" w14:textId="77777777">
            <w:pPr>
              <w:rPr>
                <w:color w:val="000000"/>
                <w:sz w:val="22"/>
                <w:szCs w:val="22"/>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4D41AF" w:rsidRPr="004D41AF" w:rsidP="004D41AF" w14:paraId="53FF98EA" w14:textId="77777777">
            <w:pPr>
              <w:rPr>
                <w:color w:val="000000"/>
                <w:sz w:val="22"/>
                <w:szCs w:val="22"/>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4D41AF" w:rsidRPr="004D41AF" w:rsidP="004D41AF" w14:paraId="0F9A39DA" w14:textId="77777777">
            <w:pPr>
              <w:rPr>
                <w:color w:val="000000"/>
                <w:sz w:val="22"/>
                <w:szCs w:val="22"/>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4D41AF" w:rsidRPr="004D41AF" w:rsidP="004D41AF" w14:paraId="2AAA28CD" w14:textId="77777777">
            <w:pPr>
              <w:rPr>
                <w:color w:val="000000"/>
                <w:sz w:val="22"/>
                <w:szCs w:val="22"/>
              </w:rPr>
            </w:pPr>
          </w:p>
        </w:tc>
        <w:tc>
          <w:tcPr>
            <w:tcW w:w="1294" w:type="dxa"/>
            <w:vMerge/>
            <w:tcBorders>
              <w:top w:val="nil"/>
              <w:left w:val="single" w:sz="4" w:space="0" w:color="auto"/>
              <w:bottom w:val="single" w:sz="8" w:space="0" w:color="000000"/>
              <w:right w:val="single" w:sz="8" w:space="0" w:color="auto"/>
            </w:tcBorders>
            <w:vAlign w:val="center"/>
            <w:hideMark/>
          </w:tcPr>
          <w:p w:rsidR="004D41AF" w:rsidRPr="004D41AF" w:rsidP="004D41AF" w14:paraId="5CEC1AAF" w14:textId="77777777">
            <w:pPr>
              <w:rPr>
                <w:color w:val="000000"/>
                <w:sz w:val="22"/>
                <w:szCs w:val="22"/>
              </w:rPr>
            </w:pPr>
          </w:p>
        </w:tc>
      </w:tr>
      <w:tr w14:paraId="6627EF05" w14:textId="77777777" w:rsidTr="00A97499">
        <w:tblPrEx>
          <w:tblW w:w="9506" w:type="dxa"/>
          <w:jc w:val="center"/>
          <w:tblLook w:val="04A0"/>
        </w:tblPrEx>
        <w:trPr>
          <w:trHeight w:val="315"/>
          <w:jc w:val="center"/>
        </w:trPr>
        <w:tc>
          <w:tcPr>
            <w:tcW w:w="169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D41AF" w:rsidRPr="004D41AF" w:rsidP="004D41AF" w14:paraId="73B25723" w14:textId="77777777">
            <w:pPr>
              <w:jc w:val="center"/>
              <w:rPr>
                <w:color w:val="000000"/>
                <w:sz w:val="22"/>
                <w:szCs w:val="22"/>
              </w:rPr>
            </w:pPr>
            <w:r w:rsidRPr="004D41AF">
              <w:rPr>
                <w:color w:val="000000"/>
                <w:sz w:val="22"/>
                <w:szCs w:val="22"/>
              </w:rPr>
              <w:t>5 ārstniecības iestādes</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rsidR="004D41AF" w:rsidRPr="004D41AF" w:rsidP="004D41AF" w14:paraId="1BC5D02E" w14:textId="77777777">
            <w:pPr>
              <w:jc w:val="center"/>
              <w:rPr>
                <w:color w:val="000000"/>
                <w:sz w:val="22"/>
                <w:szCs w:val="22"/>
              </w:rPr>
            </w:pPr>
            <w:r w:rsidRPr="004D41AF">
              <w:rPr>
                <w:color w:val="000000"/>
                <w:sz w:val="22"/>
                <w:szCs w:val="22"/>
              </w:rPr>
              <w:t>14 659</w:t>
            </w:r>
          </w:p>
        </w:tc>
        <w:tc>
          <w:tcPr>
            <w:tcW w:w="1329" w:type="dxa"/>
            <w:tcBorders>
              <w:top w:val="single" w:sz="4" w:space="0" w:color="auto"/>
              <w:left w:val="nil"/>
              <w:bottom w:val="single" w:sz="8" w:space="0" w:color="auto"/>
              <w:right w:val="single" w:sz="8" w:space="0" w:color="auto"/>
            </w:tcBorders>
            <w:shd w:val="clear" w:color="auto" w:fill="auto"/>
            <w:noWrap/>
            <w:vAlign w:val="center"/>
            <w:hideMark/>
          </w:tcPr>
          <w:p w:rsidR="004D41AF" w:rsidRPr="004D41AF" w:rsidP="004D41AF" w14:paraId="0ED02EEF" w14:textId="77777777">
            <w:pPr>
              <w:jc w:val="center"/>
              <w:rPr>
                <w:color w:val="000000"/>
                <w:sz w:val="22"/>
                <w:szCs w:val="22"/>
              </w:rPr>
            </w:pPr>
            <w:r w:rsidRPr="004D41AF">
              <w:rPr>
                <w:color w:val="000000"/>
                <w:sz w:val="22"/>
                <w:szCs w:val="22"/>
              </w:rPr>
              <w:t>2 332 565</w:t>
            </w:r>
          </w:p>
        </w:tc>
        <w:tc>
          <w:tcPr>
            <w:tcW w:w="1364" w:type="dxa"/>
            <w:tcBorders>
              <w:top w:val="single" w:sz="4" w:space="0" w:color="auto"/>
              <w:left w:val="nil"/>
              <w:bottom w:val="single" w:sz="8" w:space="0" w:color="auto"/>
              <w:right w:val="single" w:sz="8" w:space="0" w:color="auto"/>
            </w:tcBorders>
            <w:shd w:val="clear" w:color="auto" w:fill="auto"/>
            <w:noWrap/>
            <w:vAlign w:val="center"/>
            <w:hideMark/>
          </w:tcPr>
          <w:p w:rsidR="004D41AF" w:rsidRPr="004D41AF" w:rsidP="004D41AF" w14:paraId="63A53F78" w14:textId="77777777">
            <w:pPr>
              <w:jc w:val="center"/>
              <w:rPr>
                <w:color w:val="000000"/>
                <w:sz w:val="22"/>
                <w:szCs w:val="22"/>
              </w:rPr>
            </w:pPr>
            <w:r w:rsidRPr="004D41AF">
              <w:rPr>
                <w:color w:val="000000"/>
                <w:sz w:val="22"/>
                <w:szCs w:val="22"/>
              </w:rPr>
              <w:t>159,12</w:t>
            </w:r>
          </w:p>
        </w:tc>
        <w:tc>
          <w:tcPr>
            <w:tcW w:w="1170" w:type="dxa"/>
            <w:tcBorders>
              <w:top w:val="single" w:sz="4" w:space="0" w:color="auto"/>
              <w:left w:val="nil"/>
              <w:bottom w:val="single" w:sz="8" w:space="0" w:color="auto"/>
              <w:right w:val="single" w:sz="8" w:space="0" w:color="auto"/>
            </w:tcBorders>
            <w:shd w:val="clear" w:color="auto" w:fill="auto"/>
            <w:noWrap/>
            <w:vAlign w:val="center"/>
            <w:hideMark/>
          </w:tcPr>
          <w:p w:rsidR="004D41AF" w:rsidRPr="004D41AF" w:rsidP="004D41AF" w14:paraId="5580C4B8" w14:textId="02FF746F">
            <w:pPr>
              <w:jc w:val="center"/>
              <w:rPr>
                <w:color w:val="000000"/>
                <w:sz w:val="22"/>
                <w:szCs w:val="22"/>
              </w:rPr>
            </w:pPr>
            <w:r>
              <w:rPr>
                <w:color w:val="000000"/>
                <w:sz w:val="22"/>
                <w:szCs w:val="22"/>
              </w:rPr>
              <w:t>17 880</w:t>
            </w:r>
          </w:p>
        </w:tc>
        <w:tc>
          <w:tcPr>
            <w:tcW w:w="1382" w:type="dxa"/>
            <w:tcBorders>
              <w:top w:val="single" w:sz="4" w:space="0" w:color="auto"/>
              <w:left w:val="nil"/>
              <w:bottom w:val="single" w:sz="8" w:space="0" w:color="auto"/>
              <w:right w:val="single" w:sz="8" w:space="0" w:color="auto"/>
            </w:tcBorders>
            <w:shd w:val="clear" w:color="auto" w:fill="auto"/>
            <w:noWrap/>
            <w:vAlign w:val="center"/>
            <w:hideMark/>
          </w:tcPr>
          <w:p w:rsidR="004D41AF" w:rsidRPr="004D41AF" w:rsidP="004D41AF" w14:paraId="4807B6C9" w14:textId="1F7F8D7C">
            <w:pPr>
              <w:jc w:val="center"/>
              <w:rPr>
                <w:color w:val="000000"/>
                <w:sz w:val="22"/>
                <w:szCs w:val="22"/>
              </w:rPr>
            </w:pPr>
            <w:r>
              <w:rPr>
                <w:color w:val="000000"/>
                <w:sz w:val="22"/>
                <w:szCs w:val="22"/>
              </w:rPr>
              <w:t>2 188 921</w:t>
            </w:r>
          </w:p>
        </w:tc>
        <w:tc>
          <w:tcPr>
            <w:tcW w:w="1294" w:type="dxa"/>
            <w:tcBorders>
              <w:top w:val="nil"/>
              <w:left w:val="nil"/>
              <w:bottom w:val="single" w:sz="8" w:space="0" w:color="auto"/>
              <w:right w:val="single" w:sz="8" w:space="0" w:color="auto"/>
            </w:tcBorders>
            <w:shd w:val="clear" w:color="auto" w:fill="auto"/>
            <w:noWrap/>
            <w:vAlign w:val="center"/>
            <w:hideMark/>
          </w:tcPr>
          <w:p w:rsidR="004D41AF" w:rsidRPr="004D41AF" w:rsidP="004D41AF" w14:paraId="6AFC2518" w14:textId="4D9A5352">
            <w:pPr>
              <w:jc w:val="center"/>
              <w:rPr>
                <w:color w:val="000000"/>
                <w:sz w:val="22"/>
                <w:szCs w:val="22"/>
              </w:rPr>
            </w:pPr>
            <w:r>
              <w:rPr>
                <w:color w:val="000000"/>
                <w:sz w:val="22"/>
                <w:szCs w:val="22"/>
              </w:rPr>
              <w:t>122,42</w:t>
            </w:r>
          </w:p>
        </w:tc>
      </w:tr>
    </w:tbl>
    <w:p w:rsidR="001C680F" w:rsidP="00513D42" w14:paraId="7F01D249" w14:textId="5C770598">
      <w:pPr>
        <w:jc w:val="both"/>
        <w:rPr>
          <w:color w:val="FF0000"/>
          <w:sz w:val="22"/>
          <w:szCs w:val="22"/>
        </w:rPr>
      </w:pPr>
      <w:r w:rsidRPr="006E1FFA">
        <w:rPr>
          <w:i/>
          <w:sz w:val="20"/>
          <w:szCs w:val="20"/>
        </w:rPr>
        <w:t>Avots</w:t>
      </w:r>
      <w:r w:rsidRPr="008603A3">
        <w:rPr>
          <w:i/>
          <w:sz w:val="20"/>
          <w:szCs w:val="20"/>
        </w:rPr>
        <w:t>: NVD</w:t>
      </w:r>
    </w:p>
    <w:p w:rsidR="009B5CDC" w:rsidP="00513D42" w14:paraId="4AA700BD" w14:textId="77777777">
      <w:pPr>
        <w:ind w:firstLine="720"/>
        <w:jc w:val="both"/>
      </w:pPr>
    </w:p>
    <w:p w:rsidR="00781E13" w:rsidP="00513D42" w14:paraId="77D9F5CA" w14:textId="52949FB0">
      <w:pPr>
        <w:ind w:firstLine="720"/>
        <w:jc w:val="both"/>
      </w:pPr>
      <w:r>
        <w:t>2017.gada</w:t>
      </w:r>
      <w:r w:rsidR="00603529">
        <w:t xml:space="preserve"> </w:t>
      </w:r>
      <w:r>
        <w:t>onkoloģisko pacientu aptvere sekundārajā diagnostikā un izmeklējumos</w:t>
      </w:r>
      <w:r w:rsidR="00B708FA">
        <w:t xml:space="preserve"> s</w:t>
      </w:r>
      <w:r w:rsidR="00B46473">
        <w:t>a</w:t>
      </w:r>
      <w:r w:rsidR="00603529">
        <w:t>s</w:t>
      </w:r>
      <w:r w:rsidR="00B708FA">
        <w:t xml:space="preserve">niedz </w:t>
      </w:r>
      <w:r w:rsidR="000E3909">
        <w:t>121,97</w:t>
      </w:r>
      <w:r w:rsidR="000C7A42">
        <w:t>% no plānotā apjoma</w:t>
      </w:r>
      <w:r w:rsidR="002F1700">
        <w:t>.</w:t>
      </w:r>
    </w:p>
    <w:p w:rsidR="0020470C" w:rsidP="00513D42" w14:paraId="452CADA7" w14:textId="62603B30">
      <w:pPr>
        <w:ind w:firstLine="720"/>
        <w:jc w:val="both"/>
      </w:pPr>
      <w:r w:rsidRPr="00847710">
        <w:t xml:space="preserve">Sistēmu ieviešot, tās sākumā posmā ne visos gadījumos veikta pilna plānoto pakalpojumu apguve. Attiecīgi 2017.gada I pusgadā ārstēto onkoloģisko pacientu aptvere ir zemāka, jo nepieciešams laiks, lai adaptētu sistēmas izmaiņas, kā arī sākotnēji primārās diagnostikas algoritmu ieviešana tika attiecināta uz 11 biežākajām ļaundabīgo audzēju lokalizācijām, kuras, nodrošinot vienlīdzīgu pieeju, no 2017. gada oktobra ir paplašinātas ar citām  onkoloģiskajām saslimšanām. Papildus tam, ieviestas izmaiņas primārās diagnostikas pakalpojumu saņemšanā, paredzot, ka VSIA “Piejūras slimnīca”, SIA “Liepājas reģionālā slimnīca”, SIA “Rīgas Austrumu klīniskā universitātes slimnīca”, VSIA “Paula Stradiņa klīniskā universitātes slimnīca” un SIA “Daugavpils reģionālā slimnīca” konstatēto pacientu sūdzību vai simptomu gadījumā varēs arī nodrošināt onkoloģisko pacientu ļaundabīgo audzēju primāro diagnostiku atbilstoši noteiktajiem algoritmiem. </w:t>
      </w:r>
      <w:r>
        <w:t>Tāpēc, lai operatīvi varētu veikt sekundārās diagnostikas izmeklējumus, daļa laboratorisko pakalpojumu izmeklējumi tika nodrošināti arī reģionāl</w:t>
      </w:r>
      <w:r w:rsidR="001F0D44">
        <w:t>o nodaļu esošajās ārstniecības iestādēs.</w:t>
      </w:r>
    </w:p>
    <w:p w:rsidR="00AB23C6" w:rsidP="00513D42" w14:paraId="0D07C67E" w14:textId="1E48961F">
      <w:pPr>
        <w:ind w:firstLine="720"/>
        <w:jc w:val="both"/>
      </w:pPr>
      <w:r>
        <w:t>Ņemot vērā to, ka pusgadā tika</w:t>
      </w:r>
      <w:r w:rsidRPr="0015787B">
        <w:t xml:space="preserve"> </w:t>
      </w:r>
      <w:r w:rsidRPr="009B5CDC">
        <w:t>konstatēts, ka ne visos gadījumos veikta pilna sekundārā diagnostika un izmeklējumi atbilstoši noteiktajiem algoritmiem</w:t>
      </w:r>
      <w:r>
        <w:t xml:space="preserve">, atbilstoši tika pilnveidoti Noteikumi Nr.1529. Papildus tam, tika veiktas izmaiņas sekundārās diagnostikas pakalpojumu saņemšanā, paredzot, ka  </w:t>
      </w:r>
      <w:r w:rsidRPr="003A12F4">
        <w:t>Piejūras slimnīc</w:t>
      </w:r>
      <w:r>
        <w:t>ā</w:t>
      </w:r>
      <w:r w:rsidRPr="003A12F4">
        <w:t>, Liepājas reģionāl</w:t>
      </w:r>
      <w:r>
        <w:t>aj</w:t>
      </w:r>
      <w:r w:rsidRPr="003A12F4">
        <w:t>ā slimnīc</w:t>
      </w:r>
      <w:r>
        <w:t>ā</w:t>
      </w:r>
      <w:r w:rsidRPr="003A12F4">
        <w:t xml:space="preserve">, Rīgas Austrumu </w:t>
      </w:r>
      <w:r w:rsidRPr="003A12F4">
        <w:t>klīnisk</w:t>
      </w:r>
      <w:r>
        <w:t>aj</w:t>
      </w:r>
      <w:r w:rsidRPr="003A12F4">
        <w:t>ā universitātes slimnīc</w:t>
      </w:r>
      <w:r>
        <w:t>ā</w:t>
      </w:r>
      <w:r w:rsidRPr="003A12F4">
        <w:t>, P</w:t>
      </w:r>
      <w:r>
        <w:t xml:space="preserve">aula </w:t>
      </w:r>
      <w:r w:rsidRPr="003A12F4">
        <w:t>Stradiņa klīnisk</w:t>
      </w:r>
      <w:r>
        <w:t>aj</w:t>
      </w:r>
      <w:r w:rsidRPr="003A12F4">
        <w:t>ā universitātes slimnīc</w:t>
      </w:r>
      <w:r>
        <w:t xml:space="preserve">ā un </w:t>
      </w:r>
      <w:r w:rsidRPr="003A12F4">
        <w:t>Daugavpils reģionāl</w:t>
      </w:r>
      <w:r>
        <w:t>aj</w:t>
      </w:r>
      <w:r w:rsidRPr="003A12F4">
        <w:t>ā slimnīc</w:t>
      </w:r>
      <w:r>
        <w:t>ā konstatēto pacientu sūdzību vai simptomu gadījumā,  varēs uzreiz nodrošināt onkoloģisko pacientu ļaundabīgo audzēju sekundāro diagnostiku un izmeklējumus atbilstoši noteiktajiem algoritmiem</w:t>
      </w:r>
      <w:r w:rsidR="008349CC">
        <w:t>. Tā kā 2017.</w:t>
      </w:r>
      <w:r>
        <w:t>gadā tika pārskatīti un samazināti datortomogrāfijas un ultrasonogrāfijas izmeklējumu tarifi, tas ietekmēja sniegto pakalpojumu faktiskās vidējās izmaksas</w:t>
      </w:r>
      <w:r w:rsidR="00602561">
        <w:t>.</w:t>
      </w:r>
    </w:p>
    <w:p w:rsidR="00AB23C6" w:rsidP="00513D42" w14:paraId="297BFBE2" w14:textId="1E7E5839">
      <w:pPr>
        <w:ind w:firstLine="720"/>
        <w:jc w:val="both"/>
      </w:pPr>
      <w:r>
        <w:t>Ņemot vērā minēto</w:t>
      </w:r>
      <w:r w:rsidR="00955E64">
        <w:t>,</w:t>
      </w:r>
      <w:r>
        <w:t xml:space="preserve"> secināms, ka līdz 2017.gada 31.decembrim onkoloģijas aptvere sekundārajiem diagnostikas pakalpojumiem un izmeklējumiem</w:t>
      </w:r>
      <w:r w:rsidR="00E8726E">
        <w:t xml:space="preserve"> ir</w:t>
      </w:r>
      <w:r>
        <w:t xml:space="preserve"> ievērojami </w:t>
      </w:r>
      <w:r w:rsidR="0015787B">
        <w:t>paaugstinā</w:t>
      </w:r>
      <w:r w:rsidR="00E8726E">
        <w:t>jusies</w:t>
      </w:r>
      <w:r w:rsidR="0015787B">
        <w:t>.</w:t>
      </w:r>
      <w:r>
        <w:t xml:space="preserve"> </w:t>
      </w:r>
    </w:p>
    <w:p w:rsidR="00C60E89" w:rsidP="00F352AF" w14:paraId="4E3DE02F" w14:textId="76B9D0D0">
      <w:pPr>
        <w:jc w:val="both"/>
      </w:pPr>
    </w:p>
    <w:p w:rsidR="00AD3966" w:rsidRPr="00AD3966" w:rsidP="00F352AF" w14:paraId="518CA8E2" w14:textId="5C5FF522">
      <w:pPr>
        <w:jc w:val="both"/>
        <w:rPr>
          <w:u w:val="single"/>
        </w:rPr>
      </w:pPr>
      <w:r w:rsidRPr="00AD3966">
        <w:rPr>
          <w:u w:val="single"/>
        </w:rPr>
        <w:t>Ambulatorā ārstēšana</w:t>
      </w:r>
    </w:p>
    <w:p w:rsidR="00513D42" w:rsidP="00B90904" w14:paraId="37633E0A" w14:textId="77777777">
      <w:pPr>
        <w:ind w:firstLine="720"/>
        <w:jc w:val="both"/>
        <w:rPr>
          <w:rFonts w:ascii="Tahoma" w:hAnsi="Tahoma" w:cs="Tahoma"/>
          <w:color w:val="2A2A2A"/>
          <w:sz w:val="18"/>
          <w:szCs w:val="18"/>
        </w:rPr>
      </w:pPr>
    </w:p>
    <w:p w:rsidR="00AD3966" w:rsidRPr="005020DE" w:rsidP="005020DE" w14:paraId="6B9A983B" w14:textId="044882CE">
      <w:pPr>
        <w:ind w:firstLine="720"/>
        <w:jc w:val="both"/>
      </w:pPr>
      <w:r w:rsidRPr="005020DE">
        <w:t>Onkoloģijas reformu ietvaros plānota ambulatora pacientu ārstēšana</w:t>
      </w:r>
      <w:r w:rsidR="00763A6C">
        <w:t>,</w:t>
      </w:r>
      <w:r w:rsidRPr="005020DE">
        <w:t xml:space="preserve"> izmantojot staru terapijas un ķīmijterapijas metodes.  </w:t>
      </w:r>
      <w:r w:rsidRPr="005020DE">
        <w:rPr>
          <w:rStyle w:val="Strong"/>
          <w:b w:val="0"/>
          <w:color w:val="000000"/>
        </w:rPr>
        <w:t>Ķīmijterapijas mērķis</w:t>
      </w:r>
      <w:r w:rsidRPr="005020DE">
        <w:rPr>
          <w:rStyle w:val="Strong"/>
          <w:color w:val="000000"/>
        </w:rPr>
        <w:t xml:space="preserve"> </w:t>
      </w:r>
      <w:r w:rsidRPr="005020DE">
        <w:rPr>
          <w:color w:val="000000"/>
        </w:rPr>
        <w:t xml:space="preserve">ir panākt pilnu </w:t>
      </w:r>
      <w:r w:rsidR="00ED210D">
        <w:rPr>
          <w:color w:val="000000"/>
        </w:rPr>
        <w:t xml:space="preserve">vai iespējami ilgāku </w:t>
      </w:r>
      <w:r w:rsidRPr="005020DE">
        <w:rPr>
          <w:color w:val="000000"/>
        </w:rPr>
        <w:t xml:space="preserve">remisiju </w:t>
      </w:r>
      <w:r w:rsidR="00164A4C">
        <w:rPr>
          <w:color w:val="000000"/>
        </w:rPr>
        <w:t>(</w:t>
      </w:r>
      <w:r w:rsidR="00ED210D">
        <w:rPr>
          <w:color w:val="000000"/>
        </w:rPr>
        <w:t xml:space="preserve">slimības pierimšana un simptomu mazināšanās) </w:t>
      </w:r>
      <w:r w:rsidRPr="005020DE">
        <w:rPr>
          <w:color w:val="000000"/>
        </w:rPr>
        <w:t xml:space="preserve">audzēja attīstībā vai arī, lai likvidētu organismā </w:t>
      </w:r>
      <w:r w:rsidR="00ED210D">
        <w:rPr>
          <w:color w:val="000000"/>
        </w:rPr>
        <w:t>cirkulējošās</w:t>
      </w:r>
      <w:r w:rsidRPr="005020DE" w:rsidR="00ED210D">
        <w:rPr>
          <w:color w:val="000000"/>
        </w:rPr>
        <w:t xml:space="preserve"> </w:t>
      </w:r>
      <w:r w:rsidRPr="005020DE">
        <w:rPr>
          <w:color w:val="000000"/>
        </w:rPr>
        <w:t>atsevišķās audzēja šūnas (metastāžu novēršanai).</w:t>
      </w:r>
      <w:r w:rsidRPr="005020DE">
        <w:t xml:space="preserve"> </w:t>
      </w:r>
      <w:r w:rsidRPr="005020DE">
        <w:rPr>
          <w:color w:val="000000"/>
        </w:rPr>
        <w:t xml:space="preserve">Savukārt, staru terapija tiek pielietota apmēram pusei visu onkoloģisko slimnieku kādā no ārstēšanas etapiem. </w:t>
      </w:r>
      <w:r w:rsidRPr="005020DE">
        <w:t>Staru terapija onkoloģijā ir ļoti pieprasīta ārstēšanas metode, kuras pamatā ir jonizētā starojuma graujošā iedarbība uz vēža šūnām. Staru terapijā izmanto elektronu lineāros paātrinātājus, kas izstaro lielas enerģijas rentgena starojumu, ko centrē uz audzēju tā, lai tas iznīcinātu tikai vēža šūnas, pēc iespējas neskarot veselos audus.</w:t>
      </w:r>
    </w:p>
    <w:p w:rsidR="00D7513D" w:rsidP="00D7513D" w14:paraId="30F1C5C4" w14:textId="21EE4960">
      <w:pPr>
        <w:ind w:firstLine="720"/>
        <w:jc w:val="both"/>
      </w:pPr>
      <w:r w:rsidRPr="003A12F4">
        <w:t xml:space="preserve">2017.gadā </w:t>
      </w:r>
      <w:r w:rsidR="00F12558">
        <w:t xml:space="preserve">bija </w:t>
      </w:r>
      <w:r w:rsidRPr="003A12F4">
        <w:t>pl</w:t>
      </w:r>
      <w:r>
        <w:t>ānoti 3,3 tūkst. unikālo onkoloģisko pacientu</w:t>
      </w:r>
      <w:r w:rsidRPr="003A12F4">
        <w:t>, kuri</w:t>
      </w:r>
      <w:r>
        <w:t xml:space="preserve">em atbilstoši noteiktajiem algoritmiem tiks nodrošināta ambulatorā ārstēšana izmantojot staru terapiju un ķīmijterapiju. </w:t>
      </w:r>
      <w:r w:rsidRPr="003A12F4">
        <w:t>Š</w:t>
      </w:r>
      <w:r>
        <w:t xml:space="preserve">ādus veselības aprūpes pakalpojumus </w:t>
      </w:r>
      <w:r w:rsidRPr="003A12F4">
        <w:t>paredz</w:t>
      </w:r>
      <w:r>
        <w:t>ēt</w:t>
      </w:r>
      <w:r w:rsidRPr="003A12F4">
        <w:t xml:space="preserve">s </w:t>
      </w:r>
      <w:r w:rsidRPr="005020DE">
        <w:t>nodrošināt Bērnu klīnisk</w:t>
      </w:r>
      <w:r w:rsidR="00ED210D">
        <w:t>aj</w:t>
      </w:r>
      <w:r w:rsidRPr="005020DE">
        <w:t>ā universitātes slimnīc</w:t>
      </w:r>
      <w:r w:rsidR="00ED210D">
        <w:t>ā</w:t>
      </w:r>
      <w:r w:rsidRPr="005020DE">
        <w:t>, Piejūras slimnīc</w:t>
      </w:r>
      <w:r w:rsidR="00ED210D">
        <w:t>ā</w:t>
      </w:r>
      <w:r w:rsidRPr="005020DE">
        <w:t>, Liepājas reģ</w:t>
      </w:r>
      <w:r w:rsidRPr="003A12F4">
        <w:t>ionāl</w:t>
      </w:r>
      <w:r w:rsidR="00ED210D">
        <w:t>aj</w:t>
      </w:r>
      <w:r w:rsidRPr="003A12F4">
        <w:t>ā slimnīc</w:t>
      </w:r>
      <w:r w:rsidR="00ED210D">
        <w:t>ā</w:t>
      </w:r>
      <w:r w:rsidRPr="003A12F4">
        <w:t>, Rīgas Austrumu klīnisk</w:t>
      </w:r>
      <w:r w:rsidR="00ED210D">
        <w:t>aj</w:t>
      </w:r>
      <w:r w:rsidRPr="003A12F4">
        <w:t>ā universitātes slimnīc</w:t>
      </w:r>
      <w:r w:rsidR="00ED210D">
        <w:t>ā</w:t>
      </w:r>
      <w:r w:rsidRPr="003A12F4">
        <w:t>, P</w:t>
      </w:r>
      <w:r w:rsidR="009B5CDC">
        <w:t xml:space="preserve">aula </w:t>
      </w:r>
      <w:r w:rsidRPr="003A12F4">
        <w:t>Stradiņa klīnisk</w:t>
      </w:r>
      <w:r w:rsidR="00ED210D">
        <w:t>aj</w:t>
      </w:r>
      <w:r w:rsidRPr="003A12F4">
        <w:t>ā universitātes slimnīc</w:t>
      </w:r>
      <w:r w:rsidR="00ED210D">
        <w:t xml:space="preserve">ā un </w:t>
      </w:r>
      <w:r w:rsidRPr="003A12F4">
        <w:t xml:space="preserve"> Daugavpils reģionāl</w:t>
      </w:r>
      <w:r w:rsidR="00ED210D">
        <w:t>aj</w:t>
      </w:r>
      <w:r w:rsidRPr="003A12F4">
        <w:t>ā slimnīc</w:t>
      </w:r>
      <w:r w:rsidR="00ED210D">
        <w:t>ā</w:t>
      </w:r>
      <w:r w:rsidRPr="003A12F4">
        <w:t xml:space="preserve">. </w:t>
      </w:r>
    </w:p>
    <w:p w:rsidR="005020DE" w:rsidRPr="009B5CDC" w:rsidP="00D7513D" w14:paraId="354DED76" w14:textId="202E72AB">
      <w:pPr>
        <w:ind w:firstLine="720"/>
        <w:jc w:val="right"/>
      </w:pPr>
      <w:r>
        <w:rPr>
          <w:i/>
        </w:rPr>
        <w:t xml:space="preserve">4.tabula </w:t>
      </w:r>
    </w:p>
    <w:p w:rsidR="005020DE" w:rsidRPr="009B5CDC" w:rsidP="009B5CDC" w14:paraId="4FCC294E" w14:textId="47BE2909">
      <w:pPr>
        <w:jc w:val="center"/>
        <w:rPr>
          <w:color w:val="414142"/>
        </w:rPr>
      </w:pPr>
      <w:r>
        <w:rPr>
          <w:color w:val="414142"/>
        </w:rPr>
        <w:t xml:space="preserve">Staru un ķīmijterapijas </w:t>
      </w:r>
      <w:r w:rsidR="00603529">
        <w:rPr>
          <w:color w:val="414142"/>
        </w:rPr>
        <w:t>2017.</w:t>
      </w:r>
      <w:r>
        <w:rPr>
          <w:color w:val="414142"/>
        </w:rPr>
        <w:t>gada izpilde</w:t>
      </w:r>
    </w:p>
    <w:p w:rsidR="005020DE" w:rsidP="005020DE" w14:paraId="68CBD5D9" w14:textId="4BA100FA">
      <w:pPr>
        <w:ind w:firstLine="720"/>
        <w:jc w:val="both"/>
      </w:pPr>
    </w:p>
    <w:tbl>
      <w:tblPr>
        <w:tblW w:w="9493" w:type="dxa"/>
        <w:jc w:val="center"/>
        <w:tblLook w:val="04A0"/>
      </w:tblPr>
      <w:tblGrid>
        <w:gridCol w:w="1833"/>
        <w:gridCol w:w="1170"/>
        <w:gridCol w:w="1382"/>
        <w:gridCol w:w="1134"/>
        <w:gridCol w:w="1170"/>
        <w:gridCol w:w="1386"/>
        <w:gridCol w:w="1418"/>
      </w:tblGrid>
      <w:tr w14:paraId="181DDBF3" w14:textId="77777777" w:rsidTr="00982525">
        <w:tblPrEx>
          <w:tblW w:w="9493" w:type="dxa"/>
          <w:jc w:val="center"/>
          <w:tblLook w:val="04A0"/>
        </w:tblPrEx>
        <w:trPr>
          <w:trHeight w:val="600"/>
          <w:jc w:val="center"/>
        </w:trPr>
        <w:tc>
          <w:tcPr>
            <w:tcW w:w="183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rsidR="00603529" w:rsidRPr="00603529" w:rsidP="00603529" w14:paraId="03656437" w14:textId="6E184CF9">
            <w:pPr>
              <w:jc w:val="center"/>
              <w:rPr>
                <w:b/>
                <w:bCs/>
                <w:color w:val="000000"/>
                <w:sz w:val="22"/>
                <w:szCs w:val="22"/>
              </w:rPr>
            </w:pPr>
            <w:r w:rsidRPr="00603529">
              <w:rPr>
                <w:b/>
                <w:bCs/>
                <w:color w:val="000000"/>
                <w:sz w:val="22"/>
                <w:szCs w:val="22"/>
              </w:rPr>
              <w:t>Staru</w:t>
            </w:r>
            <w:r w:rsidR="008349CC">
              <w:rPr>
                <w:b/>
                <w:bCs/>
                <w:color w:val="000000"/>
                <w:sz w:val="22"/>
                <w:szCs w:val="22"/>
              </w:rPr>
              <w:t xml:space="preserve"> un ķīmijterapija</w:t>
            </w:r>
            <w:r w:rsidRPr="00603529">
              <w:rPr>
                <w:b/>
                <w:bCs/>
                <w:color w:val="000000"/>
                <w:sz w:val="22"/>
                <w:szCs w:val="22"/>
              </w:rPr>
              <w:t xml:space="preserve"> ambulatori</w:t>
            </w:r>
          </w:p>
        </w:tc>
        <w:tc>
          <w:tcPr>
            <w:tcW w:w="3686"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rsidR="00603529" w:rsidRPr="00603529" w:rsidP="00603529" w14:paraId="63C24E39" w14:textId="2B0B7AD2">
            <w:pPr>
              <w:jc w:val="center"/>
              <w:rPr>
                <w:color w:val="000000"/>
                <w:sz w:val="22"/>
                <w:szCs w:val="22"/>
              </w:rPr>
            </w:pPr>
            <w:r w:rsidRPr="00603529">
              <w:rPr>
                <w:color w:val="000000"/>
                <w:sz w:val="22"/>
                <w:szCs w:val="22"/>
              </w:rPr>
              <w:t>Plānota</w:t>
            </w:r>
            <w:r w:rsidR="000E3909">
              <w:rPr>
                <w:color w:val="000000"/>
                <w:sz w:val="22"/>
                <w:szCs w:val="22"/>
              </w:rPr>
              <w:t xml:space="preserve">is unikālo </w:t>
            </w:r>
            <w:r w:rsidRPr="00603529">
              <w:rPr>
                <w:color w:val="000000"/>
                <w:sz w:val="22"/>
                <w:szCs w:val="22"/>
              </w:rPr>
              <w:t>onkoloģisko pacientu apjoms</w:t>
            </w:r>
          </w:p>
        </w:tc>
        <w:tc>
          <w:tcPr>
            <w:tcW w:w="3974"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rsidR="00603529" w:rsidRPr="00603529" w:rsidP="00603529" w14:paraId="303FBC0C" w14:textId="77777777">
            <w:pPr>
              <w:jc w:val="center"/>
              <w:rPr>
                <w:color w:val="000000"/>
                <w:sz w:val="22"/>
                <w:szCs w:val="22"/>
              </w:rPr>
            </w:pPr>
            <w:r w:rsidRPr="00603529">
              <w:rPr>
                <w:color w:val="000000"/>
                <w:sz w:val="22"/>
                <w:szCs w:val="22"/>
              </w:rPr>
              <w:t>Faktiskā izpilde  unikālo  onkoloģisko  pacientu apjomam</w:t>
            </w:r>
          </w:p>
        </w:tc>
      </w:tr>
      <w:tr w14:paraId="7A2F848A" w14:textId="77777777" w:rsidTr="00982525">
        <w:tblPrEx>
          <w:tblW w:w="9493" w:type="dxa"/>
          <w:jc w:val="center"/>
          <w:tblLook w:val="04A0"/>
        </w:tblPrEx>
        <w:trPr>
          <w:trHeight w:val="1275"/>
          <w:jc w:val="center"/>
        </w:trPr>
        <w:tc>
          <w:tcPr>
            <w:tcW w:w="1833" w:type="dxa"/>
            <w:vMerge/>
            <w:tcBorders>
              <w:top w:val="single" w:sz="4" w:space="0" w:color="auto"/>
              <w:left w:val="single" w:sz="4" w:space="0" w:color="auto"/>
              <w:bottom w:val="single" w:sz="4" w:space="0" w:color="auto"/>
              <w:right w:val="single" w:sz="4" w:space="0" w:color="auto"/>
            </w:tcBorders>
            <w:vAlign w:val="center"/>
            <w:hideMark/>
          </w:tcPr>
          <w:p w:rsidR="00603529" w:rsidRPr="00603529" w:rsidP="00603529" w14:paraId="4C8BA69C" w14:textId="77777777">
            <w:pPr>
              <w:rPr>
                <w:b/>
                <w:bCs/>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603529" w:rsidRPr="00603529" w:rsidP="00603529" w14:paraId="24838464" w14:textId="68FF53DD">
            <w:pPr>
              <w:jc w:val="center"/>
              <w:rPr>
                <w:color w:val="000000"/>
                <w:sz w:val="22"/>
                <w:szCs w:val="22"/>
              </w:rPr>
            </w:pPr>
            <w:r>
              <w:rPr>
                <w:color w:val="000000"/>
                <w:sz w:val="22"/>
                <w:szCs w:val="22"/>
              </w:rPr>
              <w:t>Plānotais pacientu</w:t>
            </w:r>
            <w:r w:rsidRPr="00396F05">
              <w:rPr>
                <w:color w:val="000000"/>
                <w:sz w:val="22"/>
                <w:szCs w:val="22"/>
              </w:rPr>
              <w:t xml:space="preserve"> </w:t>
            </w:r>
            <w:r>
              <w:rPr>
                <w:color w:val="000000"/>
                <w:sz w:val="22"/>
                <w:szCs w:val="22"/>
              </w:rPr>
              <w:t xml:space="preserve">skaits </w:t>
            </w:r>
            <w:r w:rsidRPr="00396F05">
              <w:rPr>
                <w:color w:val="000000"/>
                <w:sz w:val="22"/>
                <w:szCs w:val="22"/>
              </w:rPr>
              <w:t>gadā</w:t>
            </w:r>
          </w:p>
        </w:tc>
        <w:tc>
          <w:tcPr>
            <w:tcW w:w="1382"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603529" w:rsidRPr="00603529" w:rsidP="00603529" w14:paraId="647AC25F" w14:textId="77777777">
            <w:pPr>
              <w:jc w:val="center"/>
              <w:rPr>
                <w:color w:val="000000"/>
                <w:sz w:val="22"/>
                <w:szCs w:val="22"/>
              </w:rPr>
            </w:pPr>
            <w:r w:rsidRPr="00603529">
              <w:rPr>
                <w:color w:val="000000"/>
                <w:sz w:val="22"/>
                <w:szCs w:val="22"/>
              </w:rPr>
              <w:t xml:space="preserve">Finansējums  2017.gadā </w:t>
            </w:r>
            <w:r w:rsidRPr="00603529">
              <w:rPr>
                <w:i/>
                <w:iCs/>
                <w:color w:val="000000"/>
                <w:sz w:val="22"/>
                <w:szCs w:val="22"/>
              </w:rPr>
              <w:t>euro</w:t>
            </w:r>
          </w:p>
        </w:tc>
        <w:tc>
          <w:tcPr>
            <w:tcW w:w="1134"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603529" w:rsidRPr="00603529" w:rsidP="00603529" w14:paraId="547FB2BE" w14:textId="77777777">
            <w:pPr>
              <w:jc w:val="center"/>
              <w:rPr>
                <w:color w:val="000000"/>
                <w:sz w:val="22"/>
                <w:szCs w:val="22"/>
              </w:rPr>
            </w:pPr>
            <w:r w:rsidRPr="00603529">
              <w:rPr>
                <w:color w:val="000000"/>
                <w:sz w:val="22"/>
                <w:szCs w:val="22"/>
              </w:rPr>
              <w:t xml:space="preserve">Vidējā izmaksa 2017.gadā </w:t>
            </w:r>
            <w:r w:rsidRPr="00603529">
              <w:rPr>
                <w:i/>
                <w:iCs/>
                <w:color w:val="000000"/>
                <w:sz w:val="22"/>
                <w:szCs w:val="22"/>
              </w:rPr>
              <w:t>euro</w:t>
            </w:r>
          </w:p>
        </w:tc>
        <w:tc>
          <w:tcPr>
            <w:tcW w:w="1170"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603529" w:rsidRPr="00603529" w:rsidP="00603529" w14:paraId="41F90302" w14:textId="3B3653AD">
            <w:pPr>
              <w:jc w:val="center"/>
              <w:rPr>
                <w:color w:val="000000"/>
                <w:sz w:val="22"/>
                <w:szCs w:val="22"/>
              </w:rPr>
            </w:pPr>
            <w:r>
              <w:rPr>
                <w:color w:val="000000"/>
                <w:sz w:val="22"/>
                <w:szCs w:val="22"/>
              </w:rPr>
              <w:t xml:space="preserve">Pacientu skaita </w:t>
            </w:r>
            <w:r w:rsidRPr="00396F05">
              <w:rPr>
                <w:color w:val="000000"/>
                <w:sz w:val="22"/>
                <w:szCs w:val="22"/>
              </w:rPr>
              <w:t>pieaugums 2017.gadā</w:t>
            </w:r>
          </w:p>
        </w:tc>
        <w:tc>
          <w:tcPr>
            <w:tcW w:w="1386"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603529" w:rsidRPr="00603529" w:rsidP="00603529" w14:paraId="08F5315B" w14:textId="77777777">
            <w:pPr>
              <w:jc w:val="center"/>
              <w:rPr>
                <w:color w:val="000000"/>
                <w:sz w:val="22"/>
                <w:szCs w:val="22"/>
              </w:rPr>
            </w:pPr>
            <w:r w:rsidRPr="00603529">
              <w:rPr>
                <w:color w:val="000000"/>
                <w:sz w:val="22"/>
                <w:szCs w:val="22"/>
              </w:rPr>
              <w:t xml:space="preserve">Finansējums 2017.gadā </w:t>
            </w:r>
            <w:r w:rsidRPr="00603529">
              <w:rPr>
                <w:i/>
                <w:iCs/>
                <w:color w:val="000000"/>
                <w:sz w:val="22"/>
                <w:szCs w:val="22"/>
              </w:rPr>
              <w:t>euro</w:t>
            </w:r>
          </w:p>
        </w:tc>
        <w:tc>
          <w:tcPr>
            <w:tcW w:w="1418"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603529" w:rsidRPr="00603529" w:rsidP="00603529" w14:paraId="41732A6E" w14:textId="77777777">
            <w:pPr>
              <w:jc w:val="center"/>
              <w:rPr>
                <w:color w:val="000000"/>
                <w:sz w:val="22"/>
                <w:szCs w:val="22"/>
              </w:rPr>
            </w:pPr>
            <w:r w:rsidRPr="00603529">
              <w:rPr>
                <w:color w:val="000000"/>
                <w:sz w:val="22"/>
                <w:szCs w:val="22"/>
              </w:rPr>
              <w:t xml:space="preserve">Vidējā izmaksa 2017.gadā </w:t>
            </w:r>
            <w:r w:rsidRPr="00603529">
              <w:rPr>
                <w:i/>
                <w:iCs/>
                <w:color w:val="000000"/>
                <w:sz w:val="22"/>
                <w:szCs w:val="22"/>
              </w:rPr>
              <w:t>euro</w:t>
            </w:r>
          </w:p>
        </w:tc>
      </w:tr>
      <w:tr w14:paraId="0D282269" w14:textId="77777777" w:rsidTr="00982525">
        <w:tblPrEx>
          <w:tblW w:w="9493" w:type="dxa"/>
          <w:jc w:val="center"/>
          <w:tblLook w:val="04A0"/>
        </w:tblPrEx>
        <w:trPr>
          <w:trHeight w:val="315"/>
          <w:jc w:val="center"/>
        </w:trPr>
        <w:tc>
          <w:tcPr>
            <w:tcW w:w="183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03529" w:rsidRPr="00603529" w:rsidP="00603529" w14:paraId="0BFCA662" w14:textId="77777777">
            <w:pPr>
              <w:jc w:val="center"/>
              <w:rPr>
                <w:color w:val="000000"/>
                <w:sz w:val="22"/>
                <w:szCs w:val="22"/>
              </w:rPr>
            </w:pPr>
            <w:r w:rsidRPr="00603529">
              <w:rPr>
                <w:color w:val="000000"/>
                <w:sz w:val="22"/>
                <w:szCs w:val="22"/>
              </w:rPr>
              <w:t>6 ārstniecības iestādes</w:t>
            </w:r>
          </w:p>
        </w:tc>
        <w:tc>
          <w:tcPr>
            <w:tcW w:w="1170" w:type="dxa"/>
            <w:tcBorders>
              <w:top w:val="single" w:sz="4" w:space="0" w:color="auto"/>
              <w:left w:val="nil"/>
              <w:bottom w:val="single" w:sz="8" w:space="0" w:color="auto"/>
              <w:right w:val="single" w:sz="8" w:space="0" w:color="auto"/>
            </w:tcBorders>
            <w:shd w:val="clear" w:color="auto" w:fill="auto"/>
            <w:noWrap/>
            <w:vAlign w:val="center"/>
            <w:hideMark/>
          </w:tcPr>
          <w:p w:rsidR="00603529" w:rsidRPr="00603529" w:rsidP="00603529" w14:paraId="7687C801" w14:textId="77777777">
            <w:pPr>
              <w:jc w:val="center"/>
              <w:rPr>
                <w:color w:val="000000"/>
                <w:sz w:val="22"/>
                <w:szCs w:val="22"/>
              </w:rPr>
            </w:pPr>
            <w:r w:rsidRPr="00603529">
              <w:rPr>
                <w:color w:val="000000"/>
                <w:sz w:val="22"/>
                <w:szCs w:val="22"/>
              </w:rPr>
              <w:t>3 306</w:t>
            </w:r>
          </w:p>
        </w:tc>
        <w:tc>
          <w:tcPr>
            <w:tcW w:w="1382" w:type="dxa"/>
            <w:tcBorders>
              <w:top w:val="single" w:sz="4" w:space="0" w:color="auto"/>
              <w:left w:val="nil"/>
              <w:bottom w:val="single" w:sz="8" w:space="0" w:color="auto"/>
              <w:right w:val="single" w:sz="8" w:space="0" w:color="auto"/>
            </w:tcBorders>
            <w:shd w:val="clear" w:color="auto" w:fill="auto"/>
            <w:noWrap/>
            <w:vAlign w:val="center"/>
            <w:hideMark/>
          </w:tcPr>
          <w:p w:rsidR="00603529" w:rsidRPr="00603529" w:rsidP="00603529" w14:paraId="5210B65D" w14:textId="77777777">
            <w:pPr>
              <w:jc w:val="center"/>
              <w:rPr>
                <w:color w:val="000000"/>
                <w:sz w:val="22"/>
                <w:szCs w:val="22"/>
              </w:rPr>
            </w:pPr>
            <w:r w:rsidRPr="00603529">
              <w:rPr>
                <w:color w:val="000000"/>
                <w:sz w:val="22"/>
                <w:szCs w:val="22"/>
              </w:rPr>
              <w:t>1 178 058</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rsidR="00603529" w:rsidRPr="00603529" w:rsidP="00603529" w14:paraId="6630EC1E" w14:textId="77777777">
            <w:pPr>
              <w:jc w:val="center"/>
              <w:rPr>
                <w:color w:val="000000"/>
                <w:sz w:val="22"/>
                <w:szCs w:val="22"/>
              </w:rPr>
            </w:pPr>
            <w:r w:rsidRPr="00603529">
              <w:rPr>
                <w:color w:val="000000"/>
                <w:sz w:val="22"/>
                <w:szCs w:val="22"/>
              </w:rPr>
              <w:t>356,34</w:t>
            </w:r>
          </w:p>
        </w:tc>
        <w:tc>
          <w:tcPr>
            <w:tcW w:w="1170" w:type="dxa"/>
            <w:tcBorders>
              <w:top w:val="single" w:sz="4" w:space="0" w:color="auto"/>
              <w:left w:val="nil"/>
              <w:bottom w:val="single" w:sz="8" w:space="0" w:color="auto"/>
              <w:right w:val="single" w:sz="8" w:space="0" w:color="auto"/>
            </w:tcBorders>
            <w:shd w:val="clear" w:color="auto" w:fill="auto"/>
            <w:noWrap/>
            <w:vAlign w:val="center"/>
            <w:hideMark/>
          </w:tcPr>
          <w:p w:rsidR="00603529" w:rsidRPr="00603529" w:rsidP="00603529" w14:paraId="7DDF2F09" w14:textId="2FB53F92">
            <w:pPr>
              <w:jc w:val="center"/>
              <w:rPr>
                <w:color w:val="000000"/>
                <w:sz w:val="22"/>
                <w:szCs w:val="22"/>
              </w:rPr>
            </w:pPr>
            <w:r>
              <w:rPr>
                <w:color w:val="000000"/>
                <w:sz w:val="22"/>
                <w:szCs w:val="22"/>
              </w:rPr>
              <w:t>1 996</w:t>
            </w:r>
          </w:p>
        </w:tc>
        <w:tc>
          <w:tcPr>
            <w:tcW w:w="1386" w:type="dxa"/>
            <w:tcBorders>
              <w:top w:val="single" w:sz="4" w:space="0" w:color="auto"/>
              <w:left w:val="nil"/>
              <w:bottom w:val="single" w:sz="8" w:space="0" w:color="auto"/>
              <w:right w:val="single" w:sz="8" w:space="0" w:color="auto"/>
            </w:tcBorders>
            <w:shd w:val="clear" w:color="auto" w:fill="auto"/>
            <w:noWrap/>
            <w:vAlign w:val="center"/>
            <w:hideMark/>
          </w:tcPr>
          <w:p w:rsidR="00603529" w:rsidRPr="00603529" w:rsidP="00603529" w14:paraId="761C5AF0" w14:textId="2022A18A">
            <w:pPr>
              <w:jc w:val="center"/>
              <w:rPr>
                <w:color w:val="000000"/>
                <w:sz w:val="22"/>
                <w:szCs w:val="22"/>
              </w:rPr>
            </w:pPr>
            <w:r>
              <w:rPr>
                <w:color w:val="000000"/>
                <w:sz w:val="22"/>
                <w:szCs w:val="22"/>
              </w:rPr>
              <w:t>1 164 114</w:t>
            </w: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603529" w:rsidRPr="00603529" w:rsidP="00603529" w14:paraId="38D98DF8" w14:textId="33011395">
            <w:pPr>
              <w:jc w:val="center"/>
              <w:rPr>
                <w:color w:val="000000"/>
                <w:sz w:val="22"/>
                <w:szCs w:val="22"/>
              </w:rPr>
            </w:pPr>
            <w:r>
              <w:rPr>
                <w:color w:val="000000"/>
                <w:sz w:val="22"/>
                <w:szCs w:val="22"/>
              </w:rPr>
              <w:t>583,22</w:t>
            </w:r>
          </w:p>
        </w:tc>
      </w:tr>
    </w:tbl>
    <w:p w:rsidR="005020DE" w:rsidP="001C680F" w14:paraId="7AAF59A6" w14:textId="0667C3A4">
      <w:pPr>
        <w:jc w:val="both"/>
      </w:pPr>
      <w:r w:rsidRPr="006E1FFA">
        <w:rPr>
          <w:i/>
          <w:sz w:val="20"/>
          <w:szCs w:val="20"/>
        </w:rPr>
        <w:t>Avots</w:t>
      </w:r>
      <w:r w:rsidRPr="008603A3">
        <w:rPr>
          <w:i/>
          <w:sz w:val="20"/>
          <w:szCs w:val="20"/>
        </w:rPr>
        <w:t>: NVD</w:t>
      </w:r>
    </w:p>
    <w:p w:rsidR="009B5CDC" w:rsidP="005020DE" w14:paraId="734023B2" w14:textId="77777777">
      <w:pPr>
        <w:ind w:firstLine="720"/>
        <w:jc w:val="both"/>
      </w:pPr>
    </w:p>
    <w:p w:rsidR="006C309F" w:rsidP="005020DE" w14:paraId="210FB149" w14:textId="4C05598A">
      <w:pPr>
        <w:ind w:firstLine="720"/>
        <w:jc w:val="both"/>
      </w:pPr>
      <w:r w:rsidRPr="00950A63">
        <w:t xml:space="preserve">Atbilstoši 2017.gada faktiskajai izpildei vidējās ārstēšanas izmaksas ambulatori </w:t>
      </w:r>
      <w:r>
        <w:t>palieli</w:t>
      </w:r>
      <w:r w:rsidRPr="00950A63">
        <w:t xml:space="preserve">nājušās par </w:t>
      </w:r>
      <w:r>
        <w:t>63,67</w:t>
      </w:r>
      <w:r w:rsidRPr="00950A63">
        <w:t xml:space="preserve"> % salīdzinot ar plānot</w:t>
      </w:r>
      <w:r w:rsidRPr="00A97499">
        <w:t>o</w:t>
      </w:r>
      <w:r>
        <w:t>, jo pieaudzis ilgstoši ārstējamo pacientu skaits</w:t>
      </w:r>
      <w:r w:rsidRPr="00950A63">
        <w:t>.</w:t>
      </w:r>
      <w:r>
        <w:t xml:space="preserve"> 2017.gadā tika </w:t>
      </w:r>
      <w:r w:rsidRPr="002C1F96">
        <w:t>veikt</w:t>
      </w:r>
      <w:r w:rsidR="00544228">
        <w:t>as</w:t>
      </w:r>
      <w:r w:rsidRPr="002C1F96">
        <w:t xml:space="preserve"> </w:t>
      </w:r>
      <w:r w:rsidRPr="002C1F96">
        <w:rPr>
          <w:color w:val="000000"/>
        </w:rPr>
        <w:t>138</w:t>
      </w:r>
      <w:r w:rsidR="000E3909">
        <w:rPr>
          <w:color w:val="000000"/>
        </w:rPr>
        <w:t xml:space="preserve"> </w:t>
      </w:r>
      <w:r w:rsidRPr="002C1F96">
        <w:rPr>
          <w:color w:val="000000"/>
        </w:rPr>
        <w:t xml:space="preserve">911 </w:t>
      </w:r>
      <w:r w:rsidR="00544228">
        <w:rPr>
          <w:color w:val="000000"/>
        </w:rPr>
        <w:t>manipulācijas</w:t>
      </w:r>
      <w:r w:rsidRPr="002C1F96">
        <w:rPr>
          <w:color w:val="000000"/>
        </w:rPr>
        <w:t xml:space="preserve"> 1996 unikālajiem pacientiem</w:t>
      </w:r>
      <w:r w:rsidRPr="00950A63" w:rsidR="00AC1DFD">
        <w:t>.</w:t>
      </w:r>
      <w:r w:rsidR="00AC1DFD">
        <w:t xml:space="preserve"> </w:t>
      </w:r>
    </w:p>
    <w:p w:rsidR="005020DE" w:rsidP="005020DE" w14:paraId="38CC2345" w14:textId="20CB78A1">
      <w:pPr>
        <w:ind w:firstLine="720"/>
        <w:jc w:val="both"/>
      </w:pPr>
      <w:r>
        <w:t xml:space="preserve">Attiecībā uz 2017.gada onkoloģisko pacientu aptveri, ārstēšanai pakļauti </w:t>
      </w:r>
      <w:r w:rsidR="00204612">
        <w:t>56,9</w:t>
      </w:r>
      <w:r>
        <w:t xml:space="preserve"> % no plānotā unikālo pacientu skaita</w:t>
      </w:r>
      <w:r w:rsidR="00990C49">
        <w:t>.</w:t>
      </w:r>
      <w:r>
        <w:t xml:space="preserve"> </w:t>
      </w:r>
      <w:r w:rsidR="00690D5E">
        <w:t xml:space="preserve">Ambulatorās ārstēšanas </w:t>
      </w:r>
      <w:r w:rsidR="009D3E88">
        <w:t xml:space="preserve">izmaksu </w:t>
      </w:r>
      <w:r w:rsidR="00204612">
        <w:t>palieli</w:t>
      </w:r>
      <w:r w:rsidR="001D7EC2">
        <w:t>nājums saistāms ar</w:t>
      </w:r>
      <w:r w:rsidR="007C5E34">
        <w:t xml:space="preserve"> </w:t>
      </w:r>
      <w:r w:rsidR="001D7EC2">
        <w:t xml:space="preserve">pacientu </w:t>
      </w:r>
      <w:r w:rsidR="00EE66CC">
        <w:t xml:space="preserve">atšķirīgajām </w:t>
      </w:r>
      <w:r w:rsidR="001D7EC2">
        <w:t>diagnozēm</w:t>
      </w:r>
      <w:r w:rsidR="00884FBC">
        <w:t>,</w:t>
      </w:r>
      <w:r w:rsidR="00EE66CC">
        <w:t xml:space="preserve"> katrai</w:t>
      </w:r>
      <w:r w:rsidR="001D7EC2">
        <w:t xml:space="preserve"> piemēroj</w:t>
      </w:r>
      <w:r w:rsidR="00EE66CC">
        <w:t>ot</w:t>
      </w:r>
      <w:r w:rsidR="001D7EC2">
        <w:t xml:space="preserve"> efektīvāko ārstēšanas veid</w:t>
      </w:r>
      <w:r w:rsidR="00EE66CC">
        <w:t>u.</w:t>
      </w:r>
      <w:r w:rsidR="007C5E34">
        <w:t xml:space="preserve"> </w:t>
      </w:r>
      <w:r w:rsidR="00EE66CC">
        <w:t>V</w:t>
      </w:r>
      <w:r w:rsidR="001D7EC2">
        <w:t xml:space="preserve">airums gadījumos </w:t>
      </w:r>
      <w:r w:rsidR="00EE66CC">
        <w:t xml:space="preserve">tie </w:t>
      </w:r>
      <w:r w:rsidR="001D7EC2">
        <w:t>b</w:t>
      </w:r>
      <w:r w:rsidR="00AE60CF">
        <w:t>ijuši ilgstoši ārstējami pacienti</w:t>
      </w:r>
      <w:r w:rsidR="00D33450">
        <w:t>, kā arī ir pieaudzis pacientu skait</w:t>
      </w:r>
      <w:r w:rsidR="00EE66CC">
        <w:t>s</w:t>
      </w:r>
      <w:r w:rsidR="00204612">
        <w:t xml:space="preserve"> staru terapijas ārstēšanas metodes pielietošanā, kas ir izmaksu ietilpīgāka ārstēšanas metode</w:t>
      </w:r>
      <w:r w:rsidR="00EE66CC">
        <w:t>.</w:t>
      </w:r>
      <w:r w:rsidR="009D3E88">
        <w:t xml:space="preserve"> </w:t>
      </w:r>
      <w:r w:rsidR="00EE66CC">
        <w:t>T</w:t>
      </w:r>
      <w:r w:rsidR="00D33450">
        <w:t>urpmākais pacientu</w:t>
      </w:r>
      <w:r w:rsidR="009D3E88">
        <w:t xml:space="preserve"> pieaugums </w:t>
      </w:r>
      <w:r w:rsidR="00A738EA">
        <w:t>saist</w:t>
      </w:r>
      <w:r w:rsidR="001D7EC2">
        <w:t>āms</w:t>
      </w:r>
      <w:r w:rsidR="00A738EA">
        <w:t xml:space="preserve"> ar </w:t>
      </w:r>
      <w:r w:rsidR="00EE66CC">
        <w:t xml:space="preserve"> to, ka </w:t>
      </w:r>
      <w:r w:rsidRPr="00A53FBB" w:rsidR="00EE66CC">
        <w:rPr>
          <w:color w:val="000000" w:themeColor="text1"/>
        </w:rPr>
        <w:t>no 2017. gada 1.novembra</w:t>
      </w:r>
      <w:r w:rsidR="00EE66CC">
        <w:rPr>
          <w:color w:val="000000" w:themeColor="text1"/>
        </w:rPr>
        <w:t xml:space="preserve"> “zaļajā koridorā” tika iekļautas sekojošas lokalizācijas - </w:t>
      </w:r>
      <w:r w:rsidRPr="00A53FBB" w:rsidR="00EE66CC">
        <w:rPr>
          <w:color w:val="000000" w:themeColor="text1"/>
        </w:rPr>
        <w:t xml:space="preserve">lūpas, mutes dobums, rīkles mutes daļa, vairogdziedzeris, </w:t>
      </w:r>
      <w:r w:rsidR="004B78C5">
        <w:rPr>
          <w:color w:val="000000" w:themeColor="text1"/>
        </w:rPr>
        <w:t xml:space="preserve">āda, ja ir aizdomas par </w:t>
      </w:r>
      <w:r w:rsidRPr="00A53FBB" w:rsidR="00EE66CC">
        <w:rPr>
          <w:color w:val="000000" w:themeColor="text1"/>
        </w:rPr>
        <w:t>melanom</w:t>
      </w:r>
      <w:r w:rsidR="004B78C5">
        <w:rPr>
          <w:color w:val="000000" w:themeColor="text1"/>
        </w:rPr>
        <w:t>u</w:t>
      </w:r>
      <w:r w:rsidRPr="00A53FBB" w:rsidR="00EE66CC">
        <w:rPr>
          <w:color w:val="000000" w:themeColor="text1"/>
        </w:rPr>
        <w:t xml:space="preserve">, aknas, </w:t>
      </w:r>
      <w:r w:rsidRPr="00A53FBB" w:rsidR="00EE66CC">
        <w:rPr>
          <w:color w:val="000000" w:themeColor="text1"/>
        </w:rPr>
        <w:t>žultsceļi</w:t>
      </w:r>
      <w:r w:rsidRPr="00A53FBB" w:rsidR="00EE66CC">
        <w:rPr>
          <w:color w:val="000000" w:themeColor="text1"/>
        </w:rPr>
        <w:t xml:space="preserve">, </w:t>
      </w:r>
      <w:r w:rsidRPr="00A53FBB" w:rsidR="00EE66CC">
        <w:rPr>
          <w:color w:val="000000" w:themeColor="text1"/>
        </w:rPr>
        <w:t>žūltpūslis</w:t>
      </w:r>
      <w:r w:rsidRPr="00A53FBB" w:rsidR="00EE66CC">
        <w:rPr>
          <w:color w:val="000000" w:themeColor="text1"/>
        </w:rPr>
        <w:t>, tūplis, centrālā nervu sistēma</w:t>
      </w:r>
      <w:r w:rsidR="00EE66CC">
        <w:rPr>
          <w:color w:val="000000" w:themeColor="text1"/>
        </w:rPr>
        <w:t xml:space="preserve">. </w:t>
      </w:r>
    </w:p>
    <w:p w:rsidR="009D3E88" w:rsidRPr="00307206" w:rsidP="00AE60CF" w14:paraId="5FD5DC01" w14:textId="08352667">
      <w:pPr>
        <w:ind w:firstLine="720"/>
        <w:jc w:val="both"/>
      </w:pPr>
      <w:r>
        <w:t>Ņemot vērā minēto</w:t>
      </w:r>
      <w:r w:rsidR="00F8279F">
        <w:t>,</w:t>
      </w:r>
      <w:r w:rsidR="00990C49">
        <w:t xml:space="preserve"> </w:t>
      </w:r>
      <w:r>
        <w:t xml:space="preserve">līdz 2017.gada </w:t>
      </w:r>
      <w:r w:rsidRPr="00B15546">
        <w:t xml:space="preserve">31.decembrim </w:t>
      </w:r>
      <w:r w:rsidRPr="009B5CDC">
        <w:rPr>
          <w:color w:val="000000"/>
        </w:rPr>
        <w:t>onkoloģijas reform</w:t>
      </w:r>
      <w:r w:rsidR="009216A0">
        <w:rPr>
          <w:color w:val="000000"/>
        </w:rPr>
        <w:t>u</w:t>
      </w:r>
      <w:r w:rsidRPr="009B5CDC">
        <w:rPr>
          <w:color w:val="000000"/>
        </w:rPr>
        <w:t xml:space="preserve"> ietvaros atbilstoši noteiktajiem algoritmiem ambulatori</w:t>
      </w:r>
      <w:r w:rsidRPr="00B15546">
        <w:t xml:space="preserve"> </w:t>
      </w:r>
      <w:r w:rsidR="00990C49">
        <w:t xml:space="preserve">ir </w:t>
      </w:r>
      <w:r w:rsidRPr="00B15546">
        <w:t>nodrošin</w:t>
      </w:r>
      <w:r w:rsidR="005A714C">
        <w:t>ā</w:t>
      </w:r>
      <w:r w:rsidR="009216A0">
        <w:t>ta</w:t>
      </w:r>
      <w:r w:rsidRPr="00B15546">
        <w:t xml:space="preserve"> pieejamu ā</w:t>
      </w:r>
      <w:r w:rsidRPr="00307206">
        <w:t>rstēšan</w:t>
      </w:r>
      <w:r w:rsidR="009216A0">
        <w:t>a</w:t>
      </w:r>
      <w:r w:rsidRPr="00307206">
        <w:t xml:space="preserve"> </w:t>
      </w:r>
      <w:r w:rsidR="00BB434B">
        <w:t>1 996</w:t>
      </w:r>
      <w:r w:rsidR="00D3489E">
        <w:t xml:space="preserve"> </w:t>
      </w:r>
      <w:r w:rsidRPr="00307206">
        <w:t>pacientiem ar onkoloģiskajām saslimšanām</w:t>
      </w:r>
      <w:r w:rsidR="000017A3">
        <w:t xml:space="preserve">, atbilstoši nepieciešamajam ārstēšanas kursa </w:t>
      </w:r>
      <w:r w:rsidR="00AE1CD1">
        <w:t>ilguma</w:t>
      </w:r>
      <w:r w:rsidR="002B7FC5">
        <w:t>m</w:t>
      </w:r>
      <w:r w:rsidR="00AE1CD1">
        <w:t xml:space="preserve">, </w:t>
      </w:r>
      <w:r w:rsidR="00995DDA">
        <w:t>var</w:t>
      </w:r>
      <w:r w:rsidR="00D3489E">
        <w:t xml:space="preserve"> </w:t>
      </w:r>
      <w:r w:rsidR="00AE1CD1">
        <w:t>s</w:t>
      </w:r>
      <w:r w:rsidR="00D3489E">
        <w:t>ecin</w:t>
      </w:r>
      <w:r w:rsidR="00AE1CD1">
        <w:t>āt</w:t>
      </w:r>
      <w:r w:rsidR="00D3489E">
        <w:t>, ka ir pieaudzis ilgstoši ārstējamo pacientu skaits</w:t>
      </w:r>
      <w:r w:rsidR="00AE1CD1">
        <w:t>, kuriem nepieciešama atkārtota atbilstošas ārstēšanas metodes pielietošana</w:t>
      </w:r>
      <w:r w:rsidR="001F528A">
        <w:t>, piemēram, staru terapija</w:t>
      </w:r>
      <w:r w:rsidRPr="00307206">
        <w:t xml:space="preserve">. </w:t>
      </w:r>
    </w:p>
    <w:p w:rsidR="003C7616" w:rsidP="009D3E88" w14:paraId="71D24973" w14:textId="77777777">
      <w:pPr>
        <w:ind w:firstLine="720"/>
        <w:jc w:val="both"/>
      </w:pPr>
    </w:p>
    <w:p w:rsidR="009D3E88" w:rsidP="003C7616" w14:paraId="69724B39" w14:textId="5C5F787D">
      <w:pPr>
        <w:jc w:val="both"/>
        <w:rPr>
          <w:u w:val="single"/>
        </w:rPr>
      </w:pPr>
      <w:r w:rsidRPr="003C7616">
        <w:rPr>
          <w:u w:val="single"/>
        </w:rPr>
        <w:t>Stacionārā ārstēšana</w:t>
      </w:r>
    </w:p>
    <w:p w:rsidR="00D07324" w:rsidRPr="003C7616" w:rsidP="003C7616" w14:paraId="559E3EB5" w14:textId="77777777">
      <w:pPr>
        <w:jc w:val="both"/>
        <w:rPr>
          <w:u w:val="single"/>
        </w:rPr>
      </w:pPr>
    </w:p>
    <w:p w:rsidR="00F25C2D" w:rsidRPr="00423B5A" w:rsidP="005020DE" w14:paraId="583EFB5B" w14:textId="38DF8A50">
      <w:pPr>
        <w:ind w:firstLine="720"/>
        <w:jc w:val="both"/>
        <w:rPr>
          <w:color w:val="000000" w:themeColor="text1"/>
        </w:rPr>
      </w:pPr>
      <w:r w:rsidRPr="005020DE">
        <w:t xml:space="preserve">Onkoloģijas reformu ietvaros plānota </w:t>
      </w:r>
      <w:r>
        <w:t>onkoloģisko saslimšanu ārstēšana stacionārā</w:t>
      </w:r>
      <w:r w:rsidR="00FD04DD">
        <w:t>,</w:t>
      </w:r>
      <w:r>
        <w:t xml:space="preserve"> nodrošinot savlaicīg</w:t>
      </w:r>
      <w:r w:rsidR="002F1700">
        <w:t>as</w:t>
      </w:r>
      <w:r>
        <w:t xml:space="preserve"> operācij</w:t>
      </w:r>
      <w:r w:rsidR="002F1700">
        <w:t>as</w:t>
      </w:r>
      <w:r>
        <w:t xml:space="preserve">. Lai esošā stacionāra finansējuma ietvaros īstenotu ātrāku onkoloģisko operāciju veikšanu sākot ar </w:t>
      </w:r>
      <w:r w:rsidR="007E01D5">
        <w:t>2017.gada</w:t>
      </w:r>
      <w:r>
        <w:t xml:space="preserve">. 1.aprīli </w:t>
      </w:r>
      <w:r w:rsidR="002D2332">
        <w:t>noteikta</w:t>
      </w:r>
      <w:r>
        <w:t xml:space="preserve"> </w:t>
      </w:r>
      <w:r>
        <w:rPr>
          <w:noProof/>
        </w:rPr>
        <w:t>piemaksa</w:t>
      </w:r>
      <w:r w:rsidRPr="009B601B">
        <w:rPr>
          <w:noProof/>
        </w:rPr>
        <w:t xml:space="preserve"> par sarežģītas primāras onkooperācijas veikšanu pēc ārstu konsīlija</w:t>
      </w:r>
      <w:r w:rsidR="009D32AE">
        <w:rPr>
          <w:noProof/>
        </w:rPr>
        <w:t xml:space="preserve"> lēmuma</w:t>
      </w:r>
      <w:r>
        <w:rPr>
          <w:noProof/>
        </w:rPr>
        <w:t xml:space="preserve">. Minētā piemaksa nodrošināta </w:t>
      </w:r>
      <w:r w:rsidRPr="00423B5A">
        <w:rPr>
          <w:color w:val="000000" w:themeColor="text1"/>
        </w:rPr>
        <w:t xml:space="preserve">pārdalītā finansējuma veselības nozares reformu īstenošanai onkoloģijas jomā ietvaros. </w:t>
      </w:r>
    </w:p>
    <w:p w:rsidR="00F25C2D" w:rsidRPr="00B527F8" w:rsidP="00F25C2D" w14:paraId="1D577F37" w14:textId="5E37635C">
      <w:pPr>
        <w:ind w:firstLine="720"/>
        <w:jc w:val="both"/>
      </w:pPr>
      <w:r w:rsidRPr="00982525">
        <w:rPr>
          <w:color w:val="000000" w:themeColor="text1"/>
        </w:rPr>
        <w:t>2017.gadā pl</w:t>
      </w:r>
      <w:r w:rsidRPr="00982525" w:rsidR="0044502F">
        <w:rPr>
          <w:color w:val="000000" w:themeColor="text1"/>
        </w:rPr>
        <w:t>ānotas 6</w:t>
      </w:r>
      <w:r w:rsidRPr="00982525">
        <w:rPr>
          <w:color w:val="000000" w:themeColor="text1"/>
        </w:rPr>
        <w:t xml:space="preserve"> tūkst</w:t>
      </w:r>
      <w:r w:rsidRPr="00982525" w:rsidR="00F8279F">
        <w:rPr>
          <w:color w:val="000000" w:themeColor="text1"/>
        </w:rPr>
        <w:t>oši</w:t>
      </w:r>
      <w:r w:rsidRPr="00982525">
        <w:rPr>
          <w:color w:val="000000" w:themeColor="text1"/>
        </w:rPr>
        <w:t xml:space="preserve"> </w:t>
      </w:r>
      <w:r w:rsidRPr="00982525" w:rsidR="00423B5A">
        <w:rPr>
          <w:color w:val="000000" w:themeColor="text1"/>
        </w:rPr>
        <w:t>piemaks</w:t>
      </w:r>
      <w:r w:rsidRPr="00982525" w:rsidR="00F8279F">
        <w:rPr>
          <w:color w:val="000000" w:themeColor="text1"/>
        </w:rPr>
        <w:t>u</w:t>
      </w:r>
      <w:r w:rsidRPr="00982525" w:rsidR="00423B5A">
        <w:rPr>
          <w:color w:val="000000" w:themeColor="text1"/>
        </w:rPr>
        <w:t xml:space="preserve"> ārstniecības iestādēs par </w:t>
      </w:r>
      <w:r w:rsidRPr="00982525" w:rsidR="00B527F8">
        <w:rPr>
          <w:color w:val="000000" w:themeColor="text1"/>
        </w:rPr>
        <w:t>sarežģītas primāras onko</w:t>
      </w:r>
      <w:r w:rsidRPr="00982525" w:rsidR="00F8279F">
        <w:rPr>
          <w:color w:val="000000" w:themeColor="text1"/>
        </w:rPr>
        <w:t xml:space="preserve">loģiskas </w:t>
      </w:r>
      <w:r w:rsidRPr="00982525" w:rsidR="00B527F8">
        <w:rPr>
          <w:color w:val="000000" w:themeColor="text1"/>
        </w:rPr>
        <w:t>operācijas veikšanu pacientiem ar pirmreizēji diagnosticētu onkoloģisko slimību</w:t>
      </w:r>
      <w:r w:rsidRPr="00982525" w:rsidR="00423B5A">
        <w:rPr>
          <w:noProof/>
          <w:color w:val="000000" w:themeColor="text1"/>
        </w:rPr>
        <w:t xml:space="preserve">. </w:t>
      </w:r>
      <w:r w:rsidRPr="00B527F8">
        <w:t>Š</w:t>
      </w:r>
      <w:r w:rsidRPr="00B527F8" w:rsidR="00423B5A">
        <w:t xml:space="preserve">ādas piemaksas </w:t>
      </w:r>
      <w:r w:rsidRPr="00B527F8">
        <w:t>paredzēts nodrošināt Bērnu klīnisk</w:t>
      </w:r>
      <w:r w:rsidR="00F8279F">
        <w:t>aj</w:t>
      </w:r>
      <w:r w:rsidRPr="00B527F8">
        <w:t>ā universitātes slimnīc</w:t>
      </w:r>
      <w:r w:rsidR="00F8279F">
        <w:t>ā</w:t>
      </w:r>
      <w:r w:rsidRPr="00B527F8">
        <w:t>, Piejūras slimnīc</w:t>
      </w:r>
      <w:r w:rsidR="00F8279F">
        <w:t>ā</w:t>
      </w:r>
      <w:r w:rsidRPr="00B527F8">
        <w:t>, Liepājas reģionāl</w:t>
      </w:r>
      <w:r w:rsidR="00F8279F">
        <w:t>aj</w:t>
      </w:r>
      <w:r w:rsidRPr="00B527F8">
        <w:t>ā slimnīc</w:t>
      </w:r>
      <w:r w:rsidR="00F8279F">
        <w:t>ā</w:t>
      </w:r>
      <w:r w:rsidRPr="00B527F8">
        <w:t>, Rīgas Austrumu klīnisk</w:t>
      </w:r>
      <w:r w:rsidR="00F8279F">
        <w:t>aj</w:t>
      </w:r>
      <w:r w:rsidRPr="00B527F8">
        <w:t>ā universitātes slimnīc</w:t>
      </w:r>
      <w:r w:rsidR="00F8279F">
        <w:t>ā</w:t>
      </w:r>
      <w:r w:rsidRPr="00B527F8">
        <w:t>, P</w:t>
      </w:r>
      <w:r w:rsidR="009B5CDC">
        <w:t xml:space="preserve">aula </w:t>
      </w:r>
      <w:r w:rsidRPr="00B527F8">
        <w:t>Stradiņa klīnisk</w:t>
      </w:r>
      <w:r w:rsidR="00F8279F">
        <w:t>aj</w:t>
      </w:r>
      <w:r w:rsidRPr="00B527F8">
        <w:t>ā universitātes slimnīc</w:t>
      </w:r>
      <w:r w:rsidR="00F8279F">
        <w:t>ā</w:t>
      </w:r>
      <w:r w:rsidRPr="00B527F8">
        <w:t>, Daugavpils reģionāl</w:t>
      </w:r>
      <w:r w:rsidR="00307206">
        <w:t>aj</w:t>
      </w:r>
      <w:r w:rsidRPr="00B527F8">
        <w:t>ā slimnīc</w:t>
      </w:r>
      <w:r w:rsidR="00307206">
        <w:t xml:space="preserve">ā un </w:t>
      </w:r>
      <w:r w:rsidRPr="00B527F8" w:rsidR="00423B5A">
        <w:t>Traumatoloģijas un ortopēdijas slimnīc</w:t>
      </w:r>
      <w:r w:rsidR="00307206">
        <w:t>ā</w:t>
      </w:r>
      <w:r w:rsidRPr="00B527F8" w:rsidR="00423B5A">
        <w:t xml:space="preserve">. </w:t>
      </w:r>
      <w:r w:rsidRPr="00B527F8">
        <w:t xml:space="preserve"> </w:t>
      </w:r>
    </w:p>
    <w:p w:rsidR="00B527F8" w:rsidRPr="00D7513D" w:rsidP="00D7513D" w14:paraId="6261C608" w14:textId="0334E8DE">
      <w:pPr>
        <w:spacing w:after="200" w:line="276" w:lineRule="auto"/>
        <w:jc w:val="right"/>
        <w:rPr>
          <w:noProof/>
        </w:rPr>
      </w:pPr>
      <w:r>
        <w:rPr>
          <w:i/>
        </w:rPr>
        <w:t xml:space="preserve">5.tabula </w:t>
      </w:r>
    </w:p>
    <w:p w:rsidR="00B527F8" w:rsidRPr="00F352AF" w:rsidP="00B527F8" w14:paraId="2FE9A16F" w14:textId="0BE2E95B">
      <w:pPr>
        <w:jc w:val="center"/>
        <w:rPr>
          <w:color w:val="414142"/>
        </w:rPr>
      </w:pPr>
      <w:r>
        <w:rPr>
          <w:color w:val="414142"/>
        </w:rPr>
        <w:t xml:space="preserve">Stacionārā ārstēto onkoloģisko pacientu </w:t>
      </w:r>
      <w:r w:rsidR="00603529">
        <w:rPr>
          <w:color w:val="414142"/>
        </w:rPr>
        <w:t>2017.</w:t>
      </w:r>
      <w:r>
        <w:rPr>
          <w:color w:val="414142"/>
        </w:rPr>
        <w:t>gada izpilde</w:t>
      </w:r>
    </w:p>
    <w:p w:rsidR="00F15866" w:rsidP="005020DE" w14:paraId="6172C835" w14:textId="77777777">
      <w:pPr>
        <w:ind w:firstLine="720"/>
        <w:jc w:val="both"/>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1311"/>
        <w:gridCol w:w="1381"/>
        <w:gridCol w:w="1276"/>
        <w:gridCol w:w="1276"/>
        <w:gridCol w:w="1417"/>
        <w:gridCol w:w="1277"/>
      </w:tblGrid>
      <w:tr w14:paraId="56B6D405" w14:textId="77777777" w:rsidTr="00982525">
        <w:tblPrEx>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00"/>
          <w:jc w:val="center"/>
        </w:trPr>
        <w:tc>
          <w:tcPr>
            <w:tcW w:w="1555" w:type="dxa"/>
            <w:vMerge w:val="restart"/>
            <w:shd w:val="clear" w:color="000000" w:fill="FCE4D6"/>
            <w:vAlign w:val="center"/>
            <w:hideMark/>
          </w:tcPr>
          <w:p w:rsidR="00603529" w:rsidRPr="00603529" w:rsidP="00603529" w14:paraId="7FB6963F" w14:textId="77777777">
            <w:pPr>
              <w:jc w:val="center"/>
              <w:rPr>
                <w:b/>
                <w:bCs/>
                <w:color w:val="000000"/>
                <w:sz w:val="22"/>
                <w:szCs w:val="22"/>
              </w:rPr>
            </w:pPr>
            <w:r w:rsidRPr="00603529">
              <w:rPr>
                <w:b/>
                <w:bCs/>
                <w:color w:val="000000"/>
                <w:sz w:val="22"/>
                <w:szCs w:val="22"/>
              </w:rPr>
              <w:t>Ārstēšana stacionāri</w:t>
            </w:r>
          </w:p>
        </w:tc>
        <w:tc>
          <w:tcPr>
            <w:tcW w:w="3968" w:type="dxa"/>
            <w:gridSpan w:val="3"/>
            <w:shd w:val="clear" w:color="000000" w:fill="FCE4D6"/>
            <w:vAlign w:val="center"/>
            <w:hideMark/>
          </w:tcPr>
          <w:p w:rsidR="00603529" w:rsidRPr="00603529" w:rsidP="00603529" w14:paraId="1AAEEA25" w14:textId="063E3FBD">
            <w:pPr>
              <w:jc w:val="center"/>
              <w:rPr>
                <w:color w:val="000000"/>
                <w:sz w:val="22"/>
                <w:szCs w:val="22"/>
              </w:rPr>
            </w:pPr>
            <w:r w:rsidRPr="00603529">
              <w:rPr>
                <w:color w:val="000000"/>
                <w:sz w:val="22"/>
                <w:szCs w:val="22"/>
              </w:rPr>
              <w:t xml:space="preserve">Plānotais ārstējamo </w:t>
            </w:r>
            <w:r w:rsidR="002F15D4">
              <w:rPr>
                <w:color w:val="000000"/>
                <w:sz w:val="22"/>
                <w:szCs w:val="22"/>
              </w:rPr>
              <w:t xml:space="preserve">unikālo </w:t>
            </w:r>
            <w:r w:rsidRPr="00603529">
              <w:rPr>
                <w:color w:val="000000"/>
                <w:sz w:val="22"/>
                <w:szCs w:val="22"/>
              </w:rPr>
              <w:t>onkoloģisko pacientu apjoms</w:t>
            </w:r>
          </w:p>
        </w:tc>
        <w:tc>
          <w:tcPr>
            <w:tcW w:w="3970" w:type="dxa"/>
            <w:gridSpan w:val="3"/>
            <w:shd w:val="clear" w:color="000000" w:fill="FCE4D6"/>
            <w:vAlign w:val="center"/>
            <w:hideMark/>
          </w:tcPr>
          <w:p w:rsidR="00603529" w:rsidRPr="00603529" w:rsidP="00603529" w14:paraId="43595FA3" w14:textId="47B84B05">
            <w:pPr>
              <w:jc w:val="center"/>
              <w:rPr>
                <w:color w:val="000000"/>
                <w:sz w:val="22"/>
                <w:szCs w:val="22"/>
              </w:rPr>
            </w:pPr>
            <w:r w:rsidRPr="00603529">
              <w:rPr>
                <w:color w:val="000000"/>
                <w:sz w:val="22"/>
                <w:szCs w:val="22"/>
              </w:rPr>
              <w:t xml:space="preserve">Faktiskā izpilde ārstējamo </w:t>
            </w:r>
            <w:r w:rsidR="002F15D4">
              <w:rPr>
                <w:color w:val="000000"/>
                <w:sz w:val="22"/>
                <w:szCs w:val="22"/>
              </w:rPr>
              <w:t xml:space="preserve">unikālo </w:t>
            </w:r>
            <w:r w:rsidRPr="00603529">
              <w:rPr>
                <w:color w:val="000000"/>
                <w:sz w:val="22"/>
                <w:szCs w:val="22"/>
              </w:rPr>
              <w:t>onkoloģisko pacientu apjomam</w:t>
            </w:r>
          </w:p>
        </w:tc>
      </w:tr>
      <w:tr w14:paraId="4C54D68E" w14:textId="77777777" w:rsidTr="00982525">
        <w:tblPrEx>
          <w:tblW w:w="9493" w:type="dxa"/>
          <w:jc w:val="center"/>
          <w:tblLook w:val="04A0"/>
        </w:tblPrEx>
        <w:trPr>
          <w:trHeight w:val="1215"/>
          <w:jc w:val="center"/>
        </w:trPr>
        <w:tc>
          <w:tcPr>
            <w:tcW w:w="1555" w:type="dxa"/>
            <w:vMerge/>
            <w:vAlign w:val="center"/>
            <w:hideMark/>
          </w:tcPr>
          <w:p w:rsidR="00603529" w:rsidRPr="00603529" w:rsidP="00603529" w14:paraId="3EF09B8F" w14:textId="77777777">
            <w:pPr>
              <w:rPr>
                <w:b/>
                <w:bCs/>
                <w:color w:val="000000"/>
                <w:sz w:val="22"/>
                <w:szCs w:val="22"/>
              </w:rPr>
            </w:pPr>
          </w:p>
        </w:tc>
        <w:tc>
          <w:tcPr>
            <w:tcW w:w="1311" w:type="dxa"/>
            <w:shd w:val="clear" w:color="000000" w:fill="FCE4D6"/>
            <w:vAlign w:val="center"/>
            <w:hideMark/>
          </w:tcPr>
          <w:p w:rsidR="00603529" w:rsidRPr="00603529" w:rsidP="00603529" w14:paraId="2F8C8B53" w14:textId="4238F802">
            <w:pPr>
              <w:jc w:val="center"/>
              <w:rPr>
                <w:color w:val="000000"/>
                <w:sz w:val="22"/>
                <w:szCs w:val="22"/>
              </w:rPr>
            </w:pPr>
            <w:r>
              <w:rPr>
                <w:color w:val="000000"/>
                <w:sz w:val="22"/>
                <w:szCs w:val="22"/>
              </w:rPr>
              <w:t>Plānotais pacientu</w:t>
            </w:r>
            <w:r w:rsidRPr="00396F05">
              <w:rPr>
                <w:color w:val="000000"/>
                <w:sz w:val="22"/>
                <w:szCs w:val="22"/>
              </w:rPr>
              <w:t xml:space="preserve"> </w:t>
            </w:r>
            <w:r>
              <w:rPr>
                <w:color w:val="000000"/>
                <w:sz w:val="22"/>
                <w:szCs w:val="22"/>
              </w:rPr>
              <w:t xml:space="preserve">skaits </w:t>
            </w:r>
            <w:r w:rsidRPr="00396F05">
              <w:rPr>
                <w:color w:val="000000"/>
                <w:sz w:val="22"/>
                <w:szCs w:val="22"/>
              </w:rPr>
              <w:t>gadā</w:t>
            </w:r>
          </w:p>
        </w:tc>
        <w:tc>
          <w:tcPr>
            <w:tcW w:w="1381" w:type="dxa"/>
            <w:shd w:val="clear" w:color="000000" w:fill="FCE4D6"/>
            <w:vAlign w:val="center"/>
            <w:hideMark/>
          </w:tcPr>
          <w:p w:rsidR="00603529" w:rsidRPr="00603529" w:rsidP="00603529" w14:paraId="3DC9C8D8" w14:textId="77777777">
            <w:pPr>
              <w:jc w:val="center"/>
              <w:rPr>
                <w:color w:val="000000"/>
                <w:sz w:val="22"/>
                <w:szCs w:val="22"/>
              </w:rPr>
            </w:pPr>
            <w:r w:rsidRPr="00603529">
              <w:rPr>
                <w:color w:val="000000"/>
                <w:sz w:val="22"/>
                <w:szCs w:val="22"/>
              </w:rPr>
              <w:t xml:space="preserve">Finansējums  2017.gadā </w:t>
            </w:r>
            <w:r w:rsidRPr="00603529">
              <w:rPr>
                <w:i/>
                <w:iCs/>
                <w:color w:val="000000"/>
                <w:sz w:val="22"/>
                <w:szCs w:val="22"/>
              </w:rPr>
              <w:t>euro</w:t>
            </w:r>
          </w:p>
        </w:tc>
        <w:tc>
          <w:tcPr>
            <w:tcW w:w="1276" w:type="dxa"/>
            <w:shd w:val="clear" w:color="000000" w:fill="FCE4D6"/>
            <w:vAlign w:val="center"/>
            <w:hideMark/>
          </w:tcPr>
          <w:p w:rsidR="00603529" w:rsidRPr="00603529" w:rsidP="00603529" w14:paraId="012ACA35" w14:textId="77777777">
            <w:pPr>
              <w:jc w:val="center"/>
              <w:rPr>
                <w:color w:val="000000"/>
                <w:sz w:val="22"/>
                <w:szCs w:val="22"/>
              </w:rPr>
            </w:pPr>
            <w:r w:rsidRPr="00603529">
              <w:rPr>
                <w:color w:val="000000"/>
                <w:sz w:val="22"/>
                <w:szCs w:val="22"/>
              </w:rPr>
              <w:t xml:space="preserve">Vidējā izmaksa 2017.gadā </w:t>
            </w:r>
            <w:r w:rsidRPr="00603529">
              <w:rPr>
                <w:i/>
                <w:iCs/>
                <w:color w:val="000000"/>
                <w:sz w:val="22"/>
                <w:szCs w:val="22"/>
              </w:rPr>
              <w:t>euro</w:t>
            </w:r>
          </w:p>
        </w:tc>
        <w:tc>
          <w:tcPr>
            <w:tcW w:w="1276" w:type="dxa"/>
            <w:shd w:val="clear" w:color="000000" w:fill="FCE4D6"/>
            <w:vAlign w:val="center"/>
            <w:hideMark/>
          </w:tcPr>
          <w:p w:rsidR="00603529" w:rsidRPr="00603529" w:rsidP="00603529" w14:paraId="619C0E85" w14:textId="3E88152C">
            <w:pPr>
              <w:jc w:val="center"/>
              <w:rPr>
                <w:color w:val="000000"/>
                <w:sz w:val="22"/>
                <w:szCs w:val="22"/>
              </w:rPr>
            </w:pPr>
            <w:r>
              <w:rPr>
                <w:color w:val="000000"/>
                <w:sz w:val="22"/>
                <w:szCs w:val="22"/>
              </w:rPr>
              <w:t xml:space="preserve">Pacientu skaita </w:t>
            </w:r>
            <w:r w:rsidRPr="00396F05">
              <w:rPr>
                <w:color w:val="000000"/>
                <w:sz w:val="22"/>
                <w:szCs w:val="22"/>
              </w:rPr>
              <w:t>pieaugums 2017.gadā</w:t>
            </w:r>
          </w:p>
        </w:tc>
        <w:tc>
          <w:tcPr>
            <w:tcW w:w="1417" w:type="dxa"/>
            <w:shd w:val="clear" w:color="000000" w:fill="FCE4D6"/>
            <w:vAlign w:val="center"/>
            <w:hideMark/>
          </w:tcPr>
          <w:p w:rsidR="00603529" w:rsidRPr="00603529" w:rsidP="00603529" w14:paraId="3AE5F828" w14:textId="77777777">
            <w:pPr>
              <w:jc w:val="center"/>
              <w:rPr>
                <w:color w:val="000000"/>
                <w:sz w:val="22"/>
                <w:szCs w:val="22"/>
              </w:rPr>
            </w:pPr>
            <w:r w:rsidRPr="00603529">
              <w:rPr>
                <w:color w:val="000000"/>
                <w:sz w:val="22"/>
                <w:szCs w:val="22"/>
              </w:rPr>
              <w:t xml:space="preserve">Finansējums 2017.gadā </w:t>
            </w:r>
            <w:r w:rsidRPr="00603529">
              <w:rPr>
                <w:i/>
                <w:iCs/>
                <w:color w:val="000000"/>
                <w:sz w:val="22"/>
                <w:szCs w:val="22"/>
              </w:rPr>
              <w:t>euro</w:t>
            </w:r>
          </w:p>
        </w:tc>
        <w:tc>
          <w:tcPr>
            <w:tcW w:w="1277" w:type="dxa"/>
            <w:shd w:val="clear" w:color="000000" w:fill="FCE4D6"/>
            <w:vAlign w:val="center"/>
            <w:hideMark/>
          </w:tcPr>
          <w:p w:rsidR="00603529" w:rsidRPr="00603529" w:rsidP="00603529" w14:paraId="236DF4CB" w14:textId="77777777">
            <w:pPr>
              <w:jc w:val="center"/>
              <w:rPr>
                <w:color w:val="000000"/>
                <w:sz w:val="22"/>
                <w:szCs w:val="22"/>
              </w:rPr>
            </w:pPr>
            <w:r w:rsidRPr="00603529">
              <w:rPr>
                <w:color w:val="000000"/>
                <w:sz w:val="22"/>
                <w:szCs w:val="22"/>
              </w:rPr>
              <w:t xml:space="preserve">Vidējā izmaksa 2017.gadā </w:t>
            </w:r>
            <w:r w:rsidRPr="00603529">
              <w:rPr>
                <w:i/>
                <w:iCs/>
                <w:color w:val="000000"/>
                <w:sz w:val="22"/>
                <w:szCs w:val="22"/>
              </w:rPr>
              <w:t>euro</w:t>
            </w:r>
          </w:p>
        </w:tc>
      </w:tr>
      <w:tr w14:paraId="16811E6D" w14:textId="77777777" w:rsidTr="00982525">
        <w:tblPrEx>
          <w:tblW w:w="9493" w:type="dxa"/>
          <w:jc w:val="center"/>
          <w:tblLook w:val="04A0"/>
        </w:tblPrEx>
        <w:trPr>
          <w:trHeight w:val="315"/>
          <w:jc w:val="center"/>
        </w:trPr>
        <w:tc>
          <w:tcPr>
            <w:tcW w:w="1555" w:type="dxa"/>
            <w:shd w:val="clear" w:color="auto" w:fill="auto"/>
            <w:noWrap/>
            <w:vAlign w:val="center"/>
            <w:hideMark/>
          </w:tcPr>
          <w:p w:rsidR="00603529" w:rsidRPr="00603529" w:rsidP="00603529" w14:paraId="6DB7D203" w14:textId="77777777">
            <w:pPr>
              <w:jc w:val="center"/>
              <w:rPr>
                <w:color w:val="000000"/>
                <w:sz w:val="22"/>
                <w:szCs w:val="22"/>
              </w:rPr>
            </w:pPr>
            <w:r w:rsidRPr="00603529">
              <w:rPr>
                <w:color w:val="000000"/>
                <w:sz w:val="22"/>
                <w:szCs w:val="22"/>
              </w:rPr>
              <w:t>7 ārstniecības iestādes</w:t>
            </w:r>
          </w:p>
        </w:tc>
        <w:tc>
          <w:tcPr>
            <w:tcW w:w="1311" w:type="dxa"/>
            <w:shd w:val="clear" w:color="auto" w:fill="auto"/>
            <w:noWrap/>
            <w:vAlign w:val="center"/>
            <w:hideMark/>
          </w:tcPr>
          <w:p w:rsidR="00603529" w:rsidRPr="00603529" w:rsidP="00603529" w14:paraId="4000A16B" w14:textId="77777777">
            <w:pPr>
              <w:jc w:val="center"/>
              <w:rPr>
                <w:color w:val="000000"/>
                <w:sz w:val="22"/>
                <w:szCs w:val="22"/>
              </w:rPr>
            </w:pPr>
            <w:r w:rsidRPr="00603529">
              <w:rPr>
                <w:color w:val="000000"/>
                <w:sz w:val="22"/>
                <w:szCs w:val="22"/>
              </w:rPr>
              <w:t>6 000</w:t>
            </w:r>
          </w:p>
        </w:tc>
        <w:tc>
          <w:tcPr>
            <w:tcW w:w="1381" w:type="dxa"/>
            <w:shd w:val="clear" w:color="auto" w:fill="auto"/>
            <w:noWrap/>
            <w:vAlign w:val="center"/>
            <w:hideMark/>
          </w:tcPr>
          <w:p w:rsidR="00603529" w:rsidRPr="00603529" w:rsidP="00603529" w14:paraId="733D6819" w14:textId="77777777">
            <w:pPr>
              <w:jc w:val="center"/>
              <w:rPr>
                <w:color w:val="000000"/>
                <w:sz w:val="22"/>
                <w:szCs w:val="22"/>
              </w:rPr>
            </w:pPr>
            <w:r w:rsidRPr="00603529">
              <w:rPr>
                <w:color w:val="000000"/>
                <w:sz w:val="22"/>
                <w:szCs w:val="22"/>
              </w:rPr>
              <w:t>2 463 058</w:t>
            </w:r>
          </w:p>
        </w:tc>
        <w:tc>
          <w:tcPr>
            <w:tcW w:w="1276" w:type="dxa"/>
            <w:shd w:val="clear" w:color="auto" w:fill="auto"/>
            <w:noWrap/>
            <w:vAlign w:val="center"/>
            <w:hideMark/>
          </w:tcPr>
          <w:p w:rsidR="00603529" w:rsidRPr="00603529" w:rsidP="00603529" w14:paraId="15CF8C4F" w14:textId="77777777">
            <w:pPr>
              <w:jc w:val="center"/>
              <w:rPr>
                <w:color w:val="000000"/>
                <w:sz w:val="22"/>
                <w:szCs w:val="22"/>
              </w:rPr>
            </w:pPr>
            <w:r w:rsidRPr="00603529">
              <w:rPr>
                <w:color w:val="000000"/>
                <w:sz w:val="22"/>
                <w:szCs w:val="22"/>
              </w:rPr>
              <w:t>410,51</w:t>
            </w:r>
          </w:p>
        </w:tc>
        <w:tc>
          <w:tcPr>
            <w:tcW w:w="1276" w:type="dxa"/>
            <w:shd w:val="clear" w:color="auto" w:fill="auto"/>
            <w:noWrap/>
            <w:vAlign w:val="center"/>
            <w:hideMark/>
          </w:tcPr>
          <w:p w:rsidR="00603529" w:rsidRPr="00603529" w:rsidP="00603529" w14:paraId="564664AD" w14:textId="77777777">
            <w:pPr>
              <w:jc w:val="center"/>
              <w:rPr>
                <w:color w:val="000000"/>
                <w:sz w:val="22"/>
                <w:szCs w:val="22"/>
              </w:rPr>
            </w:pPr>
            <w:r w:rsidRPr="00603529">
              <w:rPr>
                <w:color w:val="000000"/>
                <w:sz w:val="22"/>
                <w:szCs w:val="22"/>
              </w:rPr>
              <w:t>5 633</w:t>
            </w:r>
          </w:p>
        </w:tc>
        <w:tc>
          <w:tcPr>
            <w:tcW w:w="1417" w:type="dxa"/>
            <w:shd w:val="clear" w:color="auto" w:fill="auto"/>
            <w:noWrap/>
            <w:vAlign w:val="center"/>
            <w:hideMark/>
          </w:tcPr>
          <w:p w:rsidR="00603529" w:rsidRPr="00603529" w:rsidP="00603529" w14:paraId="6591209B" w14:textId="77777777">
            <w:pPr>
              <w:jc w:val="center"/>
              <w:rPr>
                <w:color w:val="000000"/>
                <w:sz w:val="22"/>
                <w:szCs w:val="22"/>
              </w:rPr>
            </w:pPr>
            <w:r w:rsidRPr="00603529">
              <w:rPr>
                <w:color w:val="000000"/>
                <w:sz w:val="22"/>
                <w:szCs w:val="22"/>
              </w:rPr>
              <w:t>2 312 402</w:t>
            </w:r>
          </w:p>
        </w:tc>
        <w:tc>
          <w:tcPr>
            <w:tcW w:w="1277" w:type="dxa"/>
            <w:shd w:val="clear" w:color="auto" w:fill="auto"/>
            <w:noWrap/>
            <w:vAlign w:val="center"/>
            <w:hideMark/>
          </w:tcPr>
          <w:p w:rsidR="00603529" w:rsidRPr="00603529" w:rsidP="00603529" w14:paraId="0B9CB965" w14:textId="77777777">
            <w:pPr>
              <w:jc w:val="center"/>
              <w:rPr>
                <w:color w:val="000000"/>
                <w:sz w:val="22"/>
                <w:szCs w:val="22"/>
              </w:rPr>
            </w:pPr>
            <w:r w:rsidRPr="00603529">
              <w:rPr>
                <w:color w:val="000000"/>
                <w:sz w:val="22"/>
                <w:szCs w:val="22"/>
              </w:rPr>
              <w:t>410,51</w:t>
            </w:r>
          </w:p>
        </w:tc>
      </w:tr>
    </w:tbl>
    <w:p w:rsidR="005020DE" w:rsidRPr="003A12F4" w:rsidP="001C680F" w14:paraId="69ED9A98" w14:textId="19317E58">
      <w:pPr>
        <w:jc w:val="both"/>
      </w:pPr>
      <w:r w:rsidRPr="006E1FFA">
        <w:rPr>
          <w:i/>
          <w:sz w:val="20"/>
          <w:szCs w:val="20"/>
        </w:rPr>
        <w:t>Avots</w:t>
      </w:r>
      <w:r w:rsidRPr="008603A3">
        <w:rPr>
          <w:i/>
          <w:sz w:val="20"/>
          <w:szCs w:val="20"/>
        </w:rPr>
        <w:t>: NVD</w:t>
      </w:r>
    </w:p>
    <w:p w:rsidR="00F11DB7" w:rsidP="002C3057" w14:paraId="32D7522C" w14:textId="77777777">
      <w:pPr>
        <w:ind w:firstLine="720"/>
        <w:contextualSpacing/>
        <w:jc w:val="both"/>
      </w:pPr>
    </w:p>
    <w:p w:rsidR="002C3057" w:rsidRPr="00C72C7A" w:rsidP="002C3057" w14:paraId="6F3CACF9" w14:textId="6AF93C6F">
      <w:pPr>
        <w:ind w:firstLine="720"/>
        <w:contextualSpacing/>
        <w:jc w:val="both"/>
      </w:pPr>
      <w:r w:rsidRPr="00025E7E">
        <w:rPr>
          <w:color w:val="212121"/>
          <w:shd w:val="clear" w:color="auto" w:fill="FFFFFF"/>
        </w:rPr>
        <w:t>Analizējot faktisko izpildi, 2017. gada 31.oktobrī stājoties spēkā Ministru kabineta noteikumiem Nr.645 “Grozījumi Ministru kabineta 2013. g</w:t>
      </w:r>
      <w:r w:rsidRPr="00C76F67">
        <w:rPr>
          <w:color w:val="212121"/>
          <w:shd w:val="clear" w:color="auto" w:fill="FFFFFF"/>
        </w:rPr>
        <w:t>ada 17. decembra noteikumos Nr.</w:t>
      </w:r>
      <w:r w:rsidRPr="00025E7E">
        <w:rPr>
          <w:color w:val="212121"/>
          <w:shd w:val="clear" w:color="auto" w:fill="FFFFFF"/>
        </w:rPr>
        <w:t>1529 "Veselības aprūpes organizēšanas un finansēšanas kārtība",  piemaksas tika aprēķinātas par sarežģītas onkoloģiskas operācijas veikšanu arī gadījumos, kad tiek veikta atkārtota, sarežģīta operācija vai arī sarežģīta operācija pacientam, kura noris vairākos etapos, pirmajā operācijā veicot tikai zināmus sagatavošanās darbus tālākajai. Atbilstoši 2017.gada faktiskajai izpildei piemaksas nodrošinātas 93,88 % apmērā no gada plānotās onkoloģisko pacientu aptveres. Vērtējot neizpildi, jāņem vērā apstākli, ka kodēšanas izmaiņas stājās spēkā 2017. gada 28. martā ar grozījumiem Ministru kabineta 2013. gada 17. decembra noteikumos Nr. 1529 "Veselības aprūpes organizēšanas un finansēšanas kārtība" un ārstniecības iestādēm bija nepieciešams adaptācijas periods, lai atpazītu gadījumus</w:t>
      </w:r>
      <w:r w:rsidR="005F56AE">
        <w:t>.</w:t>
      </w:r>
    </w:p>
    <w:p w:rsidR="00D371E0" w:rsidRPr="00C72C7A" w:rsidP="00D371E0" w14:paraId="2182FCEF" w14:textId="37E8EDDA">
      <w:pPr>
        <w:ind w:firstLine="720"/>
        <w:jc w:val="both"/>
      </w:pPr>
    </w:p>
    <w:p w:rsidR="00EF110C" w:rsidP="00B90904" w14:paraId="1D04BF30" w14:textId="7194CD0D">
      <w:pPr>
        <w:ind w:firstLine="720"/>
        <w:jc w:val="both"/>
        <w:rPr>
          <w:color w:val="414142"/>
        </w:rPr>
      </w:pPr>
    </w:p>
    <w:p w:rsidR="00EF110C" w:rsidRPr="00D371E0" w:rsidP="00D371E0" w14:paraId="71532292" w14:textId="2836EB88">
      <w:pPr>
        <w:jc w:val="both"/>
        <w:rPr>
          <w:color w:val="414142"/>
          <w:u w:val="single"/>
        </w:rPr>
      </w:pPr>
      <w:r w:rsidRPr="00D371E0">
        <w:rPr>
          <w:color w:val="414142"/>
          <w:u w:val="single"/>
        </w:rPr>
        <w:t>Kompensējamie medikamenti</w:t>
      </w:r>
    </w:p>
    <w:p w:rsidR="00EF110C" w:rsidP="00B90904" w14:paraId="0B35A811" w14:textId="3E0B96BE">
      <w:pPr>
        <w:ind w:firstLine="720"/>
        <w:jc w:val="both"/>
        <w:rPr>
          <w:color w:val="414142"/>
        </w:rPr>
      </w:pPr>
    </w:p>
    <w:p w:rsidR="00EA1430" w:rsidP="00EA1430" w14:paraId="69CF1F2A" w14:textId="0B3EF763">
      <w:pPr>
        <w:ind w:firstLine="720"/>
        <w:jc w:val="both"/>
      </w:pPr>
      <w:r w:rsidRPr="005020DE">
        <w:t xml:space="preserve">Onkoloģijas reformu ietvaros plānota </w:t>
      </w:r>
      <w:r>
        <w:t>onkoloģisko saslimšanu ārstēšana ārpus ambulatorām un stacionārām ārstniecības iestādēm palielinot pieejamību pacient</w:t>
      </w:r>
      <w:r w:rsidR="002F1700">
        <w:t>iem</w:t>
      </w:r>
      <w:r>
        <w:t xml:space="preserve">  atbilstoši noteiktajiem algoritmiem kompensējamo medikamentu saņemšanai.  </w:t>
      </w:r>
      <w:r w:rsidRPr="00EA1430">
        <w:rPr>
          <w:rFonts w:eastAsia="Calibri"/>
          <w:lang w:eastAsia="en-US"/>
        </w:rPr>
        <w:t xml:space="preserve">Ambulatorajai ārstēšanai </w:t>
      </w:r>
      <w:r w:rsidRPr="00EA1430">
        <w:rPr>
          <w:rFonts w:eastAsia="Calibri"/>
          <w:lang w:eastAsia="en-US"/>
        </w:rPr>
        <w:t>paredzēto zāļu un medicīnisko ierīču iegādes izdevumu kompensācijas sistēmas ietvaros pacientiem ar hroniskām saslimšanām tiek nodrošināta iespēja saņemt zāles vai medicīnas ierīces ar 50, 75 vai 100 % kompensāciju  no valsts.</w:t>
      </w:r>
      <w:r>
        <w:rPr>
          <w:rFonts w:eastAsia="Calibri"/>
          <w:lang w:eastAsia="en-US"/>
        </w:rPr>
        <w:t xml:space="preserve"> </w:t>
      </w:r>
      <w:r>
        <w:t xml:space="preserve">Zāles un medicīnas ierīces valsts kompensē atkarībā no diagnozes smaguma. </w:t>
      </w:r>
    </w:p>
    <w:p w:rsidR="00084223" w:rsidP="00F11DB7" w14:paraId="6DFCC31D" w14:textId="1EA10AD7">
      <w:pPr>
        <w:ind w:firstLine="720"/>
        <w:jc w:val="both"/>
      </w:pPr>
      <w:r w:rsidRPr="00B527F8">
        <w:t>2017.gadā pl</w:t>
      </w:r>
      <w:r>
        <w:t xml:space="preserve">ānots kompensējamo medikamentu pieaugums 4,4 </w:t>
      </w:r>
      <w:r w:rsidRPr="00B527F8">
        <w:t xml:space="preserve">tūkst. </w:t>
      </w:r>
      <w:r w:rsidR="00EA1430">
        <w:t xml:space="preserve">onkoloģijas </w:t>
      </w:r>
      <w:r>
        <w:t xml:space="preserve">pacientu, kas uzsākuši </w:t>
      </w:r>
      <w:r w:rsidR="00F11DB7">
        <w:t xml:space="preserve">terapijas saņemšanu 2017.gadā. </w:t>
      </w:r>
    </w:p>
    <w:p w:rsidR="0012718E" w:rsidP="00943EDB" w14:paraId="5CAB5F6E" w14:textId="6CAD9BF5">
      <w:pPr>
        <w:rPr>
          <w:i/>
        </w:rPr>
      </w:pPr>
    </w:p>
    <w:p w:rsidR="00F11DB7" w:rsidP="001E0694" w14:paraId="01A9ADD4" w14:textId="07A7E669">
      <w:pPr>
        <w:jc w:val="right"/>
        <w:rPr>
          <w:i/>
        </w:rPr>
      </w:pPr>
      <w:r>
        <w:rPr>
          <w:i/>
        </w:rPr>
        <w:t xml:space="preserve">6.tabula </w:t>
      </w:r>
    </w:p>
    <w:p w:rsidR="00084223" w:rsidP="00F11DB7" w14:paraId="77A6FC26" w14:textId="288E6910">
      <w:pPr>
        <w:jc w:val="center"/>
        <w:rPr>
          <w:color w:val="414142"/>
        </w:rPr>
      </w:pPr>
      <w:r>
        <w:rPr>
          <w:color w:val="414142"/>
        </w:rPr>
        <w:t xml:space="preserve">Kompensējamo medikamentu </w:t>
      </w:r>
      <w:r w:rsidR="00603529">
        <w:rPr>
          <w:color w:val="414142"/>
        </w:rPr>
        <w:t>2017.</w:t>
      </w:r>
      <w:r>
        <w:rPr>
          <w:color w:val="414142"/>
        </w:rPr>
        <w:t>gada izpilde</w:t>
      </w:r>
    </w:p>
    <w:p w:rsidR="00603529" w:rsidRPr="00F11DB7" w:rsidP="00F11DB7" w14:paraId="3808DD42" w14:textId="77777777">
      <w:pPr>
        <w:jc w:val="center"/>
        <w:rPr>
          <w:color w:val="41414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5"/>
        <w:gridCol w:w="1276"/>
        <w:gridCol w:w="1329"/>
        <w:gridCol w:w="1296"/>
        <w:gridCol w:w="1397"/>
        <w:gridCol w:w="1417"/>
        <w:gridCol w:w="1418"/>
      </w:tblGrid>
      <w:tr w14:paraId="60F5970A" w14:textId="77777777" w:rsidTr="006A25A4">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00"/>
          <w:jc w:val="center"/>
        </w:trPr>
        <w:tc>
          <w:tcPr>
            <w:tcW w:w="1785" w:type="dxa"/>
            <w:vMerge w:val="restart"/>
            <w:shd w:val="clear" w:color="000000" w:fill="FCE4D6"/>
            <w:vAlign w:val="center"/>
            <w:hideMark/>
          </w:tcPr>
          <w:p w:rsidR="00603529" w:rsidRPr="00603529" w:rsidP="00603529" w14:paraId="0BBFC926" w14:textId="77777777">
            <w:pPr>
              <w:jc w:val="center"/>
              <w:rPr>
                <w:b/>
                <w:bCs/>
                <w:color w:val="000000"/>
                <w:sz w:val="22"/>
                <w:szCs w:val="22"/>
              </w:rPr>
            </w:pPr>
            <w:r w:rsidRPr="00603529">
              <w:rPr>
                <w:b/>
                <w:bCs/>
                <w:color w:val="000000"/>
                <w:sz w:val="22"/>
                <w:szCs w:val="22"/>
              </w:rPr>
              <w:t>Kompensējamie medikamenti</w:t>
            </w:r>
          </w:p>
        </w:tc>
        <w:tc>
          <w:tcPr>
            <w:tcW w:w="3901" w:type="dxa"/>
            <w:gridSpan w:val="3"/>
            <w:shd w:val="clear" w:color="000000" w:fill="FCE4D6"/>
            <w:vAlign w:val="center"/>
            <w:hideMark/>
          </w:tcPr>
          <w:p w:rsidR="00603529" w:rsidRPr="00603529" w:rsidP="00603529" w14:paraId="57948075" w14:textId="77777777">
            <w:pPr>
              <w:jc w:val="center"/>
              <w:rPr>
                <w:color w:val="000000"/>
                <w:sz w:val="22"/>
                <w:szCs w:val="22"/>
              </w:rPr>
            </w:pPr>
            <w:r w:rsidRPr="00603529">
              <w:rPr>
                <w:color w:val="000000"/>
                <w:sz w:val="22"/>
                <w:szCs w:val="22"/>
              </w:rPr>
              <w:t>Plānotais unikālo  onkoloģisko pacientu apjoms</w:t>
            </w:r>
          </w:p>
        </w:tc>
        <w:tc>
          <w:tcPr>
            <w:tcW w:w="4232" w:type="dxa"/>
            <w:gridSpan w:val="3"/>
            <w:shd w:val="clear" w:color="000000" w:fill="FCE4D6"/>
            <w:vAlign w:val="center"/>
            <w:hideMark/>
          </w:tcPr>
          <w:p w:rsidR="00603529" w:rsidRPr="00603529" w:rsidP="00603529" w14:paraId="7710F78B" w14:textId="77777777">
            <w:pPr>
              <w:jc w:val="center"/>
              <w:rPr>
                <w:color w:val="000000"/>
                <w:sz w:val="22"/>
                <w:szCs w:val="22"/>
              </w:rPr>
            </w:pPr>
            <w:r w:rsidRPr="00603529">
              <w:rPr>
                <w:color w:val="000000"/>
                <w:sz w:val="22"/>
                <w:szCs w:val="22"/>
              </w:rPr>
              <w:t>Faktiskā izpilde  unikālo  onkoloģisko  pacientu apjomam</w:t>
            </w:r>
          </w:p>
        </w:tc>
      </w:tr>
      <w:tr w14:paraId="5A93D11C" w14:textId="77777777" w:rsidTr="006A25A4">
        <w:tblPrEx>
          <w:tblW w:w="9918" w:type="dxa"/>
          <w:jc w:val="center"/>
          <w:tblLook w:val="04A0"/>
        </w:tblPrEx>
        <w:trPr>
          <w:trHeight w:val="974"/>
          <w:jc w:val="center"/>
        </w:trPr>
        <w:tc>
          <w:tcPr>
            <w:tcW w:w="1785" w:type="dxa"/>
            <w:vMerge/>
            <w:vAlign w:val="center"/>
            <w:hideMark/>
          </w:tcPr>
          <w:p w:rsidR="00603529" w:rsidRPr="00603529" w:rsidP="00603529" w14:paraId="48B04B1A" w14:textId="77777777">
            <w:pPr>
              <w:rPr>
                <w:b/>
                <w:bCs/>
                <w:color w:val="000000"/>
                <w:sz w:val="22"/>
                <w:szCs w:val="22"/>
              </w:rPr>
            </w:pPr>
          </w:p>
        </w:tc>
        <w:tc>
          <w:tcPr>
            <w:tcW w:w="1276" w:type="dxa"/>
            <w:shd w:val="clear" w:color="000000" w:fill="FCE4D6"/>
            <w:vAlign w:val="center"/>
            <w:hideMark/>
          </w:tcPr>
          <w:p w:rsidR="00603529" w:rsidRPr="00603529" w:rsidP="00603529" w14:paraId="2E3DF093" w14:textId="7634F614">
            <w:pPr>
              <w:jc w:val="center"/>
              <w:rPr>
                <w:color w:val="000000"/>
                <w:sz w:val="22"/>
                <w:szCs w:val="22"/>
              </w:rPr>
            </w:pPr>
            <w:r>
              <w:rPr>
                <w:color w:val="000000"/>
                <w:sz w:val="22"/>
                <w:szCs w:val="22"/>
              </w:rPr>
              <w:t>Plānotais pacientu</w:t>
            </w:r>
            <w:r w:rsidRPr="00396F05">
              <w:rPr>
                <w:color w:val="000000"/>
                <w:sz w:val="22"/>
                <w:szCs w:val="22"/>
              </w:rPr>
              <w:t xml:space="preserve"> </w:t>
            </w:r>
            <w:r>
              <w:rPr>
                <w:color w:val="000000"/>
                <w:sz w:val="22"/>
                <w:szCs w:val="22"/>
              </w:rPr>
              <w:t xml:space="preserve">skaits </w:t>
            </w:r>
            <w:r w:rsidRPr="00396F05">
              <w:rPr>
                <w:color w:val="000000"/>
                <w:sz w:val="22"/>
                <w:szCs w:val="22"/>
              </w:rPr>
              <w:t>gadā</w:t>
            </w:r>
          </w:p>
        </w:tc>
        <w:tc>
          <w:tcPr>
            <w:tcW w:w="1329" w:type="dxa"/>
            <w:shd w:val="clear" w:color="000000" w:fill="FCE4D6"/>
            <w:vAlign w:val="center"/>
            <w:hideMark/>
          </w:tcPr>
          <w:p w:rsidR="00603529" w:rsidRPr="00603529" w:rsidP="00603529" w14:paraId="1942FFDC" w14:textId="77777777">
            <w:pPr>
              <w:jc w:val="center"/>
              <w:rPr>
                <w:color w:val="000000"/>
                <w:sz w:val="22"/>
                <w:szCs w:val="22"/>
              </w:rPr>
            </w:pPr>
            <w:r w:rsidRPr="00603529">
              <w:rPr>
                <w:color w:val="000000"/>
                <w:sz w:val="22"/>
                <w:szCs w:val="22"/>
              </w:rPr>
              <w:t xml:space="preserve">Finansējums  2017.gadā </w:t>
            </w:r>
            <w:r w:rsidRPr="00603529">
              <w:rPr>
                <w:i/>
                <w:iCs/>
                <w:color w:val="000000"/>
                <w:sz w:val="22"/>
                <w:szCs w:val="22"/>
              </w:rPr>
              <w:t>euro</w:t>
            </w:r>
          </w:p>
        </w:tc>
        <w:tc>
          <w:tcPr>
            <w:tcW w:w="1296" w:type="dxa"/>
            <w:shd w:val="clear" w:color="000000" w:fill="FCE4D6"/>
            <w:vAlign w:val="center"/>
            <w:hideMark/>
          </w:tcPr>
          <w:p w:rsidR="00603529" w:rsidRPr="00603529" w:rsidP="00603529" w14:paraId="3A5E6733" w14:textId="77777777">
            <w:pPr>
              <w:jc w:val="center"/>
              <w:rPr>
                <w:color w:val="000000"/>
                <w:sz w:val="22"/>
                <w:szCs w:val="22"/>
              </w:rPr>
            </w:pPr>
            <w:r w:rsidRPr="00603529">
              <w:rPr>
                <w:color w:val="000000"/>
                <w:sz w:val="22"/>
                <w:szCs w:val="22"/>
              </w:rPr>
              <w:t xml:space="preserve">Vidējā izmaksa 2017.gadā </w:t>
            </w:r>
            <w:r w:rsidRPr="00603529">
              <w:rPr>
                <w:i/>
                <w:iCs/>
                <w:color w:val="000000"/>
                <w:sz w:val="22"/>
                <w:szCs w:val="22"/>
              </w:rPr>
              <w:t>euro</w:t>
            </w:r>
          </w:p>
        </w:tc>
        <w:tc>
          <w:tcPr>
            <w:tcW w:w="1397" w:type="dxa"/>
            <w:shd w:val="clear" w:color="000000" w:fill="FCE4D6"/>
            <w:vAlign w:val="center"/>
            <w:hideMark/>
          </w:tcPr>
          <w:p w:rsidR="00603529" w:rsidRPr="00603529" w:rsidP="00603529" w14:paraId="52A9E5EB" w14:textId="53CD7BB1">
            <w:pPr>
              <w:jc w:val="center"/>
              <w:rPr>
                <w:color w:val="000000"/>
                <w:sz w:val="22"/>
                <w:szCs w:val="22"/>
              </w:rPr>
            </w:pPr>
            <w:r>
              <w:rPr>
                <w:color w:val="000000"/>
                <w:sz w:val="22"/>
                <w:szCs w:val="22"/>
              </w:rPr>
              <w:t xml:space="preserve">Pacientu skaita </w:t>
            </w:r>
            <w:r w:rsidRPr="00396F05">
              <w:rPr>
                <w:color w:val="000000"/>
                <w:sz w:val="22"/>
                <w:szCs w:val="22"/>
              </w:rPr>
              <w:t>pieaugums 2017.gadā</w:t>
            </w:r>
          </w:p>
        </w:tc>
        <w:tc>
          <w:tcPr>
            <w:tcW w:w="1417" w:type="dxa"/>
            <w:shd w:val="clear" w:color="000000" w:fill="FCE4D6"/>
            <w:vAlign w:val="center"/>
            <w:hideMark/>
          </w:tcPr>
          <w:p w:rsidR="00603529" w:rsidRPr="00603529" w:rsidP="00603529" w14:paraId="5AE652C5" w14:textId="77777777">
            <w:pPr>
              <w:jc w:val="center"/>
              <w:rPr>
                <w:color w:val="000000"/>
                <w:sz w:val="22"/>
                <w:szCs w:val="22"/>
              </w:rPr>
            </w:pPr>
            <w:r w:rsidRPr="00603529">
              <w:rPr>
                <w:color w:val="000000"/>
                <w:sz w:val="22"/>
                <w:szCs w:val="22"/>
              </w:rPr>
              <w:t xml:space="preserve">Finansējums 2017.gadā </w:t>
            </w:r>
            <w:r w:rsidRPr="00603529">
              <w:rPr>
                <w:i/>
                <w:iCs/>
                <w:color w:val="000000"/>
                <w:sz w:val="22"/>
                <w:szCs w:val="22"/>
              </w:rPr>
              <w:t>euro</w:t>
            </w:r>
          </w:p>
        </w:tc>
        <w:tc>
          <w:tcPr>
            <w:tcW w:w="1418" w:type="dxa"/>
            <w:shd w:val="clear" w:color="000000" w:fill="FCE4D6"/>
            <w:vAlign w:val="center"/>
            <w:hideMark/>
          </w:tcPr>
          <w:p w:rsidR="00603529" w:rsidRPr="00603529" w:rsidP="00603529" w14:paraId="510226B5" w14:textId="77777777">
            <w:pPr>
              <w:jc w:val="center"/>
              <w:rPr>
                <w:color w:val="000000"/>
                <w:sz w:val="22"/>
                <w:szCs w:val="22"/>
              </w:rPr>
            </w:pPr>
            <w:r w:rsidRPr="00603529">
              <w:rPr>
                <w:color w:val="000000"/>
                <w:sz w:val="22"/>
                <w:szCs w:val="22"/>
              </w:rPr>
              <w:t xml:space="preserve">Vidējā izmaksa 2017.gadā </w:t>
            </w:r>
            <w:r w:rsidRPr="00603529">
              <w:rPr>
                <w:i/>
                <w:iCs/>
                <w:color w:val="000000"/>
                <w:sz w:val="22"/>
                <w:szCs w:val="22"/>
              </w:rPr>
              <w:t>euro</w:t>
            </w:r>
          </w:p>
        </w:tc>
      </w:tr>
      <w:tr w14:paraId="77518B6A" w14:textId="77777777" w:rsidTr="006A25A4">
        <w:tblPrEx>
          <w:tblW w:w="9918" w:type="dxa"/>
          <w:jc w:val="center"/>
          <w:tblLook w:val="04A0"/>
        </w:tblPrEx>
        <w:trPr>
          <w:trHeight w:val="915"/>
          <w:jc w:val="center"/>
        </w:trPr>
        <w:tc>
          <w:tcPr>
            <w:tcW w:w="1785" w:type="dxa"/>
            <w:shd w:val="clear" w:color="auto" w:fill="auto"/>
            <w:vAlign w:val="center"/>
            <w:hideMark/>
          </w:tcPr>
          <w:p w:rsidR="00603529" w:rsidRPr="00603529" w:rsidP="00603529" w14:paraId="73C9F377" w14:textId="77777777">
            <w:pPr>
              <w:jc w:val="center"/>
              <w:rPr>
                <w:color w:val="000000"/>
                <w:sz w:val="22"/>
                <w:szCs w:val="22"/>
              </w:rPr>
            </w:pPr>
            <w:r w:rsidRPr="00603529">
              <w:rPr>
                <w:color w:val="000000"/>
                <w:sz w:val="22"/>
                <w:szCs w:val="22"/>
              </w:rPr>
              <w:t>Onkoloģiskie pacienti atbilstoši noteiktajiem algoritmiem</w:t>
            </w:r>
          </w:p>
        </w:tc>
        <w:tc>
          <w:tcPr>
            <w:tcW w:w="1276" w:type="dxa"/>
            <w:shd w:val="clear" w:color="auto" w:fill="auto"/>
            <w:noWrap/>
            <w:vAlign w:val="center"/>
            <w:hideMark/>
          </w:tcPr>
          <w:p w:rsidR="00603529" w:rsidRPr="00603529" w:rsidP="00603529" w14:paraId="258E0355" w14:textId="77777777">
            <w:pPr>
              <w:jc w:val="center"/>
              <w:rPr>
                <w:color w:val="000000"/>
                <w:sz w:val="22"/>
                <w:szCs w:val="22"/>
              </w:rPr>
            </w:pPr>
            <w:r w:rsidRPr="00603529">
              <w:rPr>
                <w:color w:val="000000"/>
                <w:sz w:val="22"/>
                <w:szCs w:val="22"/>
              </w:rPr>
              <w:t>4 494</w:t>
            </w:r>
          </w:p>
        </w:tc>
        <w:tc>
          <w:tcPr>
            <w:tcW w:w="1329" w:type="dxa"/>
            <w:shd w:val="clear" w:color="auto" w:fill="auto"/>
            <w:noWrap/>
            <w:vAlign w:val="center"/>
            <w:hideMark/>
          </w:tcPr>
          <w:p w:rsidR="00603529" w:rsidRPr="00603529" w:rsidP="00603529" w14:paraId="5422AB52" w14:textId="77777777">
            <w:pPr>
              <w:jc w:val="center"/>
              <w:rPr>
                <w:color w:val="000000"/>
                <w:sz w:val="22"/>
                <w:szCs w:val="22"/>
              </w:rPr>
            </w:pPr>
            <w:r w:rsidRPr="00603529">
              <w:rPr>
                <w:color w:val="000000"/>
                <w:sz w:val="22"/>
                <w:szCs w:val="22"/>
              </w:rPr>
              <w:t>4 978 416</w:t>
            </w:r>
          </w:p>
        </w:tc>
        <w:tc>
          <w:tcPr>
            <w:tcW w:w="1296" w:type="dxa"/>
            <w:shd w:val="clear" w:color="auto" w:fill="auto"/>
            <w:noWrap/>
            <w:vAlign w:val="center"/>
            <w:hideMark/>
          </w:tcPr>
          <w:p w:rsidR="00603529" w:rsidRPr="00603529" w:rsidP="00603529" w14:paraId="511341A7" w14:textId="77777777">
            <w:pPr>
              <w:jc w:val="center"/>
              <w:rPr>
                <w:color w:val="000000"/>
                <w:sz w:val="22"/>
                <w:szCs w:val="22"/>
              </w:rPr>
            </w:pPr>
            <w:r w:rsidRPr="00603529">
              <w:rPr>
                <w:color w:val="000000"/>
                <w:sz w:val="22"/>
                <w:szCs w:val="22"/>
              </w:rPr>
              <w:t>1107,79</w:t>
            </w:r>
          </w:p>
        </w:tc>
        <w:tc>
          <w:tcPr>
            <w:tcW w:w="1397" w:type="dxa"/>
            <w:shd w:val="clear" w:color="auto" w:fill="auto"/>
            <w:noWrap/>
            <w:vAlign w:val="center"/>
            <w:hideMark/>
          </w:tcPr>
          <w:p w:rsidR="00603529" w:rsidRPr="00603529" w:rsidP="00603529" w14:paraId="6ACA8DD7" w14:textId="77777777">
            <w:pPr>
              <w:jc w:val="center"/>
              <w:rPr>
                <w:color w:val="000000"/>
                <w:sz w:val="22"/>
                <w:szCs w:val="22"/>
              </w:rPr>
            </w:pPr>
            <w:r w:rsidRPr="00603529">
              <w:rPr>
                <w:color w:val="000000"/>
                <w:sz w:val="22"/>
                <w:szCs w:val="22"/>
              </w:rPr>
              <w:t>7 084</w:t>
            </w:r>
          </w:p>
        </w:tc>
        <w:tc>
          <w:tcPr>
            <w:tcW w:w="1417" w:type="dxa"/>
            <w:shd w:val="clear" w:color="auto" w:fill="auto"/>
            <w:noWrap/>
            <w:vAlign w:val="center"/>
            <w:hideMark/>
          </w:tcPr>
          <w:p w:rsidR="00603529" w:rsidRPr="00603529" w:rsidP="00603529" w14:paraId="77B059B4" w14:textId="77777777">
            <w:pPr>
              <w:jc w:val="center"/>
              <w:rPr>
                <w:color w:val="000000"/>
                <w:sz w:val="22"/>
                <w:szCs w:val="22"/>
              </w:rPr>
            </w:pPr>
            <w:r w:rsidRPr="00603529">
              <w:rPr>
                <w:color w:val="000000"/>
                <w:sz w:val="22"/>
                <w:szCs w:val="22"/>
              </w:rPr>
              <w:t>5 043 171</w:t>
            </w:r>
          </w:p>
        </w:tc>
        <w:tc>
          <w:tcPr>
            <w:tcW w:w="1418" w:type="dxa"/>
            <w:shd w:val="clear" w:color="auto" w:fill="auto"/>
            <w:noWrap/>
            <w:vAlign w:val="center"/>
            <w:hideMark/>
          </w:tcPr>
          <w:p w:rsidR="00603529" w:rsidRPr="00603529" w:rsidP="00603529" w14:paraId="436E3E1C" w14:textId="77777777">
            <w:pPr>
              <w:jc w:val="center"/>
              <w:rPr>
                <w:color w:val="000000"/>
                <w:sz w:val="22"/>
                <w:szCs w:val="22"/>
              </w:rPr>
            </w:pPr>
            <w:r w:rsidRPr="00603529">
              <w:rPr>
                <w:color w:val="000000"/>
                <w:sz w:val="22"/>
                <w:szCs w:val="22"/>
              </w:rPr>
              <w:t>711,91</w:t>
            </w:r>
          </w:p>
        </w:tc>
      </w:tr>
    </w:tbl>
    <w:p w:rsidR="009F03E6" w:rsidP="001C680F" w14:paraId="71C02B78" w14:textId="61437C26">
      <w:pPr>
        <w:jc w:val="both"/>
      </w:pPr>
      <w:r w:rsidRPr="006E1FFA">
        <w:rPr>
          <w:i/>
          <w:sz w:val="20"/>
          <w:szCs w:val="20"/>
        </w:rPr>
        <w:t>Avots</w:t>
      </w:r>
      <w:r w:rsidRPr="008603A3">
        <w:rPr>
          <w:i/>
          <w:sz w:val="20"/>
          <w:szCs w:val="20"/>
        </w:rPr>
        <w:t>: NVD</w:t>
      </w:r>
    </w:p>
    <w:p w:rsidR="00F11DB7" w:rsidP="009F03E6" w14:paraId="7F7A9274" w14:textId="77777777">
      <w:pPr>
        <w:ind w:firstLine="720"/>
        <w:jc w:val="both"/>
      </w:pPr>
    </w:p>
    <w:p w:rsidR="00E65CCC" w:rsidRPr="00C72C7A" w:rsidP="009F03E6" w14:paraId="5BF3A839" w14:textId="3629960D">
      <w:pPr>
        <w:ind w:firstLine="720"/>
        <w:jc w:val="both"/>
        <w:rPr>
          <w:color w:val="000000"/>
        </w:rPr>
      </w:pPr>
      <w:r>
        <w:t>Ņemot vērā to, ka papildus kompensējamiem medikamentiem tika pārdalīts finansējums no primārās diagnostikas algoritmu ieviešanas, tad a</w:t>
      </w:r>
      <w:r w:rsidRPr="00C72C7A" w:rsidR="00AC1DFD">
        <w:t xml:space="preserve">tbilstoši 2017.gada faktiskajai izpildei vidējās </w:t>
      </w:r>
      <w:r w:rsidRPr="00C72C7A" w:rsidR="00832F01">
        <w:t>kompensējamo medikamentu izmaksas unikālo o</w:t>
      </w:r>
      <w:r w:rsidRPr="00C72C7A" w:rsidR="00AC1DFD">
        <w:rPr>
          <w:color w:val="000000"/>
        </w:rPr>
        <w:t>nkoloģisko</w:t>
      </w:r>
      <w:r w:rsidRPr="00C72C7A" w:rsidR="00832F01">
        <w:rPr>
          <w:color w:val="000000"/>
        </w:rPr>
        <w:t xml:space="preserve"> pacientu atbilstoši noteiktajiem algoritmiem pieaugumam īstenotas </w:t>
      </w:r>
      <w:r w:rsidR="008044AF">
        <w:rPr>
          <w:color w:val="000000"/>
        </w:rPr>
        <w:t>101,3</w:t>
      </w:r>
      <w:r w:rsidRPr="00C72C7A" w:rsidR="008044AF">
        <w:rPr>
          <w:color w:val="000000"/>
        </w:rPr>
        <w:t xml:space="preserve"> </w:t>
      </w:r>
      <w:r w:rsidRPr="00C72C7A" w:rsidR="00832F01">
        <w:rPr>
          <w:color w:val="000000"/>
        </w:rPr>
        <w:t>% apmērā no gada plānoto vid</w:t>
      </w:r>
      <w:r w:rsidRPr="00C72C7A" w:rsidR="00AC1DFD">
        <w:rPr>
          <w:color w:val="000000"/>
        </w:rPr>
        <w:t xml:space="preserve">ējo izmaksu apjoma. Ņemot vērā to, ka 1.pusgadā terapiju uzsākušie pacienti </w:t>
      </w:r>
      <w:r w:rsidRPr="00C72C7A" w:rsidR="007457E8">
        <w:rPr>
          <w:color w:val="000000"/>
        </w:rPr>
        <w:t>turpinā</w:t>
      </w:r>
      <w:r w:rsidR="00EA1900">
        <w:rPr>
          <w:color w:val="000000"/>
        </w:rPr>
        <w:t>ja</w:t>
      </w:r>
      <w:r w:rsidRPr="00C72C7A" w:rsidR="00AC1DFD">
        <w:rPr>
          <w:color w:val="000000"/>
        </w:rPr>
        <w:t xml:space="preserve"> terapiju arī 2.pusgadā</w:t>
      </w:r>
      <w:r w:rsidR="00EA1900">
        <w:rPr>
          <w:color w:val="000000"/>
        </w:rPr>
        <w:t xml:space="preserve">, papildus tam nāca klāt jauni pacienti, </w:t>
      </w:r>
      <w:r w:rsidR="00856C8A">
        <w:rPr>
          <w:color w:val="000000"/>
        </w:rPr>
        <w:t>t</w:t>
      </w:r>
      <w:r w:rsidR="00EA1900">
        <w:rPr>
          <w:color w:val="000000"/>
        </w:rPr>
        <w:t xml:space="preserve">ā rezultātā tika realizēts </w:t>
      </w:r>
      <w:r w:rsidRPr="00C72C7A" w:rsidR="00AC1DFD">
        <w:rPr>
          <w:color w:val="000000"/>
        </w:rPr>
        <w:t xml:space="preserve">vidējo izmaksu </w:t>
      </w:r>
      <w:r w:rsidR="00EA1900">
        <w:rPr>
          <w:color w:val="000000"/>
        </w:rPr>
        <w:t>samazinājums</w:t>
      </w:r>
      <w:r w:rsidRPr="00C72C7A" w:rsidR="00AC1DFD">
        <w:rPr>
          <w:color w:val="000000"/>
        </w:rPr>
        <w:t xml:space="preserve"> </w:t>
      </w:r>
      <w:r w:rsidR="00EA1900">
        <w:rPr>
          <w:color w:val="000000"/>
        </w:rPr>
        <w:t xml:space="preserve">no gadā sākumā </w:t>
      </w:r>
      <w:r w:rsidRPr="00C72C7A" w:rsidR="00AC1DFD">
        <w:rPr>
          <w:color w:val="000000"/>
        </w:rPr>
        <w:t>plānot</w:t>
      </w:r>
      <w:r w:rsidR="00EA1900">
        <w:rPr>
          <w:color w:val="000000"/>
        </w:rPr>
        <w:t>ā</w:t>
      </w:r>
      <w:r w:rsidRPr="00C72C7A" w:rsidR="00AC1DFD">
        <w:rPr>
          <w:color w:val="000000"/>
        </w:rPr>
        <w:t xml:space="preserve"> apmēra. </w:t>
      </w:r>
    </w:p>
    <w:p w:rsidR="008A28F6" w:rsidP="00F14FA0" w14:paraId="344F7F93" w14:textId="4051AF68">
      <w:pPr>
        <w:ind w:firstLine="720"/>
        <w:jc w:val="both"/>
        <w:rPr>
          <w:color w:val="000000"/>
        </w:rPr>
      </w:pPr>
      <w:r w:rsidRPr="00C72C7A">
        <w:rPr>
          <w:color w:val="000000"/>
        </w:rPr>
        <w:t>Tāpat secināms, ka kompensējamos medikamentus saņēmušo onkoloģisko pacientu tvērums (</w:t>
      </w:r>
      <w:r w:rsidR="008044AF">
        <w:rPr>
          <w:color w:val="000000"/>
        </w:rPr>
        <w:t>157,63</w:t>
      </w:r>
      <w:r w:rsidRPr="00C72C7A" w:rsidR="008044AF">
        <w:rPr>
          <w:color w:val="000000"/>
        </w:rPr>
        <w:t xml:space="preserve"> </w:t>
      </w:r>
      <w:r w:rsidRPr="00C72C7A">
        <w:rPr>
          <w:color w:val="000000"/>
        </w:rPr>
        <w:t>% no plānotā onkoloģisko pacientu skaita pieaugumam gadā) ir atbilstošs pieejamības uzlabojums, kā rezultātā līdz 2017.gada 31.decembrim tam paredzēt</w:t>
      </w:r>
      <w:r w:rsidR="008044AF">
        <w:rPr>
          <w:color w:val="000000"/>
        </w:rPr>
        <w:t>ais</w:t>
      </w:r>
      <w:r w:rsidR="009B5CDC">
        <w:rPr>
          <w:color w:val="000000"/>
        </w:rPr>
        <w:t xml:space="preserve"> </w:t>
      </w:r>
      <w:r>
        <w:rPr>
          <w:color w:val="000000"/>
        </w:rPr>
        <w:t>finansējum</w:t>
      </w:r>
      <w:r w:rsidR="008044AF">
        <w:rPr>
          <w:color w:val="000000"/>
        </w:rPr>
        <w:t>s</w:t>
      </w:r>
      <w:r>
        <w:rPr>
          <w:color w:val="000000"/>
        </w:rPr>
        <w:t xml:space="preserve"> </w:t>
      </w:r>
      <w:r w:rsidR="008044AF">
        <w:rPr>
          <w:color w:val="000000"/>
        </w:rPr>
        <w:t xml:space="preserve">ir </w:t>
      </w:r>
      <w:r w:rsidR="009F6EA8">
        <w:rPr>
          <w:color w:val="000000"/>
        </w:rPr>
        <w:t>izlietot</w:t>
      </w:r>
      <w:r w:rsidR="008044AF">
        <w:rPr>
          <w:color w:val="000000"/>
        </w:rPr>
        <w:t>s</w:t>
      </w:r>
      <w:r w:rsidR="009F6EA8">
        <w:rPr>
          <w:color w:val="000000"/>
        </w:rPr>
        <w:t xml:space="preserve"> </w:t>
      </w:r>
      <w:r>
        <w:rPr>
          <w:color w:val="000000"/>
        </w:rPr>
        <w:t>pilnā apmērā</w:t>
      </w:r>
      <w:r w:rsidR="008044AF">
        <w:rPr>
          <w:color w:val="000000"/>
        </w:rPr>
        <w:t xml:space="preserve"> un papildus tam, ka </w:t>
      </w:r>
      <w:r w:rsidR="00C06B42">
        <w:rPr>
          <w:color w:val="000000"/>
        </w:rPr>
        <w:t>“</w:t>
      </w:r>
      <w:r w:rsidR="008044AF">
        <w:rPr>
          <w:color w:val="000000"/>
        </w:rPr>
        <w:t>zaļā koridora</w:t>
      </w:r>
      <w:r w:rsidR="00C06B42">
        <w:rPr>
          <w:color w:val="000000"/>
        </w:rPr>
        <w:t>”</w:t>
      </w:r>
      <w:r w:rsidR="008044AF">
        <w:rPr>
          <w:color w:val="000000"/>
        </w:rPr>
        <w:t xml:space="preserve"> ietvarā pacientiem ir jānodrošina savlaicīga ne tikai nokļūšana pie speciālista un veikti </w:t>
      </w:r>
      <w:r w:rsidR="00D70497">
        <w:rPr>
          <w:color w:val="000000"/>
        </w:rPr>
        <w:t xml:space="preserve">atbilstoši </w:t>
      </w:r>
      <w:r w:rsidR="008044AF">
        <w:rPr>
          <w:color w:val="000000"/>
        </w:rPr>
        <w:t>diagnostiskie izmeklējumi, bet arī laicīgi jāuzsāk medikamentozā ārstēšana</w:t>
      </w:r>
      <w:r w:rsidR="00E852D5">
        <w:rPr>
          <w:color w:val="000000"/>
        </w:rPr>
        <w:t>, tika nodrošināts finansējums no iekšējiem resursiem</w:t>
      </w:r>
      <w:r w:rsidR="008044AF">
        <w:rPr>
          <w:color w:val="000000"/>
        </w:rPr>
        <w:t xml:space="preserve">, </w:t>
      </w:r>
      <w:r w:rsidR="005B1BC6">
        <w:rPr>
          <w:color w:val="000000"/>
        </w:rPr>
        <w:t xml:space="preserve">lai </w:t>
      </w:r>
      <w:r w:rsidR="00E852D5">
        <w:rPr>
          <w:color w:val="000000"/>
        </w:rPr>
        <w:t xml:space="preserve">maksimāli </w:t>
      </w:r>
      <w:r w:rsidR="005B1BC6">
        <w:rPr>
          <w:color w:val="000000"/>
        </w:rPr>
        <w:t xml:space="preserve">rastu iespēju cilvēkam </w:t>
      </w:r>
      <w:r w:rsidR="00317EE1">
        <w:rPr>
          <w:color w:val="000000"/>
        </w:rPr>
        <w:t xml:space="preserve">uzlabot </w:t>
      </w:r>
      <w:r w:rsidR="005B1BC6">
        <w:rPr>
          <w:color w:val="000000"/>
        </w:rPr>
        <w:t>veselību un iesaistīties</w:t>
      </w:r>
      <w:r w:rsidR="008044AF">
        <w:rPr>
          <w:color w:val="000000"/>
        </w:rPr>
        <w:t xml:space="preserve"> darba dzīvē</w:t>
      </w:r>
      <w:r>
        <w:rPr>
          <w:color w:val="000000"/>
        </w:rPr>
        <w:t>.</w:t>
      </w:r>
    </w:p>
    <w:p w:rsidR="005D33E0" w:rsidRPr="00C72C7A" w:rsidP="00564826" w14:paraId="0C2E9C40" w14:textId="3EBB550B">
      <w:pPr>
        <w:ind w:firstLine="720"/>
        <w:jc w:val="both"/>
        <w:rPr>
          <w:color w:val="000000"/>
        </w:rPr>
      </w:pPr>
      <w:r>
        <w:rPr>
          <w:color w:val="000000"/>
        </w:rPr>
        <w:t>Līdz ar to nepieciešams turpināt onkoloģijas jomas reformas, papildus turpmākajos periodos uzlabojot diagnostiku, padarot to kvalitatīvāku, precīzāku un ātrāku, vēl vairāk samazinot izmaksas, kas saistītas ar pacienta atrašanos ārstniecības iestādēs un nodrošinot personalizētu, mērķētu ārstēšanu, samazinot arī tiešās ārstēšanas izmaksas.</w:t>
      </w:r>
    </w:p>
    <w:p w:rsidR="005D33E0" w:rsidP="009F03E6" w14:paraId="59F98A9F" w14:textId="77777777">
      <w:pPr>
        <w:ind w:firstLine="720"/>
        <w:jc w:val="both"/>
        <w:rPr>
          <w:color w:val="000000"/>
          <w:sz w:val="22"/>
          <w:szCs w:val="22"/>
        </w:rPr>
      </w:pPr>
    </w:p>
    <w:p w:rsidR="00EA1430" w:rsidRPr="00EA1430" w:rsidP="00EA1430" w14:paraId="29285DD8" w14:textId="68D516EB">
      <w:pPr>
        <w:autoSpaceDE w:val="0"/>
        <w:autoSpaceDN w:val="0"/>
        <w:adjustRightInd w:val="0"/>
        <w:spacing w:line="293" w:lineRule="atLeast"/>
        <w:jc w:val="center"/>
        <w:rPr>
          <w:b/>
          <w:bCs/>
          <w:color w:val="000000"/>
          <w:lang w:bidi="lo-LA"/>
        </w:rPr>
      </w:pPr>
      <w:r w:rsidRPr="00EA1430">
        <w:rPr>
          <w:b/>
          <w:color w:val="2A2A2A"/>
        </w:rPr>
        <w:t>2.2. S</w:t>
      </w:r>
      <w:r w:rsidRPr="00EA1430">
        <w:rPr>
          <w:b/>
          <w:bCs/>
          <w:color w:val="000000"/>
          <w:lang w:bidi="lo-LA"/>
        </w:rPr>
        <w:t xml:space="preserve">ekundārās ambulatorās aprūpes pieejamība </w:t>
      </w:r>
    </w:p>
    <w:p w:rsidR="00BD7021" w:rsidP="0025778E" w14:paraId="1A7FAE02" w14:textId="4B01598B">
      <w:pPr>
        <w:rPr>
          <w:color w:val="2A2A2A"/>
        </w:rPr>
      </w:pPr>
    </w:p>
    <w:p w:rsidR="0025778E" w:rsidRPr="00C60E89" w:rsidP="0025778E" w14:paraId="673A9A65" w14:textId="77777777">
      <w:pPr>
        <w:jc w:val="both"/>
        <w:rPr>
          <w:u w:val="single"/>
        </w:rPr>
      </w:pPr>
      <w:r w:rsidRPr="00C60E89">
        <w:rPr>
          <w:u w:val="single"/>
        </w:rPr>
        <w:t>Speciālistu konsultācijas</w:t>
      </w:r>
    </w:p>
    <w:p w:rsidR="0025778E" w:rsidP="0025778E" w14:paraId="385CAE8A" w14:textId="77777777">
      <w:pPr>
        <w:autoSpaceDE w:val="0"/>
        <w:autoSpaceDN w:val="0"/>
        <w:adjustRightInd w:val="0"/>
        <w:spacing w:line="293" w:lineRule="atLeast"/>
        <w:jc w:val="both"/>
        <w:rPr>
          <w:lang w:bidi="lo-LA"/>
        </w:rPr>
      </w:pPr>
    </w:p>
    <w:p w:rsidR="0025778E" w:rsidP="0025778E" w14:paraId="67F81CC2" w14:textId="1676712A">
      <w:pPr>
        <w:autoSpaceDE w:val="0"/>
        <w:autoSpaceDN w:val="0"/>
        <w:adjustRightInd w:val="0"/>
        <w:spacing w:line="293" w:lineRule="atLeast"/>
        <w:ind w:firstLine="720"/>
        <w:jc w:val="both"/>
        <w:rPr>
          <w:lang w:bidi="lo-LA"/>
        </w:rPr>
      </w:pPr>
      <w:r>
        <w:rPr>
          <w:lang w:bidi="lo-LA"/>
        </w:rPr>
        <w:t xml:space="preserve">Lai palielinātu pieejamību sekundāro ambulatoro veselības aprūpes pakalpojumu saņemšanā pēc ģimenes ārsta vai speciālista nosūtījuma, kā arī pieejamību bez nosūtījuma pie šādiem speciālistiem: </w:t>
      </w:r>
    </w:p>
    <w:p w:rsidR="0025778E" w:rsidRPr="00F04E48" w:rsidP="0025778E" w14:paraId="7C888C23" w14:textId="77777777">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F04E48">
        <w:rPr>
          <w:rFonts w:ascii="Times New Roman" w:hAnsi="Times New Roman"/>
          <w:sz w:val="24"/>
          <w:szCs w:val="24"/>
          <w:lang w:val="lv-LV" w:bidi="lo-LA"/>
        </w:rPr>
        <w:t>pie psihiatra vai bērnu psihiatra, ja slimo ar psihisku slimību;</w:t>
      </w:r>
    </w:p>
    <w:p w:rsidR="0025778E" w:rsidRPr="00F04E48" w:rsidP="0025778E" w14:paraId="1D7510A8" w14:textId="77777777">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F04E48">
        <w:rPr>
          <w:rFonts w:ascii="Times New Roman" w:hAnsi="Times New Roman"/>
          <w:sz w:val="24"/>
          <w:szCs w:val="24"/>
          <w:lang w:val="lv-LV" w:bidi="lo-LA"/>
        </w:rPr>
        <w:t>pie narkologa, ja slimo ar alkohola, narkotisko vai psihotropo vielu atkarību;</w:t>
      </w:r>
    </w:p>
    <w:p w:rsidR="0025778E" w:rsidP="0025778E" w14:paraId="2F0CACE9" w14:textId="77777777">
      <w:pPr>
        <w:pStyle w:val="ListParagraph"/>
        <w:numPr>
          <w:ilvl w:val="0"/>
          <w:numId w:val="10"/>
        </w:numPr>
        <w:autoSpaceDE w:val="0"/>
        <w:autoSpaceDN w:val="0"/>
        <w:adjustRightInd w:val="0"/>
        <w:spacing w:after="0" w:line="293" w:lineRule="atLeast"/>
        <w:jc w:val="both"/>
        <w:rPr>
          <w:rFonts w:ascii="Times New Roman" w:hAnsi="Times New Roman"/>
          <w:sz w:val="24"/>
          <w:szCs w:val="24"/>
          <w:lang w:bidi="lo-LA"/>
        </w:rPr>
      </w:pPr>
      <w:r>
        <w:rPr>
          <w:rFonts w:ascii="Times New Roman" w:hAnsi="Times New Roman"/>
          <w:sz w:val="24"/>
          <w:szCs w:val="24"/>
          <w:lang w:bidi="lo-LA"/>
        </w:rPr>
        <w:t xml:space="preserve">pie </w:t>
      </w:r>
      <w:r>
        <w:rPr>
          <w:rFonts w:ascii="Times New Roman" w:hAnsi="Times New Roman"/>
          <w:sz w:val="24"/>
          <w:szCs w:val="24"/>
          <w:lang w:bidi="lo-LA"/>
        </w:rPr>
        <w:t>pneimonologa</w:t>
      </w:r>
      <w:r>
        <w:rPr>
          <w:rFonts w:ascii="Times New Roman" w:hAnsi="Times New Roman"/>
          <w:sz w:val="24"/>
          <w:szCs w:val="24"/>
          <w:lang w:bidi="lo-LA"/>
        </w:rPr>
        <w:t xml:space="preserve">, ja </w:t>
      </w:r>
      <w:r>
        <w:rPr>
          <w:rFonts w:ascii="Times New Roman" w:hAnsi="Times New Roman"/>
          <w:sz w:val="24"/>
          <w:szCs w:val="24"/>
          <w:lang w:bidi="lo-LA"/>
        </w:rPr>
        <w:t>slimo</w:t>
      </w:r>
      <w:r>
        <w:rPr>
          <w:rFonts w:ascii="Times New Roman" w:hAnsi="Times New Roman"/>
          <w:sz w:val="24"/>
          <w:szCs w:val="24"/>
          <w:lang w:bidi="lo-LA"/>
        </w:rPr>
        <w:t xml:space="preserve"> </w:t>
      </w:r>
      <w:r>
        <w:rPr>
          <w:rFonts w:ascii="Times New Roman" w:hAnsi="Times New Roman"/>
          <w:sz w:val="24"/>
          <w:szCs w:val="24"/>
          <w:lang w:bidi="lo-LA"/>
        </w:rPr>
        <w:t>ar</w:t>
      </w:r>
      <w:r>
        <w:rPr>
          <w:rFonts w:ascii="Times New Roman" w:hAnsi="Times New Roman"/>
          <w:sz w:val="24"/>
          <w:szCs w:val="24"/>
          <w:lang w:bidi="lo-LA"/>
        </w:rPr>
        <w:t xml:space="preserve"> </w:t>
      </w:r>
      <w:r>
        <w:rPr>
          <w:rFonts w:ascii="Times New Roman" w:hAnsi="Times New Roman"/>
          <w:sz w:val="24"/>
          <w:szCs w:val="24"/>
          <w:lang w:bidi="lo-LA"/>
        </w:rPr>
        <w:t>tuberkulozi</w:t>
      </w:r>
      <w:r>
        <w:rPr>
          <w:rFonts w:ascii="Times New Roman" w:hAnsi="Times New Roman"/>
          <w:sz w:val="24"/>
          <w:szCs w:val="24"/>
          <w:lang w:bidi="lo-LA"/>
        </w:rPr>
        <w:t>;</w:t>
      </w:r>
    </w:p>
    <w:p w:rsidR="0025778E" w:rsidP="0025778E" w14:paraId="1452431C" w14:textId="77777777">
      <w:pPr>
        <w:pStyle w:val="ListParagraph"/>
        <w:numPr>
          <w:ilvl w:val="0"/>
          <w:numId w:val="10"/>
        </w:numPr>
        <w:autoSpaceDE w:val="0"/>
        <w:autoSpaceDN w:val="0"/>
        <w:adjustRightInd w:val="0"/>
        <w:spacing w:after="0" w:line="293" w:lineRule="atLeast"/>
        <w:jc w:val="both"/>
        <w:rPr>
          <w:rFonts w:ascii="Times New Roman" w:hAnsi="Times New Roman"/>
          <w:sz w:val="24"/>
          <w:szCs w:val="24"/>
          <w:lang w:bidi="lo-LA"/>
        </w:rPr>
      </w:pPr>
      <w:r>
        <w:rPr>
          <w:rFonts w:ascii="Times New Roman" w:hAnsi="Times New Roman"/>
          <w:sz w:val="24"/>
          <w:szCs w:val="24"/>
          <w:lang w:bidi="lo-LA"/>
        </w:rPr>
        <w:t xml:space="preserve">pie </w:t>
      </w:r>
      <w:r>
        <w:rPr>
          <w:rFonts w:ascii="Times New Roman" w:hAnsi="Times New Roman"/>
          <w:sz w:val="24"/>
          <w:szCs w:val="24"/>
          <w:lang w:bidi="lo-LA"/>
        </w:rPr>
        <w:t>dermatovenerologa</w:t>
      </w:r>
      <w:r>
        <w:rPr>
          <w:rFonts w:ascii="Times New Roman" w:hAnsi="Times New Roman"/>
          <w:sz w:val="24"/>
          <w:szCs w:val="24"/>
          <w:lang w:bidi="lo-LA"/>
        </w:rPr>
        <w:t xml:space="preserve">, ja </w:t>
      </w:r>
      <w:r>
        <w:rPr>
          <w:rFonts w:ascii="Times New Roman" w:hAnsi="Times New Roman"/>
          <w:sz w:val="24"/>
          <w:szCs w:val="24"/>
          <w:lang w:bidi="lo-LA"/>
        </w:rPr>
        <w:t>slimo</w:t>
      </w:r>
      <w:r>
        <w:rPr>
          <w:rFonts w:ascii="Times New Roman" w:hAnsi="Times New Roman"/>
          <w:sz w:val="24"/>
          <w:szCs w:val="24"/>
          <w:lang w:bidi="lo-LA"/>
        </w:rPr>
        <w:t xml:space="preserve"> </w:t>
      </w:r>
      <w:r>
        <w:rPr>
          <w:rFonts w:ascii="Times New Roman" w:hAnsi="Times New Roman"/>
          <w:sz w:val="24"/>
          <w:szCs w:val="24"/>
          <w:lang w:bidi="lo-LA"/>
        </w:rPr>
        <w:t>ar</w:t>
      </w:r>
      <w:r>
        <w:rPr>
          <w:rFonts w:ascii="Times New Roman" w:hAnsi="Times New Roman"/>
          <w:sz w:val="24"/>
          <w:szCs w:val="24"/>
          <w:lang w:bidi="lo-LA"/>
        </w:rPr>
        <w:t xml:space="preserve"> </w:t>
      </w:r>
      <w:r>
        <w:rPr>
          <w:rFonts w:ascii="Times New Roman" w:hAnsi="Times New Roman"/>
          <w:sz w:val="24"/>
          <w:szCs w:val="24"/>
          <w:lang w:bidi="lo-LA"/>
        </w:rPr>
        <w:t>seksuāli</w:t>
      </w:r>
      <w:r>
        <w:rPr>
          <w:rFonts w:ascii="Times New Roman" w:hAnsi="Times New Roman"/>
          <w:sz w:val="24"/>
          <w:szCs w:val="24"/>
          <w:lang w:bidi="lo-LA"/>
        </w:rPr>
        <w:t xml:space="preserve"> </w:t>
      </w:r>
      <w:r>
        <w:rPr>
          <w:rFonts w:ascii="Times New Roman" w:hAnsi="Times New Roman"/>
          <w:sz w:val="24"/>
          <w:szCs w:val="24"/>
          <w:lang w:bidi="lo-LA"/>
        </w:rPr>
        <w:t>transmisīvu</w:t>
      </w:r>
      <w:r>
        <w:rPr>
          <w:rFonts w:ascii="Times New Roman" w:hAnsi="Times New Roman"/>
          <w:sz w:val="24"/>
          <w:szCs w:val="24"/>
          <w:lang w:bidi="lo-LA"/>
        </w:rPr>
        <w:t xml:space="preserve"> </w:t>
      </w:r>
      <w:r>
        <w:rPr>
          <w:rFonts w:ascii="Times New Roman" w:hAnsi="Times New Roman"/>
          <w:sz w:val="24"/>
          <w:szCs w:val="24"/>
          <w:lang w:bidi="lo-LA"/>
        </w:rPr>
        <w:t>slimību</w:t>
      </w:r>
      <w:r>
        <w:rPr>
          <w:rFonts w:ascii="Times New Roman" w:hAnsi="Times New Roman"/>
          <w:sz w:val="24"/>
          <w:szCs w:val="24"/>
          <w:lang w:bidi="lo-LA"/>
        </w:rPr>
        <w:t>;</w:t>
      </w:r>
    </w:p>
    <w:p w:rsidR="0025778E" w:rsidP="0025778E" w14:paraId="32E54232" w14:textId="77777777">
      <w:pPr>
        <w:pStyle w:val="ListParagraph"/>
        <w:numPr>
          <w:ilvl w:val="0"/>
          <w:numId w:val="10"/>
        </w:numPr>
        <w:autoSpaceDE w:val="0"/>
        <w:autoSpaceDN w:val="0"/>
        <w:adjustRightInd w:val="0"/>
        <w:spacing w:after="0" w:line="293" w:lineRule="atLeast"/>
        <w:jc w:val="both"/>
        <w:rPr>
          <w:rFonts w:ascii="Times New Roman" w:hAnsi="Times New Roman"/>
          <w:sz w:val="24"/>
          <w:szCs w:val="24"/>
          <w:lang w:bidi="lo-LA"/>
        </w:rPr>
      </w:pPr>
      <w:r>
        <w:rPr>
          <w:rFonts w:ascii="Times New Roman" w:hAnsi="Times New Roman"/>
          <w:sz w:val="24"/>
          <w:szCs w:val="24"/>
          <w:lang w:bidi="lo-LA"/>
        </w:rPr>
        <w:t xml:space="preserve">pie </w:t>
      </w:r>
      <w:r>
        <w:rPr>
          <w:rFonts w:ascii="Times New Roman" w:hAnsi="Times New Roman"/>
          <w:sz w:val="24"/>
          <w:szCs w:val="24"/>
          <w:lang w:bidi="lo-LA"/>
        </w:rPr>
        <w:t>endokrinologa</w:t>
      </w:r>
      <w:r>
        <w:rPr>
          <w:rFonts w:ascii="Times New Roman" w:hAnsi="Times New Roman"/>
          <w:sz w:val="24"/>
          <w:szCs w:val="24"/>
          <w:lang w:bidi="lo-LA"/>
        </w:rPr>
        <w:t xml:space="preserve">, ja </w:t>
      </w:r>
      <w:r>
        <w:rPr>
          <w:rFonts w:ascii="Times New Roman" w:hAnsi="Times New Roman"/>
          <w:sz w:val="24"/>
          <w:szCs w:val="24"/>
          <w:lang w:bidi="lo-LA"/>
        </w:rPr>
        <w:t>slimo</w:t>
      </w:r>
      <w:r>
        <w:rPr>
          <w:rFonts w:ascii="Times New Roman" w:hAnsi="Times New Roman"/>
          <w:sz w:val="24"/>
          <w:szCs w:val="24"/>
          <w:lang w:bidi="lo-LA"/>
        </w:rPr>
        <w:t xml:space="preserve"> </w:t>
      </w:r>
      <w:r>
        <w:rPr>
          <w:rFonts w:ascii="Times New Roman" w:hAnsi="Times New Roman"/>
          <w:sz w:val="24"/>
          <w:szCs w:val="24"/>
          <w:lang w:bidi="lo-LA"/>
        </w:rPr>
        <w:t>ar</w:t>
      </w:r>
      <w:r>
        <w:rPr>
          <w:rFonts w:ascii="Times New Roman" w:hAnsi="Times New Roman"/>
          <w:sz w:val="24"/>
          <w:szCs w:val="24"/>
          <w:lang w:bidi="lo-LA"/>
        </w:rPr>
        <w:t xml:space="preserve"> </w:t>
      </w:r>
      <w:r>
        <w:rPr>
          <w:rFonts w:ascii="Times New Roman" w:hAnsi="Times New Roman"/>
          <w:sz w:val="24"/>
          <w:szCs w:val="24"/>
          <w:lang w:bidi="lo-LA"/>
        </w:rPr>
        <w:t>cukura</w:t>
      </w:r>
      <w:r>
        <w:rPr>
          <w:rFonts w:ascii="Times New Roman" w:hAnsi="Times New Roman"/>
          <w:sz w:val="24"/>
          <w:szCs w:val="24"/>
          <w:lang w:bidi="lo-LA"/>
        </w:rPr>
        <w:t xml:space="preserve"> </w:t>
      </w:r>
      <w:r>
        <w:rPr>
          <w:rFonts w:ascii="Times New Roman" w:hAnsi="Times New Roman"/>
          <w:sz w:val="24"/>
          <w:szCs w:val="24"/>
          <w:lang w:bidi="lo-LA"/>
        </w:rPr>
        <w:t>diabētu</w:t>
      </w:r>
      <w:r>
        <w:rPr>
          <w:rFonts w:ascii="Times New Roman" w:hAnsi="Times New Roman"/>
          <w:sz w:val="24"/>
          <w:szCs w:val="24"/>
          <w:lang w:bidi="lo-LA"/>
        </w:rPr>
        <w:t xml:space="preserve"> </w:t>
      </w:r>
    </w:p>
    <w:p w:rsidR="0025778E" w:rsidP="0025778E" w14:paraId="20293469" w14:textId="77777777">
      <w:pPr>
        <w:pStyle w:val="ListParagraph"/>
        <w:numPr>
          <w:ilvl w:val="0"/>
          <w:numId w:val="10"/>
        </w:numPr>
        <w:autoSpaceDE w:val="0"/>
        <w:autoSpaceDN w:val="0"/>
        <w:adjustRightInd w:val="0"/>
        <w:spacing w:after="0" w:line="293" w:lineRule="atLeast"/>
        <w:jc w:val="both"/>
        <w:rPr>
          <w:rFonts w:ascii="Times New Roman" w:hAnsi="Times New Roman"/>
          <w:sz w:val="24"/>
          <w:szCs w:val="24"/>
          <w:lang w:bidi="lo-LA"/>
        </w:rPr>
      </w:pPr>
      <w:r>
        <w:rPr>
          <w:rFonts w:ascii="Times New Roman" w:hAnsi="Times New Roman"/>
          <w:sz w:val="24"/>
          <w:szCs w:val="24"/>
          <w:lang w:bidi="lo-LA"/>
        </w:rPr>
        <w:t xml:space="preserve">pie </w:t>
      </w:r>
      <w:r>
        <w:rPr>
          <w:rFonts w:ascii="Times New Roman" w:hAnsi="Times New Roman"/>
          <w:sz w:val="24"/>
          <w:szCs w:val="24"/>
          <w:lang w:bidi="lo-LA"/>
        </w:rPr>
        <w:t>onkologa</w:t>
      </w:r>
      <w:r>
        <w:rPr>
          <w:rFonts w:ascii="Times New Roman" w:hAnsi="Times New Roman"/>
          <w:sz w:val="24"/>
          <w:szCs w:val="24"/>
          <w:lang w:bidi="lo-LA"/>
        </w:rPr>
        <w:t xml:space="preserve">, </w:t>
      </w:r>
      <w:r>
        <w:rPr>
          <w:rFonts w:ascii="Times New Roman" w:hAnsi="Times New Roman"/>
          <w:sz w:val="24"/>
          <w:szCs w:val="24"/>
          <w:lang w:bidi="lo-LA"/>
        </w:rPr>
        <w:t>onkologa</w:t>
      </w:r>
      <w:r>
        <w:rPr>
          <w:rFonts w:ascii="Times New Roman" w:hAnsi="Times New Roman"/>
          <w:sz w:val="24"/>
          <w:szCs w:val="24"/>
          <w:lang w:bidi="lo-LA"/>
        </w:rPr>
        <w:t xml:space="preserve"> </w:t>
      </w:r>
      <w:r>
        <w:rPr>
          <w:rFonts w:ascii="Times New Roman" w:hAnsi="Times New Roman"/>
          <w:sz w:val="24"/>
          <w:szCs w:val="24"/>
          <w:lang w:bidi="lo-LA"/>
        </w:rPr>
        <w:t>ķīmijterapeita</w:t>
      </w:r>
      <w:r>
        <w:rPr>
          <w:rFonts w:ascii="Times New Roman" w:hAnsi="Times New Roman"/>
          <w:sz w:val="24"/>
          <w:szCs w:val="24"/>
          <w:lang w:bidi="lo-LA"/>
        </w:rPr>
        <w:t xml:space="preserve">, ja </w:t>
      </w:r>
      <w:r>
        <w:rPr>
          <w:rFonts w:ascii="Times New Roman" w:hAnsi="Times New Roman"/>
          <w:sz w:val="24"/>
          <w:szCs w:val="24"/>
          <w:lang w:bidi="lo-LA"/>
        </w:rPr>
        <w:t>slimo</w:t>
      </w:r>
      <w:r>
        <w:rPr>
          <w:rFonts w:ascii="Times New Roman" w:hAnsi="Times New Roman"/>
          <w:sz w:val="24"/>
          <w:szCs w:val="24"/>
          <w:lang w:bidi="lo-LA"/>
        </w:rPr>
        <w:t xml:space="preserve"> </w:t>
      </w:r>
      <w:r>
        <w:rPr>
          <w:rFonts w:ascii="Times New Roman" w:hAnsi="Times New Roman"/>
          <w:sz w:val="24"/>
          <w:szCs w:val="24"/>
          <w:lang w:bidi="lo-LA"/>
        </w:rPr>
        <w:t>ar</w:t>
      </w:r>
      <w:r>
        <w:rPr>
          <w:rFonts w:ascii="Times New Roman" w:hAnsi="Times New Roman"/>
          <w:sz w:val="24"/>
          <w:szCs w:val="24"/>
          <w:lang w:bidi="lo-LA"/>
        </w:rPr>
        <w:t xml:space="preserve"> </w:t>
      </w:r>
      <w:r>
        <w:rPr>
          <w:rFonts w:ascii="Times New Roman" w:hAnsi="Times New Roman"/>
          <w:sz w:val="24"/>
          <w:szCs w:val="24"/>
          <w:lang w:bidi="lo-LA"/>
        </w:rPr>
        <w:t>onkoloģisku</w:t>
      </w:r>
      <w:r>
        <w:rPr>
          <w:rFonts w:ascii="Times New Roman" w:hAnsi="Times New Roman"/>
          <w:sz w:val="24"/>
          <w:szCs w:val="24"/>
          <w:lang w:bidi="lo-LA"/>
        </w:rPr>
        <w:t xml:space="preserve"> </w:t>
      </w:r>
      <w:r>
        <w:rPr>
          <w:rFonts w:ascii="Times New Roman" w:hAnsi="Times New Roman"/>
          <w:sz w:val="24"/>
          <w:szCs w:val="24"/>
          <w:lang w:bidi="lo-LA"/>
        </w:rPr>
        <w:t>slimību</w:t>
      </w:r>
    </w:p>
    <w:p w:rsidR="0025778E" w:rsidP="0025778E" w14:paraId="67CC551E" w14:textId="7DF999C3">
      <w:pPr>
        <w:pStyle w:val="ListParagraph"/>
        <w:numPr>
          <w:ilvl w:val="0"/>
          <w:numId w:val="10"/>
        </w:numPr>
        <w:autoSpaceDE w:val="0"/>
        <w:autoSpaceDN w:val="0"/>
        <w:adjustRightInd w:val="0"/>
        <w:spacing w:after="0" w:line="293" w:lineRule="atLeast"/>
        <w:jc w:val="both"/>
        <w:rPr>
          <w:rFonts w:ascii="Times New Roman" w:hAnsi="Times New Roman"/>
          <w:sz w:val="24"/>
          <w:szCs w:val="24"/>
          <w:lang w:bidi="lo-LA"/>
        </w:rPr>
      </w:pPr>
      <w:r>
        <w:rPr>
          <w:rFonts w:ascii="Times New Roman" w:hAnsi="Times New Roman"/>
          <w:sz w:val="24"/>
          <w:szCs w:val="24"/>
          <w:lang w:bidi="lo-LA"/>
        </w:rPr>
        <w:t xml:space="preserve">pie </w:t>
      </w:r>
      <w:r>
        <w:rPr>
          <w:rFonts w:ascii="Times New Roman" w:hAnsi="Times New Roman"/>
          <w:sz w:val="24"/>
          <w:szCs w:val="24"/>
          <w:lang w:bidi="lo-LA"/>
        </w:rPr>
        <w:t>ginekologa</w:t>
      </w:r>
      <w:r>
        <w:rPr>
          <w:rFonts w:ascii="Times New Roman" w:hAnsi="Times New Roman"/>
          <w:sz w:val="24"/>
          <w:szCs w:val="24"/>
          <w:lang w:bidi="lo-LA"/>
        </w:rPr>
        <w:t>;</w:t>
      </w:r>
    </w:p>
    <w:p w:rsidR="0025778E" w:rsidP="0025778E" w14:paraId="24EA49D9" w14:textId="77777777">
      <w:pPr>
        <w:pStyle w:val="ListParagraph"/>
        <w:numPr>
          <w:ilvl w:val="0"/>
          <w:numId w:val="10"/>
        </w:numPr>
        <w:autoSpaceDE w:val="0"/>
        <w:autoSpaceDN w:val="0"/>
        <w:adjustRightInd w:val="0"/>
        <w:spacing w:after="0" w:line="293" w:lineRule="atLeast"/>
        <w:jc w:val="both"/>
        <w:rPr>
          <w:rFonts w:ascii="Times New Roman" w:hAnsi="Times New Roman"/>
          <w:sz w:val="24"/>
          <w:szCs w:val="24"/>
          <w:lang w:bidi="lo-LA"/>
        </w:rPr>
      </w:pPr>
      <w:r>
        <w:rPr>
          <w:rFonts w:ascii="Times New Roman" w:hAnsi="Times New Roman"/>
          <w:sz w:val="24"/>
          <w:szCs w:val="24"/>
          <w:lang w:bidi="lo-LA"/>
        </w:rPr>
        <w:t xml:space="preserve">pie </w:t>
      </w:r>
      <w:r>
        <w:rPr>
          <w:rFonts w:ascii="Times New Roman" w:hAnsi="Times New Roman"/>
          <w:sz w:val="24"/>
          <w:szCs w:val="24"/>
          <w:lang w:bidi="lo-LA"/>
        </w:rPr>
        <w:t>oftalmologa</w:t>
      </w:r>
      <w:r>
        <w:rPr>
          <w:rFonts w:ascii="Times New Roman" w:hAnsi="Times New Roman"/>
          <w:sz w:val="24"/>
          <w:szCs w:val="24"/>
          <w:lang w:bidi="lo-LA"/>
        </w:rPr>
        <w:t>;</w:t>
      </w:r>
    </w:p>
    <w:p w:rsidR="0025778E" w:rsidP="0025778E" w14:paraId="4B1FDD87" w14:textId="77777777">
      <w:pPr>
        <w:pStyle w:val="ListParagraph"/>
        <w:numPr>
          <w:ilvl w:val="0"/>
          <w:numId w:val="10"/>
        </w:numPr>
        <w:autoSpaceDE w:val="0"/>
        <w:autoSpaceDN w:val="0"/>
        <w:adjustRightInd w:val="0"/>
        <w:spacing w:after="0" w:line="293" w:lineRule="atLeast"/>
        <w:jc w:val="both"/>
        <w:rPr>
          <w:rFonts w:ascii="Times New Roman" w:hAnsi="Times New Roman"/>
          <w:sz w:val="24"/>
          <w:szCs w:val="24"/>
          <w:lang w:bidi="lo-LA"/>
        </w:rPr>
      </w:pPr>
      <w:r>
        <w:rPr>
          <w:rFonts w:ascii="Times New Roman" w:hAnsi="Times New Roman"/>
          <w:sz w:val="24"/>
          <w:szCs w:val="24"/>
          <w:lang w:bidi="lo-LA"/>
        </w:rPr>
        <w:t xml:space="preserve">pie </w:t>
      </w:r>
      <w:r>
        <w:rPr>
          <w:rFonts w:ascii="Times New Roman" w:hAnsi="Times New Roman"/>
          <w:sz w:val="24"/>
          <w:szCs w:val="24"/>
          <w:lang w:bidi="lo-LA"/>
        </w:rPr>
        <w:t>bērnu</w:t>
      </w:r>
      <w:r>
        <w:rPr>
          <w:rFonts w:ascii="Times New Roman" w:hAnsi="Times New Roman"/>
          <w:sz w:val="24"/>
          <w:szCs w:val="24"/>
          <w:lang w:bidi="lo-LA"/>
        </w:rPr>
        <w:t xml:space="preserve"> </w:t>
      </w:r>
      <w:r>
        <w:rPr>
          <w:rFonts w:ascii="Times New Roman" w:hAnsi="Times New Roman"/>
          <w:sz w:val="24"/>
          <w:szCs w:val="24"/>
          <w:lang w:bidi="lo-LA"/>
        </w:rPr>
        <w:t>ķirurga</w:t>
      </w:r>
      <w:r>
        <w:rPr>
          <w:rFonts w:ascii="Times New Roman" w:hAnsi="Times New Roman"/>
          <w:sz w:val="24"/>
          <w:szCs w:val="24"/>
          <w:lang w:bidi="lo-LA"/>
        </w:rPr>
        <w:t>;</w:t>
      </w:r>
    </w:p>
    <w:p w:rsidR="0025778E" w:rsidP="0025778E" w14:paraId="208259C3" w14:textId="77777777">
      <w:pPr>
        <w:pStyle w:val="ListParagraph"/>
        <w:numPr>
          <w:ilvl w:val="0"/>
          <w:numId w:val="10"/>
        </w:numPr>
        <w:autoSpaceDE w:val="0"/>
        <w:autoSpaceDN w:val="0"/>
        <w:adjustRightInd w:val="0"/>
        <w:spacing w:after="0" w:line="293" w:lineRule="atLeast"/>
        <w:jc w:val="both"/>
        <w:rPr>
          <w:rFonts w:ascii="Times New Roman" w:hAnsi="Times New Roman"/>
          <w:sz w:val="24"/>
          <w:szCs w:val="24"/>
          <w:lang w:bidi="lo-LA"/>
        </w:rPr>
      </w:pPr>
      <w:r>
        <w:rPr>
          <w:rFonts w:ascii="Times New Roman" w:hAnsi="Times New Roman"/>
          <w:sz w:val="24"/>
          <w:szCs w:val="24"/>
          <w:lang w:bidi="lo-LA"/>
        </w:rPr>
        <w:t xml:space="preserve">pie </w:t>
      </w:r>
      <w:r>
        <w:rPr>
          <w:rFonts w:ascii="Times New Roman" w:hAnsi="Times New Roman"/>
          <w:sz w:val="24"/>
          <w:szCs w:val="24"/>
          <w:lang w:bidi="lo-LA"/>
        </w:rPr>
        <w:t>pediatra</w:t>
      </w:r>
      <w:r>
        <w:rPr>
          <w:rFonts w:ascii="Times New Roman" w:hAnsi="Times New Roman"/>
          <w:sz w:val="24"/>
          <w:szCs w:val="24"/>
          <w:lang w:bidi="lo-LA"/>
        </w:rPr>
        <w:t>;</w:t>
      </w:r>
    </w:p>
    <w:p w:rsidR="0025778E" w:rsidP="0025778E" w14:paraId="43BA5FE3" w14:textId="77777777">
      <w:pPr>
        <w:pStyle w:val="ListParagraph"/>
        <w:numPr>
          <w:ilvl w:val="0"/>
          <w:numId w:val="10"/>
        </w:numPr>
        <w:autoSpaceDE w:val="0"/>
        <w:autoSpaceDN w:val="0"/>
        <w:adjustRightInd w:val="0"/>
        <w:spacing w:after="0" w:line="293" w:lineRule="atLeast"/>
        <w:jc w:val="both"/>
        <w:rPr>
          <w:rFonts w:ascii="Times New Roman" w:hAnsi="Times New Roman"/>
          <w:sz w:val="24"/>
          <w:szCs w:val="24"/>
          <w:lang w:bidi="lo-LA"/>
        </w:rPr>
      </w:pPr>
      <w:r>
        <w:rPr>
          <w:rFonts w:ascii="Times New Roman" w:hAnsi="Times New Roman"/>
          <w:sz w:val="24"/>
          <w:szCs w:val="24"/>
          <w:lang w:bidi="lo-LA"/>
        </w:rPr>
        <w:t xml:space="preserve">pie </w:t>
      </w:r>
      <w:r>
        <w:rPr>
          <w:rFonts w:ascii="Times New Roman" w:hAnsi="Times New Roman"/>
          <w:sz w:val="24"/>
          <w:szCs w:val="24"/>
          <w:lang w:bidi="lo-LA"/>
        </w:rPr>
        <w:t>infektologa</w:t>
      </w:r>
      <w:r>
        <w:rPr>
          <w:rFonts w:ascii="Times New Roman" w:hAnsi="Times New Roman"/>
          <w:sz w:val="24"/>
          <w:szCs w:val="24"/>
          <w:lang w:bidi="lo-LA"/>
        </w:rPr>
        <w:t xml:space="preserve">, ja persona </w:t>
      </w:r>
      <w:r>
        <w:rPr>
          <w:rFonts w:ascii="Times New Roman" w:hAnsi="Times New Roman"/>
          <w:sz w:val="24"/>
          <w:szCs w:val="24"/>
          <w:lang w:bidi="lo-LA"/>
        </w:rPr>
        <w:t>slimo</w:t>
      </w:r>
      <w:r>
        <w:rPr>
          <w:rFonts w:ascii="Times New Roman" w:hAnsi="Times New Roman"/>
          <w:sz w:val="24"/>
          <w:szCs w:val="24"/>
          <w:lang w:bidi="lo-LA"/>
        </w:rPr>
        <w:t xml:space="preserve"> </w:t>
      </w:r>
      <w:r>
        <w:rPr>
          <w:rFonts w:ascii="Times New Roman" w:hAnsi="Times New Roman"/>
          <w:sz w:val="24"/>
          <w:szCs w:val="24"/>
          <w:lang w:bidi="lo-LA"/>
        </w:rPr>
        <w:t>ar</w:t>
      </w:r>
      <w:r>
        <w:rPr>
          <w:rFonts w:ascii="Times New Roman" w:hAnsi="Times New Roman"/>
          <w:sz w:val="24"/>
          <w:szCs w:val="24"/>
          <w:lang w:bidi="lo-LA"/>
        </w:rPr>
        <w:t xml:space="preserve"> HIV /AIDS </w:t>
      </w:r>
      <w:r>
        <w:rPr>
          <w:rFonts w:ascii="Times New Roman" w:hAnsi="Times New Roman"/>
          <w:sz w:val="24"/>
          <w:szCs w:val="24"/>
          <w:lang w:bidi="lo-LA"/>
        </w:rPr>
        <w:t>infekciju</w:t>
      </w:r>
      <w:r>
        <w:rPr>
          <w:rFonts w:ascii="Times New Roman" w:hAnsi="Times New Roman"/>
          <w:sz w:val="24"/>
          <w:szCs w:val="24"/>
          <w:lang w:bidi="lo-LA"/>
        </w:rPr>
        <w:t>.</w:t>
      </w:r>
    </w:p>
    <w:p w:rsidR="009B5CDC" w:rsidRPr="00564826" w:rsidP="00564826" w14:paraId="175410DD" w14:textId="0C8E32D5">
      <w:pPr>
        <w:autoSpaceDE w:val="0"/>
        <w:autoSpaceDN w:val="0"/>
        <w:adjustRightInd w:val="0"/>
        <w:spacing w:line="293" w:lineRule="atLeast"/>
        <w:ind w:firstLine="720"/>
        <w:jc w:val="both"/>
        <w:rPr>
          <w:lang w:bidi="lo-LA"/>
        </w:rPr>
      </w:pPr>
      <w:r>
        <w:rPr>
          <w:lang w:bidi="lo-LA"/>
        </w:rPr>
        <w:t xml:space="preserve">2017.gadā plānots speciālistu konsultāciju pieaugums </w:t>
      </w:r>
      <w:r w:rsidRPr="0025778E">
        <w:rPr>
          <w:lang w:bidi="lo-LA"/>
        </w:rPr>
        <w:t>270</w:t>
      </w:r>
      <w:r w:rsidR="00BD7021">
        <w:rPr>
          <w:lang w:bidi="lo-LA"/>
        </w:rPr>
        <w:t>,</w:t>
      </w:r>
      <w:r w:rsidRPr="0025778E">
        <w:rPr>
          <w:lang w:bidi="lo-LA"/>
        </w:rPr>
        <w:t>2</w:t>
      </w:r>
      <w:r w:rsidR="00BD7021">
        <w:rPr>
          <w:lang w:bidi="lo-LA"/>
        </w:rPr>
        <w:t xml:space="preserve"> tūkst. konsultāciju. </w:t>
      </w:r>
    </w:p>
    <w:p w:rsidR="007530BC" w:rsidP="00E4472B" w14:paraId="546967EE" w14:textId="77777777">
      <w:pPr>
        <w:ind w:firstLine="720"/>
        <w:jc w:val="right"/>
        <w:rPr>
          <w:i/>
        </w:rPr>
      </w:pPr>
    </w:p>
    <w:p w:rsidR="00E4472B" w:rsidRPr="00F352AF" w:rsidP="00E4472B" w14:paraId="2C1AEC5E" w14:textId="1DAB6C60">
      <w:pPr>
        <w:ind w:firstLine="720"/>
        <w:jc w:val="right"/>
        <w:rPr>
          <w:i/>
        </w:rPr>
      </w:pPr>
      <w:r>
        <w:rPr>
          <w:i/>
        </w:rPr>
        <w:t xml:space="preserve">7.tabula </w:t>
      </w:r>
    </w:p>
    <w:p w:rsidR="00BB5207" w:rsidP="00564826" w14:paraId="7697033E" w14:textId="064B6137">
      <w:pPr>
        <w:jc w:val="center"/>
        <w:rPr>
          <w:color w:val="414142"/>
        </w:rPr>
      </w:pPr>
      <w:r>
        <w:rPr>
          <w:color w:val="414142"/>
        </w:rPr>
        <w:t xml:space="preserve">Speciālistu ambulatoro konsultāciju </w:t>
      </w:r>
      <w:r w:rsidR="00A33106">
        <w:rPr>
          <w:color w:val="414142"/>
        </w:rPr>
        <w:t>2017.</w:t>
      </w:r>
      <w:r>
        <w:rPr>
          <w:color w:val="414142"/>
        </w:rPr>
        <w:t>gada izpilde</w:t>
      </w:r>
    </w:p>
    <w:p w:rsidR="00A33106" w:rsidRPr="00564826" w:rsidP="007530BC" w14:paraId="542D5E7D" w14:textId="1F98DAB2">
      <w:pPr>
        <w:rPr>
          <w:color w:val="41414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3"/>
        <w:gridCol w:w="999"/>
        <w:gridCol w:w="999"/>
        <w:gridCol w:w="990"/>
        <w:gridCol w:w="928"/>
        <w:gridCol w:w="945"/>
        <w:gridCol w:w="879"/>
        <w:gridCol w:w="1123"/>
        <w:gridCol w:w="879"/>
        <w:gridCol w:w="879"/>
        <w:gridCol w:w="1123"/>
      </w:tblGrid>
      <w:tr w14:paraId="3DC72DB3" w14:textId="1BC3ABE8" w:rsidTr="00ED6116">
        <w:tblPrEx>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1"/>
          <w:jc w:val="center"/>
        </w:trPr>
        <w:tc>
          <w:tcPr>
            <w:tcW w:w="1053" w:type="dxa"/>
            <w:vMerge w:val="restart"/>
            <w:shd w:val="clear" w:color="000000" w:fill="FCE4D6"/>
            <w:vAlign w:val="center"/>
            <w:hideMark/>
          </w:tcPr>
          <w:p w:rsidR="00ED6116" w:rsidRPr="00EA62A4" w:rsidP="00A33106" w14:paraId="6A825361" w14:textId="77777777">
            <w:pPr>
              <w:jc w:val="center"/>
              <w:rPr>
                <w:color w:val="000000"/>
                <w:sz w:val="16"/>
                <w:szCs w:val="16"/>
              </w:rPr>
            </w:pPr>
            <w:r w:rsidRPr="00EA62A4">
              <w:rPr>
                <w:color w:val="000000"/>
                <w:sz w:val="16"/>
                <w:szCs w:val="16"/>
              </w:rPr>
              <w:t xml:space="preserve">Speciālistu konsultācijas </w:t>
            </w:r>
          </w:p>
        </w:tc>
        <w:tc>
          <w:tcPr>
            <w:tcW w:w="999" w:type="dxa"/>
            <w:vMerge w:val="restart"/>
            <w:shd w:val="clear" w:color="000000" w:fill="FCE4D6"/>
            <w:vAlign w:val="center"/>
            <w:hideMark/>
          </w:tcPr>
          <w:p w:rsidR="00ED6116" w:rsidRPr="00EA62A4" w:rsidP="00A33106" w14:paraId="24C58FB3" w14:textId="40480330">
            <w:pPr>
              <w:jc w:val="center"/>
              <w:rPr>
                <w:color w:val="000000"/>
                <w:sz w:val="16"/>
                <w:szCs w:val="16"/>
              </w:rPr>
            </w:pPr>
            <w:r w:rsidRPr="00EA62A4">
              <w:rPr>
                <w:color w:val="000000"/>
                <w:sz w:val="16"/>
                <w:szCs w:val="16"/>
              </w:rPr>
              <w:t xml:space="preserve">Vidējais plānotais konsultāciju skaits </w:t>
            </w:r>
          </w:p>
        </w:tc>
        <w:tc>
          <w:tcPr>
            <w:tcW w:w="999" w:type="dxa"/>
            <w:vMerge w:val="restart"/>
            <w:shd w:val="clear" w:color="000000" w:fill="FCE4D6"/>
            <w:vAlign w:val="center"/>
          </w:tcPr>
          <w:p w:rsidR="00ED6116" w:rsidRPr="00EA62A4" w:rsidP="00A33106" w14:paraId="566E1263" w14:textId="07DEA0E6">
            <w:pPr>
              <w:jc w:val="center"/>
              <w:rPr>
                <w:color w:val="000000"/>
                <w:sz w:val="16"/>
                <w:szCs w:val="16"/>
              </w:rPr>
            </w:pPr>
            <w:r w:rsidRPr="00EA62A4">
              <w:rPr>
                <w:color w:val="000000"/>
                <w:sz w:val="16"/>
                <w:szCs w:val="16"/>
              </w:rPr>
              <w:t>Faktiskais konsultāciju skaits 2017.gadā</w:t>
            </w:r>
          </w:p>
        </w:tc>
        <w:tc>
          <w:tcPr>
            <w:tcW w:w="990" w:type="dxa"/>
            <w:vMerge w:val="restart"/>
            <w:shd w:val="clear" w:color="000000" w:fill="FCE4D6"/>
            <w:vAlign w:val="center"/>
            <w:hideMark/>
          </w:tcPr>
          <w:p w:rsidR="00ED6116" w:rsidRPr="00EA62A4" w:rsidP="00A33106" w14:paraId="4A26893D" w14:textId="451BCC01">
            <w:pPr>
              <w:jc w:val="center"/>
              <w:rPr>
                <w:color w:val="000000"/>
                <w:sz w:val="16"/>
                <w:szCs w:val="16"/>
              </w:rPr>
            </w:pPr>
            <w:r w:rsidRPr="00EA62A4">
              <w:rPr>
                <w:color w:val="000000"/>
                <w:sz w:val="16"/>
                <w:szCs w:val="16"/>
              </w:rPr>
              <w:t xml:space="preserve">Plānotais finansējums  </w:t>
            </w:r>
            <w:r w:rsidRPr="00EA62A4">
              <w:rPr>
                <w:i/>
                <w:iCs/>
                <w:color w:val="000000"/>
                <w:sz w:val="16"/>
                <w:szCs w:val="16"/>
              </w:rPr>
              <w:t>euro</w:t>
            </w:r>
          </w:p>
        </w:tc>
        <w:tc>
          <w:tcPr>
            <w:tcW w:w="928" w:type="dxa"/>
            <w:vMerge w:val="restart"/>
            <w:shd w:val="clear" w:color="000000" w:fill="FCE4D6"/>
            <w:vAlign w:val="center"/>
            <w:hideMark/>
          </w:tcPr>
          <w:p w:rsidR="00ED6116" w:rsidRPr="00EA62A4" w:rsidP="00A33106" w14:paraId="436BC060" w14:textId="77777777">
            <w:pPr>
              <w:jc w:val="center"/>
              <w:rPr>
                <w:color w:val="000000"/>
                <w:sz w:val="16"/>
                <w:szCs w:val="16"/>
              </w:rPr>
            </w:pPr>
            <w:r w:rsidRPr="00EA62A4">
              <w:rPr>
                <w:color w:val="000000"/>
                <w:sz w:val="16"/>
                <w:szCs w:val="16"/>
              </w:rPr>
              <w:t xml:space="preserve">Finanšu izlietojums 2017.gadā </w:t>
            </w:r>
            <w:r w:rsidRPr="00EA62A4">
              <w:rPr>
                <w:i/>
                <w:iCs/>
                <w:color w:val="000000"/>
                <w:sz w:val="16"/>
                <w:szCs w:val="16"/>
              </w:rPr>
              <w:t>euro</w:t>
            </w:r>
          </w:p>
        </w:tc>
        <w:tc>
          <w:tcPr>
            <w:tcW w:w="2957" w:type="dxa"/>
            <w:gridSpan w:val="3"/>
            <w:shd w:val="clear" w:color="000000" w:fill="FCE4D6"/>
            <w:vAlign w:val="center"/>
            <w:hideMark/>
          </w:tcPr>
          <w:p w:rsidR="00ED6116" w:rsidRPr="00EA62A4" w:rsidP="00A33106" w14:paraId="17C00D33" w14:textId="77777777">
            <w:pPr>
              <w:jc w:val="center"/>
              <w:rPr>
                <w:color w:val="000000"/>
                <w:sz w:val="16"/>
                <w:szCs w:val="16"/>
              </w:rPr>
            </w:pPr>
            <w:r w:rsidRPr="00EA62A4">
              <w:rPr>
                <w:color w:val="000000"/>
                <w:sz w:val="16"/>
                <w:szCs w:val="16"/>
              </w:rPr>
              <w:t>Vidējais rindu garums dienās</w:t>
            </w:r>
          </w:p>
        </w:tc>
        <w:tc>
          <w:tcPr>
            <w:tcW w:w="879" w:type="dxa"/>
            <w:vMerge w:val="restart"/>
            <w:shd w:val="clear" w:color="000000" w:fill="FCE4D6"/>
            <w:vAlign w:val="center"/>
          </w:tcPr>
          <w:p w:rsidR="00ED6116" w:rsidRPr="00AA489D" w:rsidP="00A33106" w14:paraId="6D0B7842" w14:textId="094F5D85">
            <w:pPr>
              <w:jc w:val="center"/>
              <w:rPr>
                <w:color w:val="000000"/>
                <w:sz w:val="16"/>
                <w:szCs w:val="16"/>
              </w:rPr>
            </w:pPr>
            <w:r w:rsidRPr="00EF6667">
              <w:rPr>
                <w:color w:val="000000"/>
                <w:sz w:val="16"/>
                <w:szCs w:val="16"/>
              </w:rPr>
              <w:t xml:space="preserve">Rindu </w:t>
            </w:r>
            <w:r w:rsidRPr="00EF6667">
              <w:rPr>
                <w:color w:val="000000"/>
                <w:sz w:val="16"/>
                <w:szCs w:val="16"/>
              </w:rPr>
              <w:t>samazinā</w:t>
            </w:r>
            <w:r>
              <w:rPr>
                <w:color w:val="000000"/>
                <w:sz w:val="16"/>
                <w:szCs w:val="16"/>
              </w:rPr>
              <w:t>-</w:t>
            </w:r>
            <w:r w:rsidRPr="00EF6667">
              <w:rPr>
                <w:color w:val="000000"/>
                <w:sz w:val="16"/>
                <w:szCs w:val="16"/>
              </w:rPr>
              <w:t>jums 2017.gadā %</w:t>
            </w:r>
          </w:p>
        </w:tc>
        <w:tc>
          <w:tcPr>
            <w:tcW w:w="971" w:type="dxa"/>
            <w:vMerge w:val="restart"/>
            <w:shd w:val="clear" w:color="000000" w:fill="FCE4D6"/>
            <w:vAlign w:val="center"/>
          </w:tcPr>
          <w:p w:rsidR="00ED6116" w:rsidRPr="00EA62A4" w:rsidP="00A33106" w14:paraId="7AB33719" w14:textId="1A9F51A2">
            <w:pPr>
              <w:jc w:val="center"/>
              <w:rPr>
                <w:color w:val="000000"/>
                <w:sz w:val="16"/>
                <w:szCs w:val="16"/>
              </w:rPr>
            </w:pPr>
            <w:r w:rsidRPr="00AA489D">
              <w:rPr>
                <w:color w:val="000000"/>
                <w:sz w:val="16"/>
                <w:szCs w:val="16"/>
              </w:rPr>
              <w:t>Rindas garums  ar pacientu uzvedības maiņu 2017.gadā</w:t>
            </w:r>
          </w:p>
        </w:tc>
        <w:tc>
          <w:tcPr>
            <w:tcW w:w="992" w:type="dxa"/>
            <w:vMerge w:val="restart"/>
            <w:shd w:val="clear" w:color="000000" w:fill="FCE4D6"/>
            <w:vAlign w:val="center"/>
          </w:tcPr>
          <w:p w:rsidR="00ED6116" w:rsidRPr="00EA62A4" w:rsidP="00EA62A4" w14:paraId="54AD6874" w14:textId="43679056">
            <w:pPr>
              <w:jc w:val="center"/>
              <w:rPr>
                <w:sz w:val="16"/>
                <w:szCs w:val="16"/>
              </w:rPr>
            </w:pPr>
            <w:r w:rsidRPr="00AA489D">
              <w:rPr>
                <w:sz w:val="16"/>
                <w:szCs w:val="16"/>
              </w:rPr>
              <w:t>Rindu samazinājums ar pacientu uzvedības maiņu 2017.gadā</w:t>
            </w:r>
          </w:p>
        </w:tc>
      </w:tr>
      <w:tr w14:paraId="408AF1FE" w14:textId="5F3CF346" w:rsidTr="00ED6116">
        <w:tblPrEx>
          <w:tblW w:w="10768" w:type="dxa"/>
          <w:jc w:val="center"/>
          <w:tblLook w:val="04A0"/>
        </w:tblPrEx>
        <w:trPr>
          <w:trHeight w:val="42"/>
          <w:jc w:val="center"/>
        </w:trPr>
        <w:tc>
          <w:tcPr>
            <w:tcW w:w="1053" w:type="dxa"/>
            <w:vMerge/>
            <w:vAlign w:val="center"/>
            <w:hideMark/>
          </w:tcPr>
          <w:p w:rsidR="00ED6116" w:rsidRPr="00EA62A4" w:rsidP="00A33106" w14:paraId="1D311381" w14:textId="77777777">
            <w:pPr>
              <w:rPr>
                <w:color w:val="000000"/>
                <w:sz w:val="16"/>
                <w:szCs w:val="16"/>
              </w:rPr>
            </w:pPr>
          </w:p>
        </w:tc>
        <w:tc>
          <w:tcPr>
            <w:tcW w:w="999" w:type="dxa"/>
            <w:vMerge/>
            <w:vAlign w:val="center"/>
            <w:hideMark/>
          </w:tcPr>
          <w:p w:rsidR="00ED6116" w:rsidRPr="00EA62A4" w:rsidP="00A33106" w14:paraId="7EC60FC8" w14:textId="77777777">
            <w:pPr>
              <w:rPr>
                <w:color w:val="000000"/>
                <w:sz w:val="16"/>
                <w:szCs w:val="16"/>
              </w:rPr>
            </w:pPr>
          </w:p>
        </w:tc>
        <w:tc>
          <w:tcPr>
            <w:tcW w:w="999" w:type="dxa"/>
            <w:vMerge/>
          </w:tcPr>
          <w:p w:rsidR="00ED6116" w:rsidRPr="00EA62A4" w:rsidP="00A33106" w14:paraId="1DDEE607" w14:textId="77777777">
            <w:pPr>
              <w:rPr>
                <w:color w:val="000000"/>
                <w:sz w:val="16"/>
                <w:szCs w:val="16"/>
              </w:rPr>
            </w:pPr>
          </w:p>
        </w:tc>
        <w:tc>
          <w:tcPr>
            <w:tcW w:w="990" w:type="dxa"/>
            <w:vMerge/>
            <w:vAlign w:val="center"/>
            <w:hideMark/>
          </w:tcPr>
          <w:p w:rsidR="00ED6116" w:rsidRPr="00EA62A4" w:rsidP="00A33106" w14:paraId="0F585648" w14:textId="57C43981">
            <w:pPr>
              <w:rPr>
                <w:color w:val="000000"/>
                <w:sz w:val="16"/>
                <w:szCs w:val="16"/>
              </w:rPr>
            </w:pPr>
          </w:p>
        </w:tc>
        <w:tc>
          <w:tcPr>
            <w:tcW w:w="928" w:type="dxa"/>
            <w:vMerge/>
            <w:vAlign w:val="center"/>
            <w:hideMark/>
          </w:tcPr>
          <w:p w:rsidR="00ED6116" w:rsidRPr="00EA62A4" w:rsidP="00A33106" w14:paraId="4AF2CDEA" w14:textId="77777777">
            <w:pPr>
              <w:rPr>
                <w:color w:val="000000"/>
                <w:sz w:val="16"/>
                <w:szCs w:val="16"/>
              </w:rPr>
            </w:pPr>
          </w:p>
        </w:tc>
        <w:tc>
          <w:tcPr>
            <w:tcW w:w="955" w:type="dxa"/>
            <w:shd w:val="clear" w:color="000000" w:fill="FCE4D6"/>
            <w:vAlign w:val="center"/>
            <w:hideMark/>
          </w:tcPr>
          <w:p w:rsidR="00ED6116" w:rsidRPr="00EA62A4" w:rsidP="00A33106" w14:paraId="5FD267F7" w14:textId="77777777">
            <w:pPr>
              <w:jc w:val="center"/>
              <w:rPr>
                <w:color w:val="000000"/>
                <w:sz w:val="16"/>
                <w:szCs w:val="16"/>
              </w:rPr>
            </w:pPr>
            <w:r w:rsidRPr="00EA62A4">
              <w:rPr>
                <w:color w:val="000000"/>
                <w:sz w:val="16"/>
                <w:szCs w:val="16"/>
              </w:rPr>
              <w:t>Pirms reformu īstenošanas</w:t>
            </w:r>
          </w:p>
        </w:tc>
        <w:tc>
          <w:tcPr>
            <w:tcW w:w="879" w:type="dxa"/>
            <w:shd w:val="clear" w:color="000000" w:fill="FCE4D6"/>
            <w:vAlign w:val="center"/>
            <w:hideMark/>
          </w:tcPr>
          <w:p w:rsidR="00ED6116" w:rsidRPr="00EA62A4" w:rsidP="00A33106" w14:paraId="25EB6665" w14:textId="77777777">
            <w:pPr>
              <w:jc w:val="center"/>
              <w:rPr>
                <w:color w:val="000000"/>
                <w:sz w:val="16"/>
                <w:szCs w:val="16"/>
              </w:rPr>
            </w:pPr>
            <w:r w:rsidRPr="00EA62A4">
              <w:rPr>
                <w:color w:val="000000"/>
                <w:sz w:val="16"/>
                <w:szCs w:val="16"/>
              </w:rPr>
              <w:t>Uz 2018.gada 1.janvāri</w:t>
            </w:r>
          </w:p>
        </w:tc>
        <w:tc>
          <w:tcPr>
            <w:tcW w:w="1123" w:type="dxa"/>
            <w:shd w:val="clear" w:color="000000" w:fill="FCE4D6"/>
            <w:vAlign w:val="center"/>
            <w:hideMark/>
          </w:tcPr>
          <w:p w:rsidR="00ED6116" w:rsidRPr="00EA62A4" w:rsidP="00A33106" w14:paraId="52C3E73D" w14:textId="77777777">
            <w:pPr>
              <w:jc w:val="center"/>
              <w:rPr>
                <w:color w:val="000000"/>
                <w:sz w:val="16"/>
                <w:szCs w:val="16"/>
              </w:rPr>
            </w:pPr>
            <w:r w:rsidRPr="00EA62A4">
              <w:rPr>
                <w:color w:val="000000"/>
                <w:sz w:val="16"/>
                <w:szCs w:val="16"/>
              </w:rPr>
              <w:t>Rindu samazinājums 2017.gadā</w:t>
            </w:r>
          </w:p>
        </w:tc>
        <w:tc>
          <w:tcPr>
            <w:tcW w:w="879" w:type="dxa"/>
            <w:vMerge/>
            <w:shd w:val="clear" w:color="000000" w:fill="FCE4D6"/>
          </w:tcPr>
          <w:p w:rsidR="00ED6116" w:rsidRPr="00EA62A4" w:rsidP="00A33106" w14:paraId="74E72D1D" w14:textId="5F959A5A">
            <w:pPr>
              <w:jc w:val="center"/>
              <w:rPr>
                <w:color w:val="000000"/>
                <w:sz w:val="16"/>
                <w:szCs w:val="16"/>
              </w:rPr>
            </w:pPr>
          </w:p>
        </w:tc>
        <w:tc>
          <w:tcPr>
            <w:tcW w:w="971" w:type="dxa"/>
            <w:vMerge/>
            <w:shd w:val="clear" w:color="000000" w:fill="FCE4D6"/>
            <w:vAlign w:val="center"/>
          </w:tcPr>
          <w:p w:rsidR="00ED6116" w:rsidRPr="00EA62A4" w:rsidP="00A33106" w14:paraId="1CCF8926" w14:textId="6C1175F5">
            <w:pPr>
              <w:jc w:val="center"/>
              <w:rPr>
                <w:color w:val="000000"/>
                <w:sz w:val="16"/>
                <w:szCs w:val="16"/>
              </w:rPr>
            </w:pPr>
          </w:p>
        </w:tc>
        <w:tc>
          <w:tcPr>
            <w:tcW w:w="992" w:type="dxa"/>
            <w:vMerge/>
            <w:shd w:val="clear" w:color="000000" w:fill="FCE4D6"/>
            <w:vAlign w:val="center"/>
          </w:tcPr>
          <w:p w:rsidR="00ED6116" w:rsidRPr="00EA62A4" w:rsidP="00A33106" w14:paraId="404DB69F" w14:textId="4855C0BA">
            <w:pPr>
              <w:jc w:val="center"/>
              <w:rPr>
                <w:color w:val="000000"/>
                <w:sz w:val="16"/>
                <w:szCs w:val="16"/>
              </w:rPr>
            </w:pPr>
          </w:p>
        </w:tc>
      </w:tr>
      <w:tr w14:paraId="6F80186B" w14:textId="0063C4B6" w:rsidTr="00ED6116">
        <w:tblPrEx>
          <w:tblW w:w="10768" w:type="dxa"/>
          <w:jc w:val="center"/>
          <w:tblLook w:val="04A0"/>
        </w:tblPrEx>
        <w:trPr>
          <w:trHeight w:val="306"/>
          <w:jc w:val="center"/>
        </w:trPr>
        <w:tc>
          <w:tcPr>
            <w:tcW w:w="1053" w:type="dxa"/>
            <w:shd w:val="clear" w:color="000000" w:fill="92D050"/>
            <w:noWrap/>
            <w:vAlign w:val="center"/>
            <w:hideMark/>
          </w:tcPr>
          <w:p w:rsidR="00ED6116" w:rsidRPr="00EA62A4" w:rsidP="00A97499" w14:paraId="3330FD06" w14:textId="77777777">
            <w:pPr>
              <w:jc w:val="center"/>
              <w:rPr>
                <w:color w:val="000000"/>
                <w:sz w:val="16"/>
                <w:szCs w:val="16"/>
              </w:rPr>
            </w:pPr>
            <w:r w:rsidRPr="00EA62A4">
              <w:rPr>
                <w:color w:val="000000"/>
                <w:sz w:val="16"/>
                <w:szCs w:val="16"/>
              </w:rPr>
              <w:t>Ārstniecības iestādes</w:t>
            </w:r>
          </w:p>
        </w:tc>
        <w:tc>
          <w:tcPr>
            <w:tcW w:w="999" w:type="dxa"/>
            <w:shd w:val="clear" w:color="000000" w:fill="92D050"/>
            <w:noWrap/>
            <w:vAlign w:val="center"/>
            <w:hideMark/>
          </w:tcPr>
          <w:p w:rsidR="00ED6116" w:rsidRPr="00EA62A4" w:rsidP="00A33106" w14:paraId="79679383" w14:textId="77777777">
            <w:pPr>
              <w:jc w:val="center"/>
              <w:rPr>
                <w:sz w:val="16"/>
                <w:szCs w:val="16"/>
              </w:rPr>
            </w:pPr>
            <w:r w:rsidRPr="00EA62A4">
              <w:rPr>
                <w:sz w:val="16"/>
                <w:szCs w:val="16"/>
              </w:rPr>
              <w:t>270 246</w:t>
            </w:r>
          </w:p>
        </w:tc>
        <w:tc>
          <w:tcPr>
            <w:tcW w:w="999" w:type="dxa"/>
            <w:shd w:val="clear" w:color="000000" w:fill="92D050"/>
            <w:vAlign w:val="center"/>
          </w:tcPr>
          <w:p w:rsidR="00ED6116" w:rsidRPr="00EA62A4" w14:paraId="19C40BD1" w14:textId="12EF9EDF">
            <w:pPr>
              <w:jc w:val="center"/>
              <w:rPr>
                <w:color w:val="000000"/>
                <w:sz w:val="16"/>
                <w:szCs w:val="16"/>
              </w:rPr>
            </w:pPr>
            <w:r w:rsidRPr="00EA62A4">
              <w:rPr>
                <w:color w:val="000000"/>
                <w:sz w:val="16"/>
                <w:szCs w:val="16"/>
              </w:rPr>
              <w:t>177 317</w:t>
            </w:r>
          </w:p>
        </w:tc>
        <w:tc>
          <w:tcPr>
            <w:tcW w:w="990" w:type="dxa"/>
            <w:shd w:val="clear" w:color="000000" w:fill="92D050"/>
            <w:noWrap/>
            <w:vAlign w:val="center"/>
            <w:hideMark/>
          </w:tcPr>
          <w:p w:rsidR="00ED6116" w:rsidRPr="00EA62A4" w:rsidP="00A33106" w14:paraId="1593129C" w14:textId="0B2B5E0F">
            <w:pPr>
              <w:jc w:val="center"/>
              <w:rPr>
                <w:color w:val="000000"/>
                <w:sz w:val="16"/>
                <w:szCs w:val="16"/>
              </w:rPr>
            </w:pPr>
            <w:r w:rsidRPr="00EA62A4">
              <w:rPr>
                <w:color w:val="000000"/>
                <w:sz w:val="16"/>
                <w:szCs w:val="16"/>
              </w:rPr>
              <w:t>3 386 187</w:t>
            </w:r>
          </w:p>
        </w:tc>
        <w:tc>
          <w:tcPr>
            <w:tcW w:w="928" w:type="dxa"/>
            <w:shd w:val="clear" w:color="000000" w:fill="92D050"/>
            <w:noWrap/>
            <w:vAlign w:val="center"/>
            <w:hideMark/>
          </w:tcPr>
          <w:p w:rsidR="00ED6116" w:rsidRPr="005C359C" w:rsidP="00A33106" w14:paraId="463DB4A0" w14:textId="1087B340">
            <w:pPr>
              <w:jc w:val="center"/>
              <w:rPr>
                <w:color w:val="000000"/>
                <w:sz w:val="16"/>
                <w:szCs w:val="16"/>
              </w:rPr>
            </w:pPr>
            <w:r w:rsidRPr="005C359C">
              <w:rPr>
                <w:color w:val="000000"/>
                <w:sz w:val="16"/>
                <w:szCs w:val="16"/>
              </w:rPr>
              <w:t>3 288 372</w:t>
            </w:r>
          </w:p>
        </w:tc>
        <w:tc>
          <w:tcPr>
            <w:tcW w:w="955" w:type="dxa"/>
            <w:shd w:val="clear" w:color="000000" w:fill="92D050"/>
            <w:vAlign w:val="center"/>
            <w:hideMark/>
          </w:tcPr>
          <w:p w:rsidR="00ED6116" w:rsidRPr="00EA62A4" w:rsidP="00A33106" w14:paraId="484742AE" w14:textId="77777777">
            <w:pPr>
              <w:jc w:val="center"/>
              <w:rPr>
                <w:color w:val="000000"/>
                <w:sz w:val="16"/>
                <w:szCs w:val="16"/>
              </w:rPr>
            </w:pPr>
            <w:r w:rsidRPr="00EA62A4">
              <w:rPr>
                <w:color w:val="000000"/>
                <w:sz w:val="16"/>
                <w:szCs w:val="16"/>
              </w:rPr>
              <w:t>100,48</w:t>
            </w:r>
          </w:p>
        </w:tc>
        <w:tc>
          <w:tcPr>
            <w:tcW w:w="879" w:type="dxa"/>
            <w:shd w:val="clear" w:color="000000" w:fill="92D050"/>
            <w:vAlign w:val="center"/>
            <w:hideMark/>
          </w:tcPr>
          <w:p w:rsidR="00ED6116" w:rsidRPr="00EA62A4" w:rsidP="00A33106" w14:paraId="70D5DDE8" w14:textId="77777777">
            <w:pPr>
              <w:jc w:val="center"/>
              <w:rPr>
                <w:color w:val="000000"/>
                <w:sz w:val="16"/>
                <w:szCs w:val="16"/>
              </w:rPr>
            </w:pPr>
            <w:r w:rsidRPr="00EA62A4">
              <w:rPr>
                <w:color w:val="000000"/>
                <w:sz w:val="16"/>
                <w:szCs w:val="16"/>
              </w:rPr>
              <w:t>58,23</w:t>
            </w:r>
          </w:p>
        </w:tc>
        <w:tc>
          <w:tcPr>
            <w:tcW w:w="1123" w:type="dxa"/>
            <w:shd w:val="clear" w:color="000000" w:fill="92D050"/>
            <w:vAlign w:val="center"/>
            <w:hideMark/>
          </w:tcPr>
          <w:p w:rsidR="00ED6116" w:rsidRPr="00EA62A4" w:rsidP="00A33106" w14:paraId="57AEFF2C" w14:textId="5FC7DA1F">
            <w:pPr>
              <w:jc w:val="center"/>
              <w:rPr>
                <w:color w:val="000000"/>
                <w:sz w:val="16"/>
                <w:szCs w:val="16"/>
              </w:rPr>
            </w:pPr>
            <w:r w:rsidRPr="00EA62A4">
              <w:rPr>
                <w:color w:val="000000"/>
                <w:sz w:val="16"/>
                <w:szCs w:val="16"/>
              </w:rPr>
              <w:t>42,25</w:t>
            </w:r>
          </w:p>
        </w:tc>
        <w:tc>
          <w:tcPr>
            <w:tcW w:w="879" w:type="dxa"/>
            <w:shd w:val="clear" w:color="000000" w:fill="92D050"/>
            <w:vAlign w:val="center"/>
          </w:tcPr>
          <w:p w:rsidR="00ED6116" w:rsidP="00A33106" w14:paraId="0BB7779E" w14:textId="3273F5C3">
            <w:pPr>
              <w:jc w:val="center"/>
              <w:rPr>
                <w:color w:val="000000"/>
                <w:sz w:val="16"/>
                <w:szCs w:val="16"/>
              </w:rPr>
            </w:pPr>
            <w:r>
              <w:rPr>
                <w:color w:val="000000"/>
                <w:sz w:val="16"/>
                <w:szCs w:val="16"/>
              </w:rPr>
              <w:t>42,05</w:t>
            </w:r>
          </w:p>
        </w:tc>
        <w:tc>
          <w:tcPr>
            <w:tcW w:w="971" w:type="dxa"/>
            <w:shd w:val="clear" w:color="000000" w:fill="92D050"/>
            <w:vAlign w:val="center"/>
          </w:tcPr>
          <w:p w:rsidR="00ED6116" w:rsidRPr="00EA62A4" w:rsidP="00A33106" w14:paraId="3977425B" w14:textId="63BAAE24">
            <w:pPr>
              <w:jc w:val="center"/>
              <w:rPr>
                <w:color w:val="000000"/>
                <w:sz w:val="16"/>
                <w:szCs w:val="16"/>
              </w:rPr>
            </w:pPr>
            <w:r>
              <w:rPr>
                <w:color w:val="000000"/>
                <w:sz w:val="16"/>
                <w:szCs w:val="16"/>
              </w:rPr>
              <w:t>50,13</w:t>
            </w:r>
          </w:p>
        </w:tc>
        <w:tc>
          <w:tcPr>
            <w:tcW w:w="992" w:type="dxa"/>
            <w:shd w:val="clear" w:color="000000" w:fill="92D050"/>
            <w:vAlign w:val="center"/>
          </w:tcPr>
          <w:p w:rsidR="00ED6116" w:rsidRPr="00EA62A4" w:rsidP="00A33106" w14:paraId="0E7E3085" w14:textId="32472E82">
            <w:pPr>
              <w:jc w:val="center"/>
              <w:rPr>
                <w:color w:val="000000"/>
                <w:sz w:val="16"/>
                <w:szCs w:val="16"/>
              </w:rPr>
            </w:pPr>
            <w:r>
              <w:rPr>
                <w:color w:val="000000"/>
                <w:sz w:val="16"/>
                <w:szCs w:val="16"/>
              </w:rPr>
              <w:t>50,35</w:t>
            </w:r>
          </w:p>
        </w:tc>
      </w:tr>
    </w:tbl>
    <w:p w:rsidR="0025778E" w:rsidP="001C680F" w14:paraId="58E01699" w14:textId="2C24ED5D">
      <w:pPr>
        <w:autoSpaceDE w:val="0"/>
        <w:autoSpaceDN w:val="0"/>
        <w:adjustRightInd w:val="0"/>
        <w:spacing w:line="293" w:lineRule="atLeast"/>
        <w:jc w:val="both"/>
        <w:rPr>
          <w:i/>
          <w:sz w:val="20"/>
          <w:szCs w:val="20"/>
        </w:rPr>
      </w:pPr>
      <w:r w:rsidRPr="006E1FFA">
        <w:rPr>
          <w:i/>
          <w:sz w:val="20"/>
          <w:szCs w:val="20"/>
        </w:rPr>
        <w:t>Avots</w:t>
      </w:r>
      <w:r w:rsidRPr="008603A3">
        <w:rPr>
          <w:i/>
          <w:sz w:val="20"/>
          <w:szCs w:val="20"/>
        </w:rPr>
        <w:t>: NVD</w:t>
      </w:r>
    </w:p>
    <w:p w:rsidR="00943EDB" w:rsidP="00EA62A4" w14:paraId="1FB2C076" w14:textId="1170C0DD">
      <w:pPr>
        <w:tabs>
          <w:tab w:val="left" w:pos="8370"/>
        </w:tabs>
        <w:autoSpaceDE w:val="0"/>
        <w:autoSpaceDN w:val="0"/>
        <w:adjustRightInd w:val="0"/>
        <w:spacing w:line="293" w:lineRule="atLeast"/>
        <w:jc w:val="both"/>
        <w:rPr>
          <w:lang w:bidi="lo-LA"/>
        </w:rPr>
      </w:pPr>
      <w:r>
        <w:rPr>
          <w:lang w:bidi="lo-LA"/>
        </w:rPr>
        <w:tab/>
      </w:r>
    </w:p>
    <w:p w:rsidR="00202824" w:rsidP="007530BC" w14:paraId="299EA9DF" w14:textId="76FC873E">
      <w:pPr>
        <w:autoSpaceDE w:val="0"/>
        <w:autoSpaceDN w:val="0"/>
        <w:adjustRightInd w:val="0"/>
        <w:spacing w:line="293" w:lineRule="atLeast"/>
        <w:ind w:firstLine="720"/>
        <w:jc w:val="both"/>
      </w:pPr>
      <w:r>
        <w:t xml:space="preserve">Atbilstoši 2017.gada </w:t>
      </w:r>
      <w:r w:rsidRPr="001269F2" w:rsidR="00AC1DFD">
        <w:t>faktiskajai izpildei</w:t>
      </w:r>
      <w:r w:rsidR="001269F2">
        <w:t>,</w:t>
      </w:r>
      <w:r w:rsidRPr="001269F2" w:rsidR="00AC1DFD">
        <w:t xml:space="preserve"> speciālistu </w:t>
      </w:r>
      <w:r w:rsidR="000F73B2">
        <w:t>konsultāciju pieaugums īstenots</w:t>
      </w:r>
      <w:r w:rsidRPr="00142742" w:rsidR="00AC1DFD">
        <w:t xml:space="preserve"> </w:t>
      </w:r>
      <w:r>
        <w:t xml:space="preserve">65,61% </w:t>
      </w:r>
      <w:r w:rsidRPr="00142742" w:rsidR="00AC1DFD">
        <w:t xml:space="preserve">apmērā no gada plānotā konsultāciju </w:t>
      </w:r>
      <w:r w:rsidRPr="00142742" w:rsidR="002E4148">
        <w:t xml:space="preserve">pieauguma </w:t>
      </w:r>
      <w:r w:rsidRPr="00142742" w:rsidR="00AC1DFD">
        <w:t xml:space="preserve">apjoma. Līdz </w:t>
      </w:r>
      <w:r w:rsidRPr="001269F2" w:rsidR="00AC1DFD">
        <w:t xml:space="preserve">ar minēto secināms, ka laika periodā no </w:t>
      </w:r>
      <w:r w:rsidR="00BF465B">
        <w:t>2017.gada</w:t>
      </w:r>
      <w:r w:rsidRPr="001269F2" w:rsidR="00AC1DFD">
        <w:t xml:space="preserve"> marta līdz </w:t>
      </w:r>
      <w:r w:rsidR="00BF465B">
        <w:t>decembrim</w:t>
      </w:r>
      <w:r w:rsidRPr="001269F2" w:rsidR="00AC1DFD">
        <w:t xml:space="preserve"> rindu samazinājums nodrošināts ārstniecības iestāžu iespēju robežās,</w:t>
      </w:r>
      <w:r w:rsidR="008349CC">
        <w:t xml:space="preserve"> atbilstoši pieejamiem speciālistu resursiem,</w:t>
      </w:r>
      <w:r w:rsidRPr="001269F2" w:rsidR="00AC1DFD">
        <w:t xml:space="preserve"> vidēji samazinot rindu garumu uz speciālistu pakalpojumiem pa</w:t>
      </w:r>
      <w:r w:rsidRPr="002D6520" w:rsidR="00AA0F3F">
        <w:t xml:space="preserve">r </w:t>
      </w:r>
      <w:r>
        <w:t>42,</w:t>
      </w:r>
      <w:r w:rsidR="00EC5E44">
        <w:t>0</w:t>
      </w:r>
      <w:r w:rsidR="00BF465B">
        <w:t>5</w:t>
      </w:r>
      <w:r w:rsidRPr="002D6520" w:rsidR="00AA0F3F">
        <w:t>%</w:t>
      </w:r>
      <w:r w:rsidR="00BF465B">
        <w:t>.</w:t>
      </w:r>
      <w:r w:rsidRPr="002D6520" w:rsidR="00AC1DFD">
        <w:t xml:space="preserve"> </w:t>
      </w:r>
      <w:r w:rsidRPr="002D6520" w:rsidR="005D2FE6">
        <w:t xml:space="preserve">Katrā ārstniecības iestādē un pakalpojuma veidā rindu samazinājuma dinamika ir atšķirīga, </w:t>
      </w:r>
      <w:r w:rsidRPr="003855C9" w:rsidR="005D2FE6">
        <w:t xml:space="preserve">tomēr par būtisku uzskatāms ieguvums AS "Veselības centru apvienība" struktūrvienībā "VCA Juglas medicīnas centrs" </w:t>
      </w:r>
      <w:r w:rsidRPr="006B453F" w:rsidR="003775CE">
        <w:t xml:space="preserve">kardiologa pieejamības pieaugums no 133 dienām </w:t>
      </w:r>
      <w:r w:rsidRPr="005C3B86" w:rsidR="00C72C7A">
        <w:t xml:space="preserve">līdz  </w:t>
      </w:r>
      <w:r w:rsidRPr="00EA62A4" w:rsidR="00362F14">
        <w:t>59</w:t>
      </w:r>
      <w:r w:rsidRPr="00EA62A4" w:rsidR="00C72C7A">
        <w:t xml:space="preserve"> dienai</w:t>
      </w:r>
      <w:r w:rsidRPr="00EA62A4" w:rsidR="003775CE">
        <w:t xml:space="preserve">, SIA "Salaspils veselības centra" </w:t>
      </w:r>
      <w:r w:rsidRPr="00EA62A4" w:rsidR="003775CE">
        <w:t>traumatologa</w:t>
      </w:r>
      <w:r w:rsidRPr="00EA62A4" w:rsidR="003775CE">
        <w:t xml:space="preserve"> un ortopēda pieejamības pieaugums no 97 dienām līdz 31 di</w:t>
      </w:r>
      <w:r w:rsidRPr="00EA62A4" w:rsidR="00C72C7A">
        <w:t>enai</w:t>
      </w:r>
      <w:r w:rsidRPr="00EA62A4" w:rsidR="003775CE">
        <w:t xml:space="preserve">, SIA </w:t>
      </w:r>
      <w:r w:rsidRPr="00EA62A4" w:rsidR="00362F14">
        <w:t>Veselības centrs 4</w:t>
      </w:r>
      <w:r w:rsidRPr="00EA62A4" w:rsidR="003775CE">
        <w:t xml:space="preserve"> e</w:t>
      </w:r>
      <w:r w:rsidRPr="00EA62A4" w:rsidR="008E4FAC">
        <w:t>n</w:t>
      </w:r>
      <w:r w:rsidRPr="00EA62A4" w:rsidR="003775CE">
        <w:t xml:space="preserve">dokrinologa pieejamības pieaugums no 117 dienām līdz </w:t>
      </w:r>
      <w:r w:rsidRPr="00EA62A4" w:rsidR="00362F14">
        <w:t>33</w:t>
      </w:r>
      <w:r w:rsidRPr="00EA62A4" w:rsidR="003775CE">
        <w:t xml:space="preserve"> dienām un  </w:t>
      </w:r>
      <w:r w:rsidRPr="00EA62A4" w:rsidR="005D2FE6">
        <w:t>"Rīgas Austrumu klīnisk</w:t>
      </w:r>
      <w:r w:rsidRPr="00EA62A4" w:rsidR="001269F2">
        <w:t>aj</w:t>
      </w:r>
      <w:r w:rsidRPr="00EA62A4" w:rsidR="005D2FE6">
        <w:t>ā universitātes slimnīc</w:t>
      </w:r>
      <w:r w:rsidRPr="00EA62A4" w:rsidR="001269F2">
        <w:t>ā</w:t>
      </w:r>
      <w:r w:rsidRPr="00EA62A4" w:rsidR="005D2FE6">
        <w:t xml:space="preserve"> "Stacionārā ''Biķernieki” </w:t>
      </w:r>
      <w:r w:rsidRPr="00EA62A4" w:rsidR="003775CE">
        <w:t>oftalmolo</w:t>
      </w:r>
      <w:r w:rsidRPr="00EA62A4" w:rsidR="008E4FAC">
        <w:t>g</w:t>
      </w:r>
      <w:r w:rsidRPr="00EA62A4" w:rsidR="003775CE">
        <w:t>a</w:t>
      </w:r>
      <w:r w:rsidRPr="00EA62A4" w:rsidR="003775CE">
        <w:t xml:space="preserve"> pieejamības pieaugums no 150 dienām līdz </w:t>
      </w:r>
      <w:r w:rsidRPr="00EA62A4" w:rsidR="00C7231F">
        <w:t>31</w:t>
      </w:r>
      <w:r w:rsidRPr="00EA62A4" w:rsidR="003775CE">
        <w:t xml:space="preserve"> dienām.</w:t>
      </w:r>
      <w:r w:rsidRPr="001269F2" w:rsidR="003775CE">
        <w:t xml:space="preserve"> </w:t>
      </w:r>
    </w:p>
    <w:p w:rsidR="0002794C" w:rsidRPr="008349CC" w:rsidP="008349CC" w14:paraId="0EF71DA6" w14:textId="40F45E2A">
      <w:pPr>
        <w:autoSpaceDE w:val="0"/>
        <w:autoSpaceDN w:val="0"/>
        <w:adjustRightInd w:val="0"/>
        <w:spacing w:line="293" w:lineRule="atLeast"/>
        <w:ind w:firstLine="720"/>
        <w:jc w:val="both"/>
      </w:pPr>
      <w:r>
        <w:t>2017.</w:t>
      </w:r>
      <w:r w:rsidR="008349CC">
        <w:t xml:space="preserve">gadā laikā novērots, ka rindu garumu ir iespējams mazināt ārstniecības iestādēs, kur bija pieejami attiecīgie speciālistu resursi, bet atsevišķu specialitāšu apgrūtināta pieejamība joprojām ir saglabājusies un to nosaka ierobežo speciālistu skaits, kas sniedz konsultācijas, piemēram, </w:t>
      </w:r>
      <w:r w:rsidR="008349CC">
        <w:t>reimatoloģijā</w:t>
      </w:r>
      <w:r w:rsidR="008349CC">
        <w:t xml:space="preserve">. </w:t>
      </w:r>
      <w:r w:rsidR="00181EB1">
        <w:t>Ar papildus piešķirto finansējumu t</w:t>
      </w:r>
      <w:r w:rsidR="008349CC">
        <w:t>ika nodrošināts, ka pie noteiktu specialitāšu ārstiem_ - ginekologa, ķirurga, psihiatra, pediatra, narkologa, arodslimību speciālista gaidīšanas rindu ilgums uz speciālista konsultāciju nepārsniedza 10 darba dienas 75%  ārstniecības iestādēs, kas sniedza augstāk minētos pakalpojumus.</w:t>
      </w:r>
    </w:p>
    <w:p w:rsidR="0002794C" w:rsidP="008349CC" w14:paraId="106AB198" w14:textId="6E41B31C">
      <w:pPr>
        <w:rPr>
          <w:i/>
        </w:rPr>
      </w:pPr>
    </w:p>
    <w:p w:rsidR="00BE413A" w14:paraId="3E38051B" w14:textId="77777777">
      <w:pPr>
        <w:spacing w:after="200" w:line="276" w:lineRule="auto"/>
        <w:rPr>
          <w:i/>
        </w:rPr>
      </w:pPr>
      <w:r>
        <w:rPr>
          <w:i/>
        </w:rPr>
        <w:br w:type="page"/>
      </w:r>
    </w:p>
    <w:p w:rsidR="0004769C" w:rsidRPr="00F352AF" w:rsidP="0004769C" w14:paraId="31A3A57B" w14:textId="18D4FE99">
      <w:pPr>
        <w:ind w:firstLine="720"/>
        <w:jc w:val="right"/>
        <w:rPr>
          <w:i/>
        </w:rPr>
      </w:pPr>
      <w:r>
        <w:rPr>
          <w:i/>
        </w:rPr>
        <w:t xml:space="preserve">8.tabula </w:t>
      </w:r>
    </w:p>
    <w:p w:rsidR="00601746" w:rsidP="004C0A1E" w14:paraId="5D74F6F0" w14:textId="200D5B01">
      <w:pPr>
        <w:autoSpaceDE w:val="0"/>
        <w:autoSpaceDN w:val="0"/>
        <w:adjustRightInd w:val="0"/>
        <w:spacing w:line="293" w:lineRule="atLeast"/>
        <w:ind w:firstLine="720"/>
        <w:jc w:val="center"/>
      </w:pPr>
      <w:r>
        <w:t>Faktiski veiktās speciālistu konsultācijas 2017.gadā</w:t>
      </w:r>
    </w:p>
    <w:p w:rsidR="00601746" w:rsidP="007530BC" w14:paraId="62430AB5" w14:textId="77777777">
      <w:pPr>
        <w:autoSpaceDE w:val="0"/>
        <w:autoSpaceDN w:val="0"/>
        <w:adjustRightInd w:val="0"/>
        <w:spacing w:line="293" w:lineRule="atLeast"/>
        <w:ind w:firstLine="720"/>
        <w:jc w:val="both"/>
      </w:pPr>
    </w:p>
    <w:tbl>
      <w:tblPr>
        <w:tblW w:w="8160" w:type="dxa"/>
        <w:jc w:val="center"/>
        <w:tblLook w:val="04A0"/>
      </w:tblPr>
      <w:tblGrid>
        <w:gridCol w:w="640"/>
        <w:gridCol w:w="2621"/>
        <w:gridCol w:w="2835"/>
        <w:gridCol w:w="2064"/>
      </w:tblGrid>
      <w:tr w14:paraId="34C60A06" w14:textId="77777777" w:rsidTr="0004769C">
        <w:tblPrEx>
          <w:tblW w:w="8160" w:type="dxa"/>
          <w:jc w:val="center"/>
          <w:tblLook w:val="04A0"/>
        </w:tblPrEx>
        <w:trPr>
          <w:trHeight w:val="1500"/>
          <w:jc w:val="center"/>
        </w:trPr>
        <w:tc>
          <w:tcPr>
            <w:tcW w:w="640" w:type="dxa"/>
            <w:vMerge w:val="restart"/>
            <w:tcBorders>
              <w:top w:val="single" w:sz="4" w:space="0" w:color="auto"/>
              <w:left w:val="nil"/>
              <w:bottom w:val="nil"/>
              <w:right w:val="single" w:sz="4" w:space="0" w:color="auto"/>
            </w:tcBorders>
            <w:shd w:val="clear" w:color="000000" w:fill="92D050"/>
            <w:noWrap/>
            <w:textDirection w:val="btLr"/>
            <w:vAlign w:val="center"/>
            <w:hideMark/>
          </w:tcPr>
          <w:p w:rsidR="00601746" w:rsidRPr="00601746" w:rsidP="00601746" w14:paraId="3DC2A7EF" w14:textId="77777777">
            <w:pPr>
              <w:jc w:val="center"/>
              <w:rPr>
                <w:color w:val="000000"/>
                <w:sz w:val="20"/>
                <w:szCs w:val="20"/>
              </w:rPr>
            </w:pPr>
            <w:r w:rsidRPr="00601746">
              <w:rPr>
                <w:color w:val="000000"/>
                <w:sz w:val="20"/>
                <w:szCs w:val="20"/>
              </w:rPr>
              <w:t>Speciālistu konsultācijas</w:t>
            </w:r>
          </w:p>
        </w:tc>
        <w:tc>
          <w:tcPr>
            <w:tcW w:w="2621" w:type="dxa"/>
            <w:tcBorders>
              <w:top w:val="single" w:sz="4" w:space="0" w:color="auto"/>
              <w:left w:val="nil"/>
              <w:bottom w:val="single" w:sz="4" w:space="0" w:color="auto"/>
              <w:right w:val="single" w:sz="4" w:space="0" w:color="auto"/>
            </w:tcBorders>
            <w:shd w:val="clear" w:color="000000" w:fill="92D050"/>
            <w:vAlign w:val="center"/>
            <w:hideMark/>
          </w:tcPr>
          <w:p w:rsidR="00601746" w:rsidRPr="00601746" w:rsidP="00601746" w14:paraId="6FB13ECF" w14:textId="77777777">
            <w:pPr>
              <w:jc w:val="center"/>
              <w:rPr>
                <w:b/>
                <w:bCs/>
                <w:color w:val="000000"/>
                <w:sz w:val="20"/>
                <w:szCs w:val="20"/>
              </w:rPr>
            </w:pPr>
            <w:r w:rsidRPr="00601746">
              <w:rPr>
                <w:b/>
                <w:bCs/>
                <w:color w:val="000000"/>
                <w:sz w:val="20"/>
                <w:szCs w:val="20"/>
              </w:rPr>
              <w:t>Pakalpojumu veida nosaukums</w:t>
            </w:r>
          </w:p>
        </w:tc>
        <w:tc>
          <w:tcPr>
            <w:tcW w:w="2835" w:type="dxa"/>
            <w:tcBorders>
              <w:top w:val="single" w:sz="4" w:space="0" w:color="auto"/>
              <w:left w:val="nil"/>
              <w:bottom w:val="single" w:sz="4" w:space="0" w:color="auto"/>
              <w:right w:val="single" w:sz="4" w:space="0" w:color="auto"/>
            </w:tcBorders>
            <w:shd w:val="clear" w:color="000000" w:fill="92D050"/>
            <w:vAlign w:val="center"/>
            <w:hideMark/>
          </w:tcPr>
          <w:p w:rsidR="00601746" w:rsidRPr="00601746" w:rsidP="00601746" w14:paraId="7DC373DF" w14:textId="77777777">
            <w:pPr>
              <w:jc w:val="center"/>
              <w:rPr>
                <w:b/>
                <w:bCs/>
                <w:color w:val="000000"/>
                <w:sz w:val="20"/>
                <w:szCs w:val="20"/>
              </w:rPr>
            </w:pPr>
            <w:r w:rsidRPr="00601746">
              <w:rPr>
                <w:b/>
                <w:bCs/>
                <w:color w:val="000000"/>
                <w:sz w:val="20"/>
                <w:szCs w:val="20"/>
              </w:rPr>
              <w:t>Faktiski veiktais darbs 2017.gadā (t.sk. pacienta iemaksas kompensācija), gaidīšanas rindu mazināšanas finansējums, EUR</w:t>
            </w:r>
          </w:p>
        </w:tc>
        <w:tc>
          <w:tcPr>
            <w:tcW w:w="2064" w:type="dxa"/>
            <w:tcBorders>
              <w:top w:val="single" w:sz="4" w:space="0" w:color="auto"/>
              <w:left w:val="nil"/>
              <w:bottom w:val="single" w:sz="4" w:space="0" w:color="auto"/>
              <w:right w:val="single" w:sz="4" w:space="0" w:color="auto"/>
            </w:tcBorders>
            <w:shd w:val="clear" w:color="000000" w:fill="92D050"/>
            <w:vAlign w:val="center"/>
            <w:hideMark/>
          </w:tcPr>
          <w:p w:rsidR="00601746" w:rsidRPr="00601746" w:rsidP="00601746" w14:paraId="4E4128C6" w14:textId="77777777">
            <w:pPr>
              <w:jc w:val="center"/>
              <w:rPr>
                <w:b/>
                <w:bCs/>
                <w:color w:val="000000"/>
                <w:sz w:val="20"/>
                <w:szCs w:val="20"/>
              </w:rPr>
            </w:pPr>
            <w:r w:rsidRPr="00601746">
              <w:rPr>
                <w:b/>
                <w:bCs/>
                <w:color w:val="000000"/>
                <w:sz w:val="20"/>
                <w:szCs w:val="20"/>
              </w:rPr>
              <w:t>Faktiski veiktais izmeklējumu skaits 2017.gadā</w:t>
            </w:r>
          </w:p>
        </w:tc>
      </w:tr>
      <w:tr w14:paraId="67C04F0F"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2C7B56B5"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12BA1F05" w14:textId="77777777">
            <w:pPr>
              <w:rPr>
                <w:color w:val="000000"/>
                <w:sz w:val="20"/>
                <w:szCs w:val="20"/>
              </w:rPr>
            </w:pPr>
            <w:r w:rsidRPr="00601746">
              <w:rPr>
                <w:color w:val="000000"/>
                <w:sz w:val="20"/>
                <w:szCs w:val="20"/>
              </w:rPr>
              <w:t>Alergoloģija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0944BE50" w14:textId="5042EB57">
            <w:pPr>
              <w:jc w:val="center"/>
              <w:rPr>
                <w:color w:val="000000"/>
                <w:sz w:val="20"/>
                <w:szCs w:val="20"/>
              </w:rPr>
            </w:pPr>
            <w:r>
              <w:rPr>
                <w:color w:val="000000"/>
                <w:sz w:val="20"/>
                <w:szCs w:val="20"/>
              </w:rPr>
              <w:t>13 241</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2D45BF15" w14:textId="0F0F80C2">
            <w:pPr>
              <w:jc w:val="center"/>
              <w:rPr>
                <w:color w:val="000000"/>
                <w:sz w:val="20"/>
                <w:szCs w:val="20"/>
              </w:rPr>
            </w:pPr>
            <w:r>
              <w:rPr>
                <w:color w:val="000000"/>
                <w:sz w:val="20"/>
                <w:szCs w:val="20"/>
              </w:rPr>
              <w:t>518</w:t>
            </w:r>
          </w:p>
        </w:tc>
      </w:tr>
      <w:tr w14:paraId="58E18D54"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57A5E8C3"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12DF536A" w14:textId="77777777">
            <w:pPr>
              <w:rPr>
                <w:color w:val="000000"/>
                <w:sz w:val="20"/>
                <w:szCs w:val="20"/>
              </w:rPr>
            </w:pPr>
            <w:r w:rsidRPr="00601746">
              <w:rPr>
                <w:color w:val="000000"/>
                <w:sz w:val="20"/>
                <w:szCs w:val="20"/>
              </w:rPr>
              <w:t>Algoloģija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1C8FC36E" w14:textId="720AEA84">
            <w:pPr>
              <w:jc w:val="center"/>
              <w:rPr>
                <w:color w:val="000000"/>
                <w:sz w:val="20"/>
                <w:szCs w:val="20"/>
              </w:rPr>
            </w:pPr>
            <w:r>
              <w:rPr>
                <w:color w:val="000000"/>
                <w:sz w:val="20"/>
                <w:szCs w:val="20"/>
              </w:rPr>
              <w:t>766</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52491619" w14:textId="012D873C">
            <w:pPr>
              <w:jc w:val="center"/>
              <w:rPr>
                <w:color w:val="000000"/>
                <w:sz w:val="20"/>
                <w:szCs w:val="20"/>
              </w:rPr>
            </w:pPr>
            <w:r>
              <w:rPr>
                <w:color w:val="000000"/>
                <w:sz w:val="20"/>
                <w:szCs w:val="20"/>
              </w:rPr>
              <w:t>60</w:t>
            </w:r>
          </w:p>
        </w:tc>
      </w:tr>
      <w:tr w14:paraId="1E508978"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5FF7BDF5"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3E3F562B" w14:textId="77777777">
            <w:pPr>
              <w:rPr>
                <w:color w:val="000000"/>
                <w:sz w:val="20"/>
                <w:szCs w:val="20"/>
              </w:rPr>
            </w:pPr>
            <w:r w:rsidRPr="00601746">
              <w:rPr>
                <w:color w:val="000000"/>
                <w:sz w:val="20"/>
                <w:szCs w:val="20"/>
              </w:rPr>
              <w:t>Anestezioloģija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1ED97442" w14:textId="6A33176C">
            <w:pPr>
              <w:jc w:val="center"/>
              <w:rPr>
                <w:color w:val="000000"/>
                <w:sz w:val="20"/>
                <w:szCs w:val="20"/>
              </w:rPr>
            </w:pPr>
            <w:r>
              <w:rPr>
                <w:color w:val="000000"/>
                <w:sz w:val="20"/>
                <w:szCs w:val="20"/>
              </w:rPr>
              <w:t>101 199</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174DCA24" w14:textId="0BB5C8C7">
            <w:pPr>
              <w:jc w:val="center"/>
              <w:rPr>
                <w:color w:val="000000"/>
                <w:sz w:val="20"/>
                <w:szCs w:val="20"/>
              </w:rPr>
            </w:pPr>
            <w:r>
              <w:rPr>
                <w:color w:val="000000"/>
                <w:sz w:val="20"/>
                <w:szCs w:val="20"/>
              </w:rPr>
              <w:t>5 502</w:t>
            </w:r>
          </w:p>
        </w:tc>
      </w:tr>
      <w:tr w14:paraId="29E294B8"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12B67186"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7C2DEC9B" w14:textId="77777777">
            <w:pPr>
              <w:rPr>
                <w:color w:val="000000"/>
                <w:sz w:val="20"/>
                <w:szCs w:val="20"/>
              </w:rPr>
            </w:pPr>
            <w:r w:rsidRPr="00601746">
              <w:rPr>
                <w:color w:val="000000"/>
                <w:sz w:val="20"/>
                <w:szCs w:val="20"/>
              </w:rPr>
              <w:t>Arodslimību speciālisti</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08DAE8BA" w14:textId="69775C52">
            <w:pPr>
              <w:jc w:val="center"/>
              <w:rPr>
                <w:color w:val="000000"/>
                <w:sz w:val="20"/>
                <w:szCs w:val="20"/>
              </w:rPr>
            </w:pPr>
            <w:r>
              <w:rPr>
                <w:color w:val="000000"/>
                <w:sz w:val="20"/>
                <w:szCs w:val="20"/>
              </w:rPr>
              <w:t>1 535</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511EE922" w14:textId="42AB47AD">
            <w:pPr>
              <w:jc w:val="center"/>
              <w:rPr>
                <w:color w:val="000000"/>
                <w:sz w:val="20"/>
                <w:szCs w:val="20"/>
              </w:rPr>
            </w:pPr>
            <w:r>
              <w:rPr>
                <w:color w:val="000000"/>
                <w:sz w:val="20"/>
                <w:szCs w:val="20"/>
              </w:rPr>
              <w:t>133</w:t>
            </w:r>
          </w:p>
        </w:tc>
      </w:tr>
      <w:tr w14:paraId="6A494974"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747028BD"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0DD7C8F5" w14:textId="77777777">
            <w:pPr>
              <w:rPr>
                <w:color w:val="000000"/>
                <w:sz w:val="20"/>
                <w:szCs w:val="20"/>
              </w:rPr>
            </w:pPr>
            <w:r w:rsidRPr="00601746">
              <w:rPr>
                <w:color w:val="000000"/>
                <w:sz w:val="20"/>
                <w:szCs w:val="20"/>
              </w:rPr>
              <w:t>Dermatoveneroloģija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2A4520DE" w14:textId="7BA13FF9">
            <w:pPr>
              <w:jc w:val="center"/>
              <w:rPr>
                <w:color w:val="000000"/>
                <w:sz w:val="20"/>
                <w:szCs w:val="20"/>
              </w:rPr>
            </w:pPr>
            <w:r>
              <w:rPr>
                <w:color w:val="000000"/>
                <w:sz w:val="20"/>
                <w:szCs w:val="20"/>
              </w:rPr>
              <w:t>131 095</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390AB187" w14:textId="10B5BFCD">
            <w:pPr>
              <w:jc w:val="center"/>
              <w:rPr>
                <w:color w:val="000000"/>
                <w:sz w:val="20"/>
                <w:szCs w:val="20"/>
              </w:rPr>
            </w:pPr>
            <w:r>
              <w:rPr>
                <w:color w:val="000000"/>
                <w:sz w:val="20"/>
                <w:szCs w:val="20"/>
              </w:rPr>
              <w:t>9 900</w:t>
            </w:r>
          </w:p>
        </w:tc>
      </w:tr>
      <w:tr w14:paraId="5E961779"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1893D6F0"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7AA968F6" w14:textId="77777777">
            <w:pPr>
              <w:rPr>
                <w:color w:val="000000"/>
                <w:sz w:val="20"/>
                <w:szCs w:val="20"/>
              </w:rPr>
            </w:pPr>
            <w:r w:rsidRPr="00601746">
              <w:rPr>
                <w:color w:val="000000"/>
                <w:sz w:val="20"/>
                <w:szCs w:val="20"/>
              </w:rPr>
              <w:t>Endokrinoloģija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502C92E9" w14:textId="3C6EF0D8">
            <w:pPr>
              <w:jc w:val="center"/>
              <w:rPr>
                <w:color w:val="000000"/>
                <w:sz w:val="20"/>
                <w:szCs w:val="20"/>
              </w:rPr>
            </w:pPr>
            <w:r>
              <w:rPr>
                <w:color w:val="000000"/>
                <w:sz w:val="20"/>
                <w:szCs w:val="20"/>
              </w:rPr>
              <w:t>59 268</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590CE410" w14:textId="182F5242">
            <w:pPr>
              <w:jc w:val="center"/>
              <w:rPr>
                <w:color w:val="000000"/>
                <w:sz w:val="20"/>
                <w:szCs w:val="20"/>
              </w:rPr>
            </w:pPr>
            <w:r>
              <w:rPr>
                <w:color w:val="000000"/>
                <w:sz w:val="20"/>
                <w:szCs w:val="20"/>
              </w:rPr>
              <w:t>5 244</w:t>
            </w:r>
          </w:p>
        </w:tc>
      </w:tr>
      <w:tr w14:paraId="539C1ED6"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3F0F58BF"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4ACC5E6B" w14:textId="77777777">
            <w:pPr>
              <w:rPr>
                <w:color w:val="000000"/>
                <w:sz w:val="20"/>
                <w:szCs w:val="20"/>
              </w:rPr>
            </w:pPr>
            <w:r w:rsidRPr="00601746">
              <w:rPr>
                <w:color w:val="000000"/>
                <w:sz w:val="20"/>
                <w:szCs w:val="20"/>
              </w:rPr>
              <w:t>Gastroenteroloģija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1D4F1035" w14:textId="6831E804">
            <w:pPr>
              <w:jc w:val="center"/>
              <w:rPr>
                <w:color w:val="000000"/>
                <w:sz w:val="20"/>
                <w:szCs w:val="20"/>
              </w:rPr>
            </w:pPr>
            <w:r>
              <w:rPr>
                <w:color w:val="000000"/>
                <w:sz w:val="20"/>
                <w:szCs w:val="20"/>
              </w:rPr>
              <w:t>21 370</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7D2D72DA" w14:textId="317210A8">
            <w:pPr>
              <w:jc w:val="center"/>
              <w:rPr>
                <w:color w:val="000000"/>
                <w:sz w:val="20"/>
                <w:szCs w:val="20"/>
              </w:rPr>
            </w:pPr>
            <w:r>
              <w:rPr>
                <w:color w:val="000000"/>
                <w:sz w:val="20"/>
                <w:szCs w:val="20"/>
              </w:rPr>
              <w:t>1 657</w:t>
            </w:r>
          </w:p>
        </w:tc>
      </w:tr>
      <w:tr w14:paraId="7EDF51E2"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2757EB82"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72F2A60D" w14:textId="77777777">
            <w:pPr>
              <w:rPr>
                <w:color w:val="000000"/>
                <w:sz w:val="20"/>
                <w:szCs w:val="20"/>
              </w:rPr>
            </w:pPr>
            <w:r w:rsidRPr="00601746">
              <w:rPr>
                <w:color w:val="000000"/>
                <w:sz w:val="20"/>
                <w:szCs w:val="20"/>
              </w:rPr>
              <w:t>Ginekoloģija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61D93A08" w14:textId="11C02309">
            <w:pPr>
              <w:jc w:val="center"/>
              <w:rPr>
                <w:color w:val="000000"/>
                <w:sz w:val="20"/>
                <w:szCs w:val="20"/>
              </w:rPr>
            </w:pPr>
            <w:r>
              <w:rPr>
                <w:color w:val="000000"/>
                <w:sz w:val="20"/>
                <w:szCs w:val="20"/>
              </w:rPr>
              <w:t>177 348</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659421BE" w14:textId="6EA9A66E">
            <w:pPr>
              <w:jc w:val="center"/>
              <w:rPr>
                <w:color w:val="000000"/>
                <w:sz w:val="20"/>
                <w:szCs w:val="20"/>
              </w:rPr>
            </w:pPr>
            <w:r>
              <w:rPr>
                <w:color w:val="000000"/>
                <w:sz w:val="20"/>
                <w:szCs w:val="20"/>
              </w:rPr>
              <w:t>19 815</w:t>
            </w:r>
          </w:p>
        </w:tc>
      </w:tr>
      <w:tr w14:paraId="5C0A8F47"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58553F77"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59709584" w14:textId="77777777">
            <w:pPr>
              <w:rPr>
                <w:color w:val="000000"/>
                <w:sz w:val="20"/>
                <w:szCs w:val="20"/>
              </w:rPr>
            </w:pPr>
            <w:r w:rsidRPr="00601746">
              <w:rPr>
                <w:color w:val="000000"/>
                <w:sz w:val="20"/>
                <w:szCs w:val="20"/>
              </w:rPr>
              <w:t>Hematoloģija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4F24C843" w14:textId="5248BB20">
            <w:pPr>
              <w:jc w:val="center"/>
              <w:rPr>
                <w:color w:val="000000"/>
                <w:sz w:val="20"/>
                <w:szCs w:val="20"/>
              </w:rPr>
            </w:pPr>
            <w:r>
              <w:rPr>
                <w:color w:val="000000"/>
                <w:sz w:val="20"/>
                <w:szCs w:val="20"/>
              </w:rPr>
              <w:t>2 024</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51238DFA" w14:textId="60E4AE43">
            <w:pPr>
              <w:jc w:val="center"/>
              <w:rPr>
                <w:color w:val="000000"/>
                <w:sz w:val="20"/>
                <w:szCs w:val="20"/>
              </w:rPr>
            </w:pPr>
            <w:r>
              <w:rPr>
                <w:color w:val="000000"/>
                <w:sz w:val="20"/>
                <w:szCs w:val="20"/>
              </w:rPr>
              <w:t>147</w:t>
            </w:r>
          </w:p>
        </w:tc>
      </w:tr>
      <w:tr w14:paraId="00091C73"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1C27805F"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32746D5E" w14:textId="77777777">
            <w:pPr>
              <w:rPr>
                <w:color w:val="000000"/>
                <w:sz w:val="20"/>
                <w:szCs w:val="20"/>
              </w:rPr>
            </w:pPr>
            <w:r w:rsidRPr="00601746">
              <w:rPr>
                <w:color w:val="000000"/>
                <w:sz w:val="20"/>
                <w:szCs w:val="20"/>
              </w:rPr>
              <w:t>Infektoloģija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3794731C" w14:textId="16BCF4A8">
            <w:pPr>
              <w:jc w:val="center"/>
              <w:rPr>
                <w:color w:val="000000"/>
                <w:sz w:val="20"/>
                <w:szCs w:val="20"/>
              </w:rPr>
            </w:pPr>
            <w:r>
              <w:rPr>
                <w:color w:val="000000"/>
                <w:sz w:val="20"/>
                <w:szCs w:val="20"/>
              </w:rPr>
              <w:t>284</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5510C958" w14:textId="7DBEFF9A">
            <w:pPr>
              <w:jc w:val="center"/>
              <w:rPr>
                <w:color w:val="000000"/>
                <w:sz w:val="20"/>
                <w:szCs w:val="20"/>
              </w:rPr>
            </w:pPr>
            <w:r>
              <w:rPr>
                <w:color w:val="000000"/>
                <w:sz w:val="20"/>
                <w:szCs w:val="20"/>
              </w:rPr>
              <w:t>19</w:t>
            </w:r>
          </w:p>
        </w:tc>
      </w:tr>
      <w:tr w14:paraId="7959F19A"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78951555"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0A604882" w14:textId="77777777">
            <w:pPr>
              <w:rPr>
                <w:color w:val="000000"/>
                <w:sz w:val="20"/>
                <w:szCs w:val="20"/>
              </w:rPr>
            </w:pPr>
            <w:r w:rsidRPr="00601746">
              <w:rPr>
                <w:color w:val="000000"/>
                <w:sz w:val="20"/>
                <w:szCs w:val="20"/>
              </w:rPr>
              <w:t>Internā medicīna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2ACA5043" w14:textId="4FE0843E">
            <w:pPr>
              <w:jc w:val="center"/>
              <w:rPr>
                <w:color w:val="000000"/>
                <w:sz w:val="20"/>
                <w:szCs w:val="20"/>
              </w:rPr>
            </w:pPr>
            <w:r>
              <w:rPr>
                <w:color w:val="000000"/>
                <w:sz w:val="20"/>
                <w:szCs w:val="20"/>
              </w:rPr>
              <w:t>2 819</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2E75D430" w14:textId="2FA12050">
            <w:pPr>
              <w:jc w:val="center"/>
              <w:rPr>
                <w:color w:val="000000"/>
                <w:sz w:val="20"/>
                <w:szCs w:val="20"/>
              </w:rPr>
            </w:pPr>
            <w:r>
              <w:rPr>
                <w:color w:val="000000"/>
                <w:sz w:val="20"/>
                <w:szCs w:val="20"/>
              </w:rPr>
              <w:t>174</w:t>
            </w:r>
          </w:p>
        </w:tc>
      </w:tr>
      <w:tr w14:paraId="4A9F5F31"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0A969BAE"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4EDF2A11" w14:textId="77777777">
            <w:pPr>
              <w:rPr>
                <w:color w:val="000000"/>
                <w:sz w:val="20"/>
                <w:szCs w:val="20"/>
              </w:rPr>
            </w:pPr>
            <w:r w:rsidRPr="00601746">
              <w:rPr>
                <w:color w:val="000000"/>
                <w:sz w:val="20"/>
                <w:szCs w:val="20"/>
              </w:rPr>
              <w:t>Kardioloģija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625DAF6E" w14:textId="5B49A28A">
            <w:pPr>
              <w:jc w:val="center"/>
              <w:rPr>
                <w:color w:val="000000"/>
                <w:sz w:val="20"/>
                <w:szCs w:val="20"/>
              </w:rPr>
            </w:pPr>
            <w:r>
              <w:rPr>
                <w:color w:val="000000"/>
                <w:sz w:val="20"/>
                <w:szCs w:val="20"/>
              </w:rPr>
              <w:t>34 558</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3F200652" w14:textId="5A134543">
            <w:pPr>
              <w:jc w:val="center"/>
              <w:rPr>
                <w:color w:val="000000"/>
                <w:sz w:val="20"/>
                <w:szCs w:val="20"/>
              </w:rPr>
            </w:pPr>
            <w:r>
              <w:rPr>
                <w:color w:val="000000"/>
                <w:sz w:val="20"/>
                <w:szCs w:val="20"/>
              </w:rPr>
              <w:t>2 755</w:t>
            </w:r>
          </w:p>
        </w:tc>
      </w:tr>
      <w:tr w14:paraId="7F88111E"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5F13A7C0"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10175F7F" w14:textId="77777777">
            <w:pPr>
              <w:rPr>
                <w:color w:val="000000"/>
                <w:sz w:val="20"/>
                <w:szCs w:val="20"/>
              </w:rPr>
            </w:pPr>
            <w:r w:rsidRPr="00601746">
              <w:rPr>
                <w:color w:val="000000"/>
                <w:sz w:val="20"/>
                <w:szCs w:val="20"/>
              </w:rPr>
              <w:t>Ķirurģija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6BB75071" w14:textId="49345604">
            <w:pPr>
              <w:jc w:val="center"/>
              <w:rPr>
                <w:color w:val="000000"/>
                <w:sz w:val="20"/>
                <w:szCs w:val="20"/>
              </w:rPr>
            </w:pPr>
            <w:r>
              <w:rPr>
                <w:color w:val="000000"/>
                <w:sz w:val="20"/>
                <w:szCs w:val="20"/>
              </w:rPr>
              <w:t>298 782</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7295FFED" w14:textId="3734C9D0">
            <w:pPr>
              <w:jc w:val="center"/>
              <w:rPr>
                <w:color w:val="000000"/>
                <w:sz w:val="20"/>
                <w:szCs w:val="20"/>
              </w:rPr>
            </w:pPr>
            <w:r>
              <w:rPr>
                <w:color w:val="000000"/>
                <w:sz w:val="20"/>
                <w:szCs w:val="20"/>
              </w:rPr>
              <w:t>17 173</w:t>
            </w:r>
          </w:p>
        </w:tc>
      </w:tr>
      <w:tr w14:paraId="024AAE8F"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2205AD01"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4ECAB1A4" w14:textId="77777777">
            <w:pPr>
              <w:rPr>
                <w:color w:val="000000"/>
                <w:sz w:val="20"/>
                <w:szCs w:val="20"/>
              </w:rPr>
            </w:pPr>
            <w:r w:rsidRPr="00601746">
              <w:rPr>
                <w:color w:val="000000"/>
                <w:sz w:val="20"/>
                <w:szCs w:val="20"/>
              </w:rPr>
              <w:t>Narkoloģija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510DB5D9" w14:textId="4A69E631">
            <w:pPr>
              <w:jc w:val="center"/>
              <w:rPr>
                <w:color w:val="000000"/>
                <w:sz w:val="20"/>
                <w:szCs w:val="20"/>
              </w:rPr>
            </w:pPr>
            <w:r>
              <w:rPr>
                <w:color w:val="000000"/>
                <w:sz w:val="20"/>
                <w:szCs w:val="20"/>
              </w:rPr>
              <w:t>12 670</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1606146F" w14:textId="29FC227D">
            <w:pPr>
              <w:jc w:val="center"/>
              <w:rPr>
                <w:color w:val="000000"/>
                <w:sz w:val="20"/>
                <w:szCs w:val="20"/>
              </w:rPr>
            </w:pPr>
            <w:r>
              <w:rPr>
                <w:color w:val="000000"/>
                <w:sz w:val="20"/>
                <w:szCs w:val="20"/>
              </w:rPr>
              <w:t>1 143</w:t>
            </w:r>
          </w:p>
        </w:tc>
      </w:tr>
      <w:tr w14:paraId="6302641E"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06175B53"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49173B8C" w14:textId="77777777">
            <w:pPr>
              <w:rPr>
                <w:color w:val="000000"/>
                <w:sz w:val="20"/>
                <w:szCs w:val="20"/>
              </w:rPr>
            </w:pPr>
            <w:r w:rsidRPr="00601746">
              <w:rPr>
                <w:color w:val="000000"/>
                <w:sz w:val="20"/>
                <w:szCs w:val="20"/>
              </w:rPr>
              <w:t>Nefroloģija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1B5443C4" w14:textId="1D909503">
            <w:pPr>
              <w:jc w:val="center"/>
              <w:rPr>
                <w:color w:val="000000"/>
                <w:sz w:val="20"/>
                <w:szCs w:val="20"/>
              </w:rPr>
            </w:pPr>
            <w:r>
              <w:rPr>
                <w:color w:val="000000"/>
                <w:sz w:val="20"/>
                <w:szCs w:val="20"/>
              </w:rPr>
              <w:t>25 440</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0AB87F90" w14:textId="06D62084">
            <w:pPr>
              <w:jc w:val="center"/>
              <w:rPr>
                <w:color w:val="000000"/>
                <w:sz w:val="20"/>
                <w:szCs w:val="20"/>
              </w:rPr>
            </w:pPr>
            <w:r>
              <w:rPr>
                <w:color w:val="000000"/>
                <w:sz w:val="20"/>
                <w:szCs w:val="20"/>
              </w:rPr>
              <w:t>2 062</w:t>
            </w:r>
          </w:p>
        </w:tc>
      </w:tr>
      <w:tr w14:paraId="00C3E77E"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6DC7C490"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23CCB735" w14:textId="77777777">
            <w:pPr>
              <w:rPr>
                <w:color w:val="000000"/>
                <w:sz w:val="20"/>
                <w:szCs w:val="20"/>
              </w:rPr>
            </w:pPr>
            <w:r w:rsidRPr="00601746">
              <w:rPr>
                <w:color w:val="000000"/>
                <w:sz w:val="20"/>
                <w:szCs w:val="20"/>
              </w:rPr>
              <w:t>Neiroloģija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7F9D3F7F" w14:textId="1E74BF68">
            <w:pPr>
              <w:jc w:val="center"/>
              <w:rPr>
                <w:color w:val="000000"/>
                <w:sz w:val="20"/>
                <w:szCs w:val="20"/>
              </w:rPr>
            </w:pPr>
            <w:r>
              <w:rPr>
                <w:color w:val="000000"/>
                <w:sz w:val="20"/>
                <w:szCs w:val="20"/>
              </w:rPr>
              <w:t>35 131</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4E99E3C5" w14:textId="46F68293">
            <w:pPr>
              <w:jc w:val="center"/>
              <w:rPr>
                <w:color w:val="000000"/>
                <w:sz w:val="20"/>
                <w:szCs w:val="20"/>
              </w:rPr>
            </w:pPr>
            <w:r>
              <w:rPr>
                <w:color w:val="000000"/>
                <w:sz w:val="20"/>
                <w:szCs w:val="20"/>
              </w:rPr>
              <w:t>2 573</w:t>
            </w:r>
          </w:p>
        </w:tc>
      </w:tr>
      <w:tr w14:paraId="46838702"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769487F7"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3B30FB9A" w14:textId="77777777">
            <w:pPr>
              <w:rPr>
                <w:color w:val="000000"/>
                <w:sz w:val="20"/>
                <w:szCs w:val="20"/>
              </w:rPr>
            </w:pPr>
            <w:r w:rsidRPr="00601746">
              <w:rPr>
                <w:color w:val="000000"/>
                <w:sz w:val="20"/>
                <w:szCs w:val="20"/>
              </w:rPr>
              <w:t>Oftalmoloģija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61312579" w14:textId="570CF270">
            <w:pPr>
              <w:jc w:val="center"/>
              <w:rPr>
                <w:color w:val="000000"/>
                <w:sz w:val="20"/>
                <w:szCs w:val="20"/>
              </w:rPr>
            </w:pPr>
            <w:r>
              <w:rPr>
                <w:color w:val="000000"/>
                <w:sz w:val="20"/>
                <w:szCs w:val="20"/>
              </w:rPr>
              <w:t>1 011 404</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35778DB1" w14:textId="50D06832">
            <w:pPr>
              <w:jc w:val="center"/>
              <w:rPr>
                <w:color w:val="000000"/>
                <w:sz w:val="20"/>
                <w:szCs w:val="20"/>
              </w:rPr>
            </w:pPr>
            <w:r>
              <w:rPr>
                <w:color w:val="000000"/>
                <w:sz w:val="20"/>
                <w:szCs w:val="20"/>
              </w:rPr>
              <w:t>46 357</w:t>
            </w:r>
          </w:p>
        </w:tc>
      </w:tr>
      <w:tr w14:paraId="1373EBFA"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3EDF2B0C"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1283449A" w14:textId="77777777">
            <w:pPr>
              <w:rPr>
                <w:color w:val="000000"/>
                <w:sz w:val="20"/>
                <w:szCs w:val="20"/>
              </w:rPr>
            </w:pPr>
            <w:r w:rsidRPr="00601746">
              <w:rPr>
                <w:color w:val="000000"/>
                <w:sz w:val="20"/>
                <w:szCs w:val="20"/>
              </w:rPr>
              <w:t>Onkoloģija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50EB883C" w14:textId="6220B30C">
            <w:pPr>
              <w:jc w:val="center"/>
              <w:rPr>
                <w:color w:val="000000"/>
                <w:sz w:val="20"/>
                <w:szCs w:val="20"/>
              </w:rPr>
            </w:pPr>
            <w:r>
              <w:rPr>
                <w:color w:val="000000"/>
                <w:sz w:val="20"/>
                <w:szCs w:val="20"/>
              </w:rPr>
              <w:t>15 065</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76D639CA" w14:textId="5A653D9C">
            <w:pPr>
              <w:jc w:val="center"/>
              <w:rPr>
                <w:color w:val="000000"/>
                <w:sz w:val="20"/>
                <w:szCs w:val="20"/>
              </w:rPr>
            </w:pPr>
            <w:r>
              <w:rPr>
                <w:color w:val="000000"/>
                <w:sz w:val="20"/>
                <w:szCs w:val="20"/>
              </w:rPr>
              <w:t>1 274</w:t>
            </w:r>
          </w:p>
        </w:tc>
      </w:tr>
      <w:tr w14:paraId="4DD0231E"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61309762"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202C61F8" w14:textId="77777777">
            <w:pPr>
              <w:rPr>
                <w:color w:val="000000"/>
                <w:sz w:val="20"/>
                <w:szCs w:val="20"/>
              </w:rPr>
            </w:pPr>
            <w:r w:rsidRPr="00601746">
              <w:rPr>
                <w:color w:val="000000"/>
                <w:sz w:val="20"/>
                <w:szCs w:val="20"/>
              </w:rPr>
              <w:t>Otolaringoloģija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61B738FD" w14:textId="1499112D">
            <w:pPr>
              <w:jc w:val="center"/>
              <w:rPr>
                <w:color w:val="000000"/>
                <w:sz w:val="20"/>
                <w:szCs w:val="20"/>
              </w:rPr>
            </w:pPr>
            <w:r>
              <w:rPr>
                <w:color w:val="000000"/>
                <w:sz w:val="20"/>
                <w:szCs w:val="20"/>
              </w:rPr>
              <w:t>511 484</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4D123034" w14:textId="31984C7F">
            <w:pPr>
              <w:jc w:val="center"/>
              <w:rPr>
                <w:color w:val="000000"/>
                <w:sz w:val="20"/>
                <w:szCs w:val="20"/>
              </w:rPr>
            </w:pPr>
            <w:r>
              <w:rPr>
                <w:color w:val="000000"/>
                <w:sz w:val="20"/>
                <w:szCs w:val="20"/>
              </w:rPr>
              <w:t>21 209</w:t>
            </w:r>
          </w:p>
        </w:tc>
      </w:tr>
      <w:tr w14:paraId="1504A82A"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44E002C6"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60D74DB4" w14:textId="77777777">
            <w:pPr>
              <w:rPr>
                <w:color w:val="000000"/>
                <w:sz w:val="20"/>
                <w:szCs w:val="20"/>
              </w:rPr>
            </w:pPr>
            <w:r w:rsidRPr="00601746">
              <w:rPr>
                <w:color w:val="000000"/>
                <w:sz w:val="20"/>
                <w:szCs w:val="20"/>
              </w:rPr>
              <w:t>Pārējie speciālisti</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3ECCE22F" w14:textId="44D9FD22">
            <w:pPr>
              <w:jc w:val="center"/>
              <w:rPr>
                <w:color w:val="000000"/>
                <w:sz w:val="20"/>
                <w:szCs w:val="20"/>
              </w:rPr>
            </w:pPr>
            <w:r>
              <w:rPr>
                <w:color w:val="000000"/>
                <w:sz w:val="20"/>
                <w:szCs w:val="20"/>
              </w:rPr>
              <w:t>3 675</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550DFF36" w14:textId="5A7BCF3C">
            <w:pPr>
              <w:jc w:val="center"/>
              <w:rPr>
                <w:color w:val="000000"/>
                <w:sz w:val="20"/>
                <w:szCs w:val="20"/>
              </w:rPr>
            </w:pPr>
            <w:r>
              <w:rPr>
                <w:color w:val="000000"/>
                <w:sz w:val="20"/>
                <w:szCs w:val="20"/>
              </w:rPr>
              <w:t>276</w:t>
            </w:r>
          </w:p>
        </w:tc>
      </w:tr>
      <w:tr w14:paraId="2D340DB7"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6EB41C29"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0EA946FC" w14:textId="77777777">
            <w:pPr>
              <w:rPr>
                <w:color w:val="000000"/>
                <w:sz w:val="20"/>
                <w:szCs w:val="20"/>
              </w:rPr>
            </w:pPr>
            <w:r w:rsidRPr="00601746">
              <w:rPr>
                <w:color w:val="000000"/>
                <w:sz w:val="20"/>
                <w:szCs w:val="20"/>
              </w:rPr>
              <w:t>Pediatrija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0F14EF37" w14:textId="1371679D">
            <w:pPr>
              <w:jc w:val="center"/>
              <w:rPr>
                <w:color w:val="000000"/>
                <w:sz w:val="20"/>
                <w:szCs w:val="20"/>
              </w:rPr>
            </w:pPr>
            <w:r>
              <w:rPr>
                <w:color w:val="000000"/>
                <w:sz w:val="20"/>
                <w:szCs w:val="20"/>
              </w:rPr>
              <w:t>16 554</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3129D744" w14:textId="31477E3E">
            <w:pPr>
              <w:jc w:val="center"/>
              <w:rPr>
                <w:color w:val="000000"/>
                <w:sz w:val="20"/>
                <w:szCs w:val="20"/>
              </w:rPr>
            </w:pPr>
            <w:r>
              <w:rPr>
                <w:color w:val="000000"/>
                <w:sz w:val="20"/>
                <w:szCs w:val="20"/>
              </w:rPr>
              <w:t>696</w:t>
            </w:r>
          </w:p>
        </w:tc>
      </w:tr>
      <w:tr w14:paraId="62A7AE70"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40FF004B"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11BB1CC8" w14:textId="77777777">
            <w:pPr>
              <w:rPr>
                <w:color w:val="000000"/>
                <w:sz w:val="20"/>
                <w:szCs w:val="20"/>
              </w:rPr>
            </w:pPr>
            <w:r w:rsidRPr="00601746">
              <w:rPr>
                <w:color w:val="000000"/>
                <w:sz w:val="20"/>
                <w:szCs w:val="20"/>
              </w:rPr>
              <w:t>Psihiatrija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524BEED6" w14:textId="333BF646">
            <w:pPr>
              <w:jc w:val="center"/>
              <w:rPr>
                <w:color w:val="000000"/>
                <w:sz w:val="20"/>
                <w:szCs w:val="20"/>
              </w:rPr>
            </w:pPr>
            <w:r>
              <w:rPr>
                <w:color w:val="000000"/>
                <w:sz w:val="20"/>
                <w:szCs w:val="20"/>
              </w:rPr>
              <w:t>72 313</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46165AD6" w14:textId="7254B7FD">
            <w:pPr>
              <w:jc w:val="center"/>
              <w:rPr>
                <w:color w:val="000000"/>
                <w:sz w:val="20"/>
                <w:szCs w:val="20"/>
              </w:rPr>
            </w:pPr>
            <w:r>
              <w:rPr>
                <w:color w:val="000000"/>
                <w:sz w:val="20"/>
                <w:szCs w:val="20"/>
              </w:rPr>
              <w:t>4 698</w:t>
            </w:r>
          </w:p>
        </w:tc>
      </w:tr>
      <w:tr w14:paraId="5C6BF1D7"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55DBF1B4"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71D45942" w14:textId="77777777">
            <w:pPr>
              <w:rPr>
                <w:color w:val="000000"/>
                <w:sz w:val="20"/>
                <w:szCs w:val="20"/>
              </w:rPr>
            </w:pPr>
            <w:r w:rsidRPr="00601746">
              <w:rPr>
                <w:color w:val="000000"/>
                <w:sz w:val="20"/>
                <w:szCs w:val="20"/>
              </w:rPr>
              <w:t>Pulmonoloģija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7A713521" w14:textId="6422E8CC">
            <w:pPr>
              <w:jc w:val="center"/>
              <w:rPr>
                <w:color w:val="000000"/>
                <w:sz w:val="20"/>
                <w:szCs w:val="20"/>
              </w:rPr>
            </w:pPr>
            <w:r>
              <w:rPr>
                <w:color w:val="000000"/>
                <w:sz w:val="20"/>
                <w:szCs w:val="20"/>
              </w:rPr>
              <w:t>112 542</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64103270" w14:textId="697D97F4">
            <w:pPr>
              <w:jc w:val="center"/>
              <w:rPr>
                <w:color w:val="000000"/>
                <w:sz w:val="20"/>
                <w:szCs w:val="20"/>
              </w:rPr>
            </w:pPr>
            <w:r>
              <w:rPr>
                <w:color w:val="000000"/>
                <w:sz w:val="20"/>
                <w:szCs w:val="20"/>
              </w:rPr>
              <w:t>5 113</w:t>
            </w:r>
          </w:p>
        </w:tc>
      </w:tr>
      <w:tr w14:paraId="390B9965"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3429A850"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3D2ACB6C" w14:textId="77777777">
            <w:pPr>
              <w:rPr>
                <w:color w:val="000000"/>
                <w:sz w:val="20"/>
                <w:szCs w:val="20"/>
              </w:rPr>
            </w:pPr>
            <w:r w:rsidRPr="00601746">
              <w:rPr>
                <w:color w:val="000000"/>
                <w:sz w:val="20"/>
                <w:szCs w:val="20"/>
              </w:rPr>
              <w:t>Reimatoloģija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2DCAB737" w14:textId="0BD33896">
            <w:pPr>
              <w:jc w:val="center"/>
              <w:rPr>
                <w:color w:val="000000"/>
                <w:sz w:val="20"/>
                <w:szCs w:val="20"/>
              </w:rPr>
            </w:pPr>
            <w:r>
              <w:rPr>
                <w:color w:val="000000"/>
                <w:sz w:val="20"/>
                <w:szCs w:val="20"/>
              </w:rPr>
              <w:t>24 848</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54E38FAC" w14:textId="2FDC3805">
            <w:pPr>
              <w:jc w:val="center"/>
              <w:rPr>
                <w:color w:val="000000"/>
                <w:sz w:val="20"/>
                <w:szCs w:val="20"/>
              </w:rPr>
            </w:pPr>
            <w:r>
              <w:rPr>
                <w:color w:val="000000"/>
                <w:sz w:val="20"/>
                <w:szCs w:val="20"/>
              </w:rPr>
              <w:t>2 019</w:t>
            </w:r>
          </w:p>
        </w:tc>
      </w:tr>
      <w:tr w14:paraId="4B097844" w14:textId="77777777" w:rsidTr="0004769C">
        <w:tblPrEx>
          <w:tblW w:w="8160" w:type="dxa"/>
          <w:jc w:val="center"/>
          <w:tblLook w:val="04A0"/>
        </w:tblPrEx>
        <w:trPr>
          <w:trHeight w:val="525"/>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0D087E5A"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19E40130" w14:textId="77777777">
            <w:pPr>
              <w:rPr>
                <w:color w:val="000000"/>
                <w:sz w:val="20"/>
                <w:szCs w:val="20"/>
              </w:rPr>
            </w:pPr>
            <w:r w:rsidRPr="00601746">
              <w:rPr>
                <w:color w:val="000000"/>
                <w:sz w:val="20"/>
                <w:szCs w:val="20"/>
              </w:rPr>
              <w:t>Tiesu psihiatriskā un psiholoģiskā ekspertīze</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5B0E54A5" w14:textId="613857CD">
            <w:pPr>
              <w:jc w:val="center"/>
              <w:rPr>
                <w:color w:val="000000"/>
                <w:sz w:val="20"/>
                <w:szCs w:val="20"/>
              </w:rPr>
            </w:pPr>
            <w:r>
              <w:rPr>
                <w:color w:val="000000"/>
                <w:sz w:val="20"/>
                <w:szCs w:val="20"/>
              </w:rPr>
              <w:t>24 938</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4FD21F59" w14:textId="4B9F5EBD">
            <w:pPr>
              <w:jc w:val="center"/>
              <w:rPr>
                <w:color w:val="000000"/>
                <w:sz w:val="20"/>
                <w:szCs w:val="20"/>
              </w:rPr>
            </w:pPr>
            <w:r>
              <w:rPr>
                <w:color w:val="000000"/>
                <w:sz w:val="20"/>
                <w:szCs w:val="20"/>
              </w:rPr>
              <w:t>153</w:t>
            </w:r>
          </w:p>
        </w:tc>
      </w:tr>
      <w:tr w14:paraId="74C1AA60"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4557A7DD"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4ECF96FC" w14:textId="77777777">
            <w:pPr>
              <w:rPr>
                <w:color w:val="000000"/>
                <w:sz w:val="20"/>
                <w:szCs w:val="20"/>
              </w:rPr>
            </w:pPr>
            <w:r w:rsidRPr="00601746">
              <w:rPr>
                <w:color w:val="000000"/>
                <w:sz w:val="20"/>
                <w:szCs w:val="20"/>
              </w:rPr>
              <w:t>Traumatoloģija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0CE02940" w14:textId="3FC4EE71">
            <w:pPr>
              <w:jc w:val="center"/>
              <w:rPr>
                <w:color w:val="000000"/>
                <w:sz w:val="20"/>
                <w:szCs w:val="20"/>
              </w:rPr>
            </w:pPr>
            <w:r>
              <w:rPr>
                <w:color w:val="000000"/>
                <w:sz w:val="20"/>
                <w:szCs w:val="20"/>
              </w:rPr>
              <w:t>143 395</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0E9B3EB7" w14:textId="65568168">
            <w:pPr>
              <w:jc w:val="center"/>
              <w:rPr>
                <w:color w:val="000000"/>
                <w:sz w:val="20"/>
                <w:szCs w:val="20"/>
              </w:rPr>
            </w:pPr>
            <w:r>
              <w:rPr>
                <w:color w:val="000000"/>
                <w:sz w:val="20"/>
                <w:szCs w:val="20"/>
              </w:rPr>
              <w:t>11 099</w:t>
            </w:r>
          </w:p>
        </w:tc>
      </w:tr>
      <w:tr w14:paraId="5EE64094"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44B2120C"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7E6B22DC" w14:textId="77777777">
            <w:pPr>
              <w:rPr>
                <w:color w:val="000000"/>
                <w:sz w:val="20"/>
                <w:szCs w:val="20"/>
              </w:rPr>
            </w:pPr>
            <w:r w:rsidRPr="00601746">
              <w:rPr>
                <w:color w:val="000000"/>
                <w:sz w:val="20"/>
                <w:szCs w:val="20"/>
              </w:rPr>
              <w:t>Uroloģija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6F253D37" w14:textId="5DE9C10E">
            <w:pPr>
              <w:jc w:val="center"/>
              <w:rPr>
                <w:color w:val="000000"/>
                <w:sz w:val="20"/>
                <w:szCs w:val="20"/>
              </w:rPr>
            </w:pPr>
            <w:r>
              <w:rPr>
                <w:color w:val="000000"/>
                <w:sz w:val="20"/>
                <w:szCs w:val="20"/>
              </w:rPr>
              <w:t>241 128</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02AA6B62" w14:textId="78A670B6">
            <w:pPr>
              <w:jc w:val="center"/>
              <w:rPr>
                <w:color w:val="000000"/>
                <w:sz w:val="20"/>
                <w:szCs w:val="20"/>
              </w:rPr>
            </w:pPr>
            <w:r>
              <w:rPr>
                <w:color w:val="000000"/>
                <w:sz w:val="20"/>
                <w:szCs w:val="20"/>
              </w:rPr>
              <w:t>9 529</w:t>
            </w:r>
          </w:p>
        </w:tc>
      </w:tr>
      <w:tr w14:paraId="1B2FA584"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42484D87"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6AD303C4" w14:textId="77777777">
            <w:pPr>
              <w:rPr>
                <w:color w:val="000000"/>
                <w:sz w:val="20"/>
                <w:szCs w:val="20"/>
              </w:rPr>
            </w:pPr>
            <w:r w:rsidRPr="00601746">
              <w:rPr>
                <w:color w:val="000000"/>
                <w:sz w:val="20"/>
                <w:szCs w:val="20"/>
              </w:rPr>
              <w:t xml:space="preserve">Ambulatorā palīdzība </w:t>
            </w:r>
            <w:r w:rsidRPr="00601746">
              <w:rPr>
                <w:color w:val="000000"/>
                <w:sz w:val="20"/>
                <w:szCs w:val="20"/>
              </w:rPr>
              <w:t>surdoloģijā</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3C445A3C" w14:textId="1E87F905">
            <w:pPr>
              <w:jc w:val="center"/>
              <w:rPr>
                <w:color w:val="000000"/>
                <w:sz w:val="20"/>
                <w:szCs w:val="20"/>
              </w:rPr>
            </w:pPr>
            <w:r>
              <w:rPr>
                <w:color w:val="000000"/>
                <w:sz w:val="20"/>
                <w:szCs w:val="20"/>
              </w:rPr>
              <w:t>21 935</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25467628" w14:textId="14E5C5E8">
            <w:pPr>
              <w:jc w:val="center"/>
              <w:rPr>
                <w:color w:val="000000"/>
                <w:sz w:val="20"/>
                <w:szCs w:val="20"/>
              </w:rPr>
            </w:pPr>
            <w:r>
              <w:rPr>
                <w:color w:val="000000"/>
                <w:sz w:val="20"/>
                <w:szCs w:val="20"/>
              </w:rPr>
              <w:t>435</w:t>
            </w:r>
          </w:p>
        </w:tc>
      </w:tr>
      <w:tr w14:paraId="0426C103"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0DED6949"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67ECCF10" w14:textId="77777777">
            <w:pPr>
              <w:rPr>
                <w:color w:val="000000"/>
                <w:sz w:val="20"/>
                <w:szCs w:val="20"/>
              </w:rPr>
            </w:pPr>
            <w:r w:rsidRPr="00601746">
              <w:rPr>
                <w:color w:val="000000"/>
                <w:sz w:val="20"/>
                <w:szCs w:val="20"/>
              </w:rPr>
              <w:t>Medicīniskā apaugļošana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02D085D6" w14:textId="0E8019EB">
            <w:pPr>
              <w:jc w:val="center"/>
              <w:rPr>
                <w:color w:val="000000"/>
                <w:sz w:val="20"/>
                <w:szCs w:val="20"/>
              </w:rPr>
            </w:pPr>
            <w:r>
              <w:rPr>
                <w:color w:val="000000"/>
                <w:sz w:val="20"/>
                <w:szCs w:val="20"/>
              </w:rPr>
              <w:t>138 338</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14AB213C" w14:textId="337123FB">
            <w:pPr>
              <w:jc w:val="center"/>
              <w:rPr>
                <w:color w:val="000000"/>
                <w:sz w:val="20"/>
                <w:szCs w:val="20"/>
              </w:rPr>
            </w:pPr>
            <w:r>
              <w:rPr>
                <w:color w:val="000000"/>
                <w:sz w:val="20"/>
                <w:szCs w:val="20"/>
              </w:rPr>
              <w:t>120</w:t>
            </w:r>
          </w:p>
        </w:tc>
      </w:tr>
      <w:tr w14:paraId="7D7A50B3"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5DC73BC6"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3F4CF0CC" w14:textId="77777777">
            <w:pPr>
              <w:rPr>
                <w:color w:val="000000"/>
                <w:sz w:val="20"/>
                <w:szCs w:val="20"/>
              </w:rPr>
            </w:pPr>
            <w:r w:rsidRPr="00601746">
              <w:rPr>
                <w:color w:val="000000"/>
                <w:sz w:val="20"/>
                <w:szCs w:val="20"/>
              </w:rPr>
              <w:t>Metadona</w:t>
            </w:r>
            <w:r w:rsidRPr="00601746">
              <w:rPr>
                <w:color w:val="000000"/>
                <w:sz w:val="20"/>
                <w:szCs w:val="20"/>
              </w:rPr>
              <w:t xml:space="preserve"> aizvietojošā terapija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05BEA219" w14:textId="7FEF6269">
            <w:pPr>
              <w:jc w:val="center"/>
              <w:rPr>
                <w:color w:val="000000"/>
                <w:sz w:val="20"/>
                <w:szCs w:val="20"/>
              </w:rPr>
            </w:pPr>
            <w:r>
              <w:rPr>
                <w:color w:val="000000"/>
                <w:sz w:val="20"/>
                <w:szCs w:val="20"/>
              </w:rPr>
              <w:t>5 016</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7D5D4057" w14:textId="052501A2">
            <w:pPr>
              <w:jc w:val="center"/>
              <w:rPr>
                <w:color w:val="000000"/>
                <w:sz w:val="20"/>
                <w:szCs w:val="20"/>
              </w:rPr>
            </w:pPr>
            <w:r>
              <w:rPr>
                <w:color w:val="000000"/>
                <w:sz w:val="20"/>
                <w:szCs w:val="20"/>
              </w:rPr>
              <w:t>5 118</w:t>
            </w:r>
          </w:p>
        </w:tc>
      </w:tr>
      <w:tr w14:paraId="1E2580AF" w14:textId="77777777" w:rsidTr="0004769C">
        <w:tblPrEx>
          <w:tblW w:w="8160" w:type="dxa"/>
          <w:jc w:val="center"/>
          <w:tblLook w:val="04A0"/>
        </w:tblPrEx>
        <w:trPr>
          <w:trHeight w:val="525"/>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5876D00C"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61184149" w14:textId="77777777">
            <w:pPr>
              <w:rPr>
                <w:color w:val="000000"/>
                <w:sz w:val="20"/>
                <w:szCs w:val="20"/>
              </w:rPr>
            </w:pPr>
            <w:r w:rsidRPr="00601746">
              <w:rPr>
                <w:color w:val="000000"/>
                <w:sz w:val="20"/>
                <w:szCs w:val="20"/>
              </w:rPr>
              <w:t>Multiplās sklerozes slimnieku konsultēšana un izmeklēšana</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7A8D810E" w14:textId="0D163E38">
            <w:pPr>
              <w:jc w:val="center"/>
              <w:rPr>
                <w:color w:val="000000"/>
                <w:sz w:val="20"/>
                <w:szCs w:val="20"/>
              </w:rPr>
            </w:pPr>
            <w:r>
              <w:rPr>
                <w:color w:val="000000"/>
                <w:sz w:val="20"/>
                <w:szCs w:val="20"/>
              </w:rPr>
              <w:t>27 789</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219CF9BD" w14:textId="0A05F5BD">
            <w:pPr>
              <w:jc w:val="center"/>
              <w:rPr>
                <w:color w:val="000000"/>
                <w:sz w:val="20"/>
                <w:szCs w:val="20"/>
              </w:rPr>
            </w:pPr>
            <w:r>
              <w:rPr>
                <w:color w:val="000000"/>
                <w:sz w:val="20"/>
                <w:szCs w:val="20"/>
              </w:rPr>
              <w:t>343</w:t>
            </w:r>
          </w:p>
        </w:tc>
      </w:tr>
      <w:tr w14:paraId="4ED5FF7C"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1FC675D2"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1BA2AE44" w14:textId="77777777">
            <w:pPr>
              <w:rPr>
                <w:color w:val="000000"/>
                <w:sz w:val="20"/>
                <w:szCs w:val="20"/>
              </w:rPr>
            </w:pPr>
            <w:r w:rsidRPr="00601746">
              <w:rPr>
                <w:color w:val="000000"/>
                <w:sz w:val="20"/>
                <w:szCs w:val="20"/>
              </w:rPr>
              <w:t>Pārējie ambulatorie pakalpojumi</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4B042A4A" w14:textId="1DC22E88">
            <w:pPr>
              <w:jc w:val="center"/>
              <w:rPr>
                <w:color w:val="000000"/>
                <w:sz w:val="20"/>
                <w:szCs w:val="20"/>
              </w:rPr>
            </w:pPr>
            <w:r>
              <w:rPr>
                <w:color w:val="000000"/>
                <w:sz w:val="20"/>
                <w:szCs w:val="20"/>
              </w:rPr>
              <w:t>419</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601746" w:rsidP="005908CC" w14:paraId="79D72C93" w14:textId="69F05946">
            <w:pPr>
              <w:jc w:val="center"/>
              <w:rPr>
                <w:color w:val="000000"/>
                <w:sz w:val="20"/>
                <w:szCs w:val="20"/>
              </w:rPr>
            </w:pPr>
            <w:r>
              <w:rPr>
                <w:color w:val="000000"/>
                <w:sz w:val="20"/>
                <w:szCs w:val="20"/>
              </w:rPr>
              <w:t>3</w:t>
            </w:r>
          </w:p>
        </w:tc>
      </w:tr>
      <w:tr w14:paraId="47F737F1" w14:textId="77777777" w:rsidTr="0004769C">
        <w:tblPrEx>
          <w:tblW w:w="8160" w:type="dxa"/>
          <w:jc w:val="center"/>
          <w:tblLook w:val="04A0"/>
        </w:tblPrEx>
        <w:trPr>
          <w:trHeight w:val="300"/>
          <w:jc w:val="center"/>
        </w:trPr>
        <w:tc>
          <w:tcPr>
            <w:tcW w:w="640" w:type="dxa"/>
            <w:vMerge/>
            <w:tcBorders>
              <w:top w:val="single" w:sz="4" w:space="0" w:color="auto"/>
              <w:left w:val="nil"/>
              <w:bottom w:val="nil"/>
              <w:right w:val="single" w:sz="4" w:space="0" w:color="auto"/>
            </w:tcBorders>
            <w:vAlign w:val="center"/>
            <w:hideMark/>
          </w:tcPr>
          <w:p w:rsidR="005908CC" w:rsidRPr="00601746" w:rsidP="005908CC" w14:paraId="02B70A19" w14:textId="77777777">
            <w:pPr>
              <w:rPr>
                <w:color w:val="000000"/>
                <w:sz w:val="20"/>
                <w:szCs w:val="20"/>
              </w:rPr>
            </w:pPr>
          </w:p>
        </w:tc>
        <w:tc>
          <w:tcPr>
            <w:tcW w:w="2621" w:type="dxa"/>
            <w:tcBorders>
              <w:top w:val="nil"/>
              <w:left w:val="nil"/>
              <w:bottom w:val="single" w:sz="4" w:space="0" w:color="auto"/>
              <w:right w:val="single" w:sz="4" w:space="0" w:color="auto"/>
            </w:tcBorders>
            <w:shd w:val="clear" w:color="auto" w:fill="auto"/>
            <w:vAlign w:val="bottom"/>
            <w:hideMark/>
          </w:tcPr>
          <w:p w:rsidR="005908CC" w:rsidRPr="00601746" w:rsidP="005908CC" w14:paraId="430B1096" w14:textId="77777777">
            <w:pPr>
              <w:ind w:firstLine="200" w:firstLineChars="100"/>
              <w:jc w:val="right"/>
              <w:rPr>
                <w:b/>
                <w:color w:val="000000"/>
                <w:sz w:val="20"/>
                <w:szCs w:val="20"/>
              </w:rPr>
            </w:pPr>
            <w:r w:rsidRPr="00601746">
              <w:rPr>
                <w:b/>
                <w:color w:val="000000"/>
                <w:sz w:val="20"/>
                <w:szCs w:val="20"/>
              </w:rPr>
              <w:t>Kopā:</w:t>
            </w:r>
          </w:p>
        </w:tc>
        <w:tc>
          <w:tcPr>
            <w:tcW w:w="2835" w:type="dxa"/>
            <w:tcBorders>
              <w:top w:val="nil"/>
              <w:left w:val="nil"/>
              <w:bottom w:val="single" w:sz="4" w:space="0" w:color="auto"/>
              <w:right w:val="single" w:sz="4" w:space="0" w:color="auto"/>
            </w:tcBorders>
            <w:shd w:val="clear" w:color="auto" w:fill="auto"/>
            <w:noWrap/>
            <w:vAlign w:val="center"/>
            <w:hideMark/>
          </w:tcPr>
          <w:p w:rsidR="005908CC" w:rsidRPr="005908CC" w:rsidP="005908CC" w14:paraId="1A882A7B" w14:textId="71289640">
            <w:pPr>
              <w:jc w:val="center"/>
              <w:rPr>
                <w:b/>
                <w:color w:val="000000"/>
                <w:sz w:val="20"/>
                <w:szCs w:val="20"/>
              </w:rPr>
            </w:pPr>
            <w:r w:rsidRPr="005908CC">
              <w:rPr>
                <w:b/>
                <w:color w:val="000000"/>
                <w:sz w:val="20"/>
                <w:szCs w:val="20"/>
              </w:rPr>
              <w:t>3 288 372</w:t>
            </w:r>
          </w:p>
        </w:tc>
        <w:tc>
          <w:tcPr>
            <w:tcW w:w="2064" w:type="dxa"/>
            <w:tcBorders>
              <w:top w:val="nil"/>
              <w:left w:val="nil"/>
              <w:bottom w:val="single" w:sz="4" w:space="0" w:color="auto"/>
              <w:right w:val="single" w:sz="4" w:space="0" w:color="auto"/>
            </w:tcBorders>
            <w:shd w:val="clear" w:color="auto" w:fill="auto"/>
            <w:noWrap/>
            <w:vAlign w:val="center"/>
            <w:hideMark/>
          </w:tcPr>
          <w:p w:rsidR="005908CC" w:rsidRPr="005908CC" w:rsidP="005908CC" w14:paraId="74D26EF2" w14:textId="310B5A62">
            <w:pPr>
              <w:jc w:val="center"/>
              <w:rPr>
                <w:b/>
                <w:color w:val="000000"/>
                <w:sz w:val="20"/>
                <w:szCs w:val="20"/>
              </w:rPr>
            </w:pPr>
            <w:r w:rsidRPr="005908CC">
              <w:rPr>
                <w:b/>
                <w:color w:val="000000"/>
                <w:sz w:val="20"/>
                <w:szCs w:val="20"/>
              </w:rPr>
              <w:t>177</w:t>
            </w:r>
            <w:r>
              <w:rPr>
                <w:b/>
                <w:color w:val="000000"/>
                <w:sz w:val="20"/>
                <w:szCs w:val="20"/>
              </w:rPr>
              <w:t xml:space="preserve"> </w:t>
            </w:r>
            <w:r w:rsidRPr="005908CC">
              <w:rPr>
                <w:b/>
                <w:color w:val="000000"/>
                <w:sz w:val="20"/>
                <w:szCs w:val="20"/>
              </w:rPr>
              <w:t>317</w:t>
            </w:r>
          </w:p>
        </w:tc>
      </w:tr>
    </w:tbl>
    <w:p w:rsidR="00601746" w:rsidRPr="0002794C" w:rsidP="0002794C" w14:paraId="4383FDCF" w14:textId="782DBF13">
      <w:pPr>
        <w:autoSpaceDE w:val="0"/>
        <w:autoSpaceDN w:val="0"/>
        <w:adjustRightInd w:val="0"/>
        <w:spacing w:line="293" w:lineRule="atLeast"/>
        <w:jc w:val="both"/>
        <w:rPr>
          <w:i/>
          <w:sz w:val="20"/>
          <w:szCs w:val="20"/>
        </w:rPr>
      </w:pPr>
      <w:r w:rsidRPr="006E1FFA">
        <w:rPr>
          <w:i/>
          <w:sz w:val="20"/>
          <w:szCs w:val="20"/>
        </w:rPr>
        <w:t>Avots</w:t>
      </w:r>
      <w:r w:rsidRPr="008603A3">
        <w:rPr>
          <w:i/>
          <w:sz w:val="20"/>
          <w:szCs w:val="20"/>
        </w:rPr>
        <w:t>: NVD</w:t>
      </w:r>
    </w:p>
    <w:p w:rsidR="00BB5207" w:rsidRPr="001269F2" w:rsidP="0025778E" w14:paraId="6D354478" w14:textId="21CCCD6B">
      <w:pPr>
        <w:autoSpaceDE w:val="0"/>
        <w:autoSpaceDN w:val="0"/>
        <w:adjustRightInd w:val="0"/>
        <w:spacing w:line="293" w:lineRule="atLeast"/>
        <w:ind w:firstLine="720"/>
        <w:jc w:val="both"/>
        <w:rPr>
          <w:lang w:bidi="lo-LA"/>
        </w:rPr>
      </w:pPr>
    </w:p>
    <w:p w:rsidR="00BB5207" w:rsidRPr="002D6520" w:rsidP="009C4BBD" w14:paraId="48F14D8C" w14:textId="58A120E3">
      <w:pPr>
        <w:autoSpaceDE w:val="0"/>
        <w:autoSpaceDN w:val="0"/>
        <w:adjustRightInd w:val="0"/>
        <w:spacing w:line="293" w:lineRule="atLeast"/>
        <w:jc w:val="both"/>
        <w:rPr>
          <w:u w:val="single"/>
          <w:lang w:bidi="lo-LA"/>
        </w:rPr>
      </w:pPr>
      <w:r w:rsidRPr="002D6520">
        <w:rPr>
          <w:u w:val="single"/>
          <w:lang w:bidi="lo-LA"/>
        </w:rPr>
        <w:t>Amb</w:t>
      </w:r>
      <w:r w:rsidR="00C03F9F">
        <w:rPr>
          <w:u w:val="single"/>
          <w:lang w:bidi="lo-LA"/>
        </w:rPr>
        <w:t>ulatorie izmeklējumi</w:t>
      </w:r>
    </w:p>
    <w:p w:rsidR="00024A4B" w:rsidRPr="001269F2" w:rsidP="009C4BBD" w14:paraId="6D2080AE" w14:textId="61AB3638">
      <w:pPr>
        <w:autoSpaceDE w:val="0"/>
        <w:autoSpaceDN w:val="0"/>
        <w:adjustRightInd w:val="0"/>
        <w:spacing w:line="293" w:lineRule="atLeast"/>
        <w:jc w:val="both"/>
        <w:rPr>
          <w:u w:val="single"/>
          <w:lang w:bidi="lo-LA"/>
        </w:rPr>
      </w:pPr>
    </w:p>
    <w:p w:rsidR="001C680F" w:rsidRPr="009B5CDC" w:rsidP="009C4BBD" w14:paraId="4C788062" w14:textId="6BCF33F7">
      <w:pPr>
        <w:autoSpaceDE w:val="0"/>
        <w:autoSpaceDN w:val="0"/>
        <w:adjustRightInd w:val="0"/>
        <w:spacing w:line="293" w:lineRule="atLeast"/>
        <w:jc w:val="both"/>
      </w:pPr>
      <w:r w:rsidRPr="001269F2">
        <w:rPr>
          <w:lang w:bidi="lo-LA"/>
        </w:rPr>
        <w:tab/>
      </w:r>
      <w:r w:rsidRPr="001269F2" w:rsidR="00C03F9F">
        <w:rPr>
          <w:lang w:bidi="lo-LA"/>
        </w:rPr>
        <w:t>Ambulatorie izmeklējumi ir viens no svarīgākajiem ārstēšanas procesiem slimību un to izmaiņu diagnosticēšanai un</w:t>
      </w:r>
      <w:r w:rsidR="00181EB1">
        <w:rPr>
          <w:lang w:bidi="lo-LA"/>
        </w:rPr>
        <w:t xml:space="preserve"> </w:t>
      </w:r>
      <w:r w:rsidR="00C03F9F">
        <w:rPr>
          <w:lang w:bidi="lo-LA"/>
        </w:rPr>
        <w:t>to norises uzraudzībai</w:t>
      </w:r>
      <w:r w:rsidRPr="001269F2" w:rsidR="00C03F9F">
        <w:rPr>
          <w:lang w:bidi="lo-LA"/>
        </w:rPr>
        <w:t xml:space="preserve">. Ambulatorie izmeklējumi ietver </w:t>
      </w:r>
      <w:r w:rsidRPr="009B5CDC" w:rsidR="00C03F9F">
        <w:t xml:space="preserve">rentgenoloģiju, kodolmagnētisko rezonansi, datortomogrāfiju, ultrasonogrāfiju, </w:t>
      </w:r>
      <w:r w:rsidRPr="009B5CDC" w:rsidR="00C03F9F">
        <w:t>radionuklīdo</w:t>
      </w:r>
      <w:r w:rsidRPr="009B5CDC" w:rsidR="00C03F9F">
        <w:t xml:space="preserve"> diagnostiku (</w:t>
      </w:r>
      <w:r w:rsidRPr="009B5CDC" w:rsidR="00C03F9F">
        <w:t>scintigrāfiju</w:t>
      </w:r>
      <w:r w:rsidRPr="009B5CDC" w:rsidR="00C03F9F">
        <w:t xml:space="preserve">), </w:t>
      </w:r>
      <w:r w:rsidRPr="009B5CDC" w:rsidR="00C03F9F">
        <w:t>osteodensitometriju</w:t>
      </w:r>
      <w:r w:rsidRPr="009B5CDC" w:rsidR="00C03F9F">
        <w:t xml:space="preserve">, sirds asinsvadu sistēmas funkcionālos izmeklējumus, </w:t>
      </w:r>
      <w:r w:rsidRPr="009B5CDC" w:rsidR="00C03F9F">
        <w:t>endoskopiju</w:t>
      </w:r>
      <w:r w:rsidRPr="009B5CDC" w:rsidR="00C03F9F">
        <w:t xml:space="preserve">, </w:t>
      </w:r>
      <w:r w:rsidRPr="009B5CDC" w:rsidR="00C03F9F">
        <w:t>neiroelektrofizioloģiskos</w:t>
      </w:r>
      <w:r w:rsidRPr="009B5CDC" w:rsidR="00C03F9F">
        <w:t xml:space="preserve">  funkcionālos izmeklējumus, </w:t>
      </w:r>
      <w:r w:rsidRPr="009B5CDC" w:rsidR="00C03F9F">
        <w:t>doplerogrāfiju</w:t>
      </w:r>
      <w:r w:rsidRPr="009B5CDC" w:rsidR="00C03F9F">
        <w:t xml:space="preserve">, </w:t>
      </w:r>
      <w:r w:rsidRPr="009B5CDC" w:rsidR="00C03F9F">
        <w:t>mammogrāfiju</w:t>
      </w:r>
      <w:r w:rsidR="00C03F9F">
        <w:t>.</w:t>
      </w:r>
    </w:p>
    <w:p w:rsidR="00C36842" w:rsidRPr="009B5CDC" w:rsidP="009B5CDC" w14:paraId="47ECA6DF" w14:textId="2F953B6B">
      <w:pPr>
        <w:autoSpaceDE w:val="0"/>
        <w:autoSpaceDN w:val="0"/>
        <w:adjustRightInd w:val="0"/>
        <w:spacing w:line="293" w:lineRule="atLeast"/>
        <w:ind w:firstLine="720"/>
        <w:jc w:val="both"/>
      </w:pPr>
      <w:r w:rsidRPr="009B5CDC">
        <w:t xml:space="preserve"> Lai palielinātu pacientu pieejamību minēto valsts apmaksāto amb</w:t>
      </w:r>
      <w:r w:rsidR="004E133B">
        <w:t>ulatoro izmeklējumu</w:t>
      </w:r>
      <w:r w:rsidRPr="009B5CDC">
        <w:t xml:space="preserve"> saņemšanai 2017.gadā plānots pakalpojuma apjoma pieaugums par 328 tūkst</w:t>
      </w:r>
      <w:r w:rsidR="001269F2">
        <w:t>ošiem</w:t>
      </w:r>
      <w:r w:rsidRPr="009B5CDC">
        <w:t xml:space="preserve"> pakalpojumu. </w:t>
      </w:r>
    </w:p>
    <w:p w:rsidR="007530BC" w:rsidP="00761DAE" w14:paraId="50680BC5" w14:textId="469D3DC2">
      <w:pPr>
        <w:rPr>
          <w:i/>
        </w:rPr>
      </w:pPr>
    </w:p>
    <w:p w:rsidR="00AC6E61" w:rsidRPr="00F352AF" w:rsidP="00AC6E61" w14:paraId="4D204D22" w14:textId="1C3EF129">
      <w:pPr>
        <w:ind w:firstLine="720"/>
        <w:jc w:val="right"/>
        <w:rPr>
          <w:i/>
        </w:rPr>
      </w:pPr>
      <w:r>
        <w:rPr>
          <w:i/>
        </w:rPr>
        <w:t>9</w:t>
      </w:r>
      <w:r w:rsidR="00AC1DFD">
        <w:rPr>
          <w:i/>
        </w:rPr>
        <w:t xml:space="preserve">.tabula </w:t>
      </w:r>
    </w:p>
    <w:p w:rsidR="004B07F5" w:rsidP="00AC6E61" w14:paraId="7CDD6AC2" w14:textId="77777777">
      <w:pPr>
        <w:jc w:val="center"/>
        <w:rPr>
          <w:color w:val="414142"/>
        </w:rPr>
      </w:pPr>
    </w:p>
    <w:p w:rsidR="00AC6E61" w:rsidP="00AC6E61" w14:paraId="6B3BFCDF" w14:textId="5211738A">
      <w:pPr>
        <w:jc w:val="center"/>
        <w:rPr>
          <w:color w:val="414142"/>
        </w:rPr>
      </w:pPr>
      <w:r>
        <w:rPr>
          <w:color w:val="414142"/>
        </w:rPr>
        <w:t xml:space="preserve">Veikto </w:t>
      </w:r>
      <w:r w:rsidR="00C477FB">
        <w:rPr>
          <w:color w:val="414142"/>
        </w:rPr>
        <w:t xml:space="preserve"> </w:t>
      </w:r>
      <w:r w:rsidR="00C477FB">
        <w:rPr>
          <w:lang w:bidi="lo-LA"/>
        </w:rPr>
        <w:t>izmeklējum</w:t>
      </w:r>
      <w:r>
        <w:rPr>
          <w:lang w:bidi="lo-LA"/>
        </w:rPr>
        <w:t>u 2017.gada izpilde</w:t>
      </w:r>
    </w:p>
    <w:p w:rsidR="001C680F" w:rsidRPr="00C36842" w:rsidP="00A97499" w14:paraId="34DC61ED" w14:textId="77777777">
      <w:pPr>
        <w:jc w:val="center"/>
        <w:rPr>
          <w:lang w:bidi="lo-LA"/>
        </w:rPr>
      </w:pPr>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
        <w:gridCol w:w="1052"/>
        <w:gridCol w:w="1052"/>
        <w:gridCol w:w="990"/>
        <w:gridCol w:w="928"/>
        <w:gridCol w:w="945"/>
        <w:gridCol w:w="879"/>
        <w:gridCol w:w="1123"/>
        <w:gridCol w:w="879"/>
        <w:gridCol w:w="879"/>
        <w:gridCol w:w="1123"/>
      </w:tblGrid>
      <w:tr w14:paraId="02C5121C" w14:textId="3CE70A3E" w:rsidTr="00ED6116">
        <w:tblPrEx>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jc w:val="center"/>
        </w:trPr>
        <w:tc>
          <w:tcPr>
            <w:tcW w:w="1025" w:type="dxa"/>
            <w:vMerge w:val="restart"/>
            <w:shd w:val="clear" w:color="000000" w:fill="FCE4D6"/>
            <w:vAlign w:val="center"/>
            <w:hideMark/>
          </w:tcPr>
          <w:p w:rsidR="00ED6116" w:rsidRPr="00EA62A4" w:rsidP="00A33106" w14:paraId="3F7E0323" w14:textId="6B3C73A6">
            <w:pPr>
              <w:jc w:val="center"/>
              <w:rPr>
                <w:color w:val="000000"/>
                <w:sz w:val="16"/>
                <w:szCs w:val="16"/>
              </w:rPr>
            </w:pPr>
            <w:r w:rsidRPr="00EA62A4">
              <w:rPr>
                <w:color w:val="000000"/>
                <w:sz w:val="16"/>
                <w:szCs w:val="16"/>
              </w:rPr>
              <w:t xml:space="preserve">Ambulatorie izmeklējumi </w:t>
            </w:r>
          </w:p>
        </w:tc>
        <w:tc>
          <w:tcPr>
            <w:tcW w:w="1052" w:type="dxa"/>
            <w:vMerge w:val="restart"/>
            <w:shd w:val="clear" w:color="000000" w:fill="FCE4D6"/>
            <w:vAlign w:val="center"/>
            <w:hideMark/>
          </w:tcPr>
          <w:p w:rsidR="00ED6116" w:rsidRPr="00EA62A4" w:rsidP="00A33106" w14:paraId="604B1F98" w14:textId="77777777">
            <w:pPr>
              <w:jc w:val="center"/>
              <w:rPr>
                <w:color w:val="000000"/>
                <w:sz w:val="16"/>
                <w:szCs w:val="16"/>
              </w:rPr>
            </w:pPr>
            <w:r w:rsidRPr="00EA62A4">
              <w:rPr>
                <w:color w:val="000000"/>
                <w:sz w:val="16"/>
                <w:szCs w:val="16"/>
              </w:rPr>
              <w:t xml:space="preserve">Vidējais plānotais izmeklējumu skaits </w:t>
            </w:r>
          </w:p>
        </w:tc>
        <w:tc>
          <w:tcPr>
            <w:tcW w:w="1052" w:type="dxa"/>
            <w:vMerge w:val="restart"/>
            <w:shd w:val="clear" w:color="000000" w:fill="FCE4D6"/>
            <w:vAlign w:val="center"/>
          </w:tcPr>
          <w:p w:rsidR="00ED6116" w:rsidRPr="00EA62A4" w:rsidP="00A33106" w14:paraId="7FB3CC23" w14:textId="18E8A77C">
            <w:pPr>
              <w:jc w:val="center"/>
              <w:rPr>
                <w:color w:val="000000"/>
                <w:sz w:val="16"/>
                <w:szCs w:val="16"/>
              </w:rPr>
            </w:pPr>
            <w:r w:rsidRPr="00EA62A4">
              <w:rPr>
                <w:color w:val="000000"/>
                <w:sz w:val="16"/>
                <w:szCs w:val="16"/>
              </w:rPr>
              <w:t>Faktiskais izmeklējumu skaits 2017.gadā</w:t>
            </w:r>
          </w:p>
        </w:tc>
        <w:tc>
          <w:tcPr>
            <w:tcW w:w="990" w:type="dxa"/>
            <w:vMerge w:val="restart"/>
            <w:shd w:val="clear" w:color="000000" w:fill="FCE4D6"/>
            <w:vAlign w:val="center"/>
            <w:hideMark/>
          </w:tcPr>
          <w:p w:rsidR="00ED6116" w:rsidRPr="00EA62A4" w:rsidP="00A33106" w14:paraId="3D07E7CE" w14:textId="1EE62F5D">
            <w:pPr>
              <w:jc w:val="center"/>
              <w:rPr>
                <w:color w:val="000000"/>
                <w:sz w:val="16"/>
                <w:szCs w:val="16"/>
              </w:rPr>
            </w:pPr>
            <w:r w:rsidRPr="00EA62A4">
              <w:rPr>
                <w:color w:val="000000"/>
                <w:sz w:val="16"/>
                <w:szCs w:val="16"/>
              </w:rPr>
              <w:t xml:space="preserve">Plānotais finansējums  </w:t>
            </w:r>
            <w:r w:rsidRPr="00EA62A4">
              <w:rPr>
                <w:i/>
                <w:iCs/>
                <w:color w:val="000000"/>
                <w:sz w:val="16"/>
                <w:szCs w:val="16"/>
              </w:rPr>
              <w:t>euro</w:t>
            </w:r>
          </w:p>
        </w:tc>
        <w:tc>
          <w:tcPr>
            <w:tcW w:w="928" w:type="dxa"/>
            <w:vMerge w:val="restart"/>
            <w:shd w:val="clear" w:color="000000" w:fill="FCE4D6"/>
            <w:vAlign w:val="center"/>
            <w:hideMark/>
          </w:tcPr>
          <w:p w:rsidR="00ED6116" w:rsidRPr="00FD180B" w:rsidP="00A33106" w14:paraId="73549EA7" w14:textId="77777777">
            <w:pPr>
              <w:jc w:val="center"/>
              <w:rPr>
                <w:color w:val="000000"/>
                <w:sz w:val="16"/>
                <w:szCs w:val="16"/>
              </w:rPr>
            </w:pPr>
            <w:r w:rsidRPr="00A9567E">
              <w:rPr>
                <w:color w:val="000000"/>
                <w:sz w:val="16"/>
                <w:szCs w:val="16"/>
              </w:rPr>
              <w:t xml:space="preserve">Finanšu izlietojums 2017.gadā </w:t>
            </w:r>
            <w:r w:rsidRPr="00FD180B">
              <w:rPr>
                <w:i/>
                <w:iCs/>
                <w:color w:val="000000"/>
                <w:sz w:val="16"/>
                <w:szCs w:val="16"/>
              </w:rPr>
              <w:t>euro</w:t>
            </w:r>
          </w:p>
        </w:tc>
        <w:tc>
          <w:tcPr>
            <w:tcW w:w="2947" w:type="dxa"/>
            <w:gridSpan w:val="3"/>
            <w:shd w:val="clear" w:color="000000" w:fill="FCE4D6"/>
            <w:vAlign w:val="center"/>
            <w:hideMark/>
          </w:tcPr>
          <w:p w:rsidR="00ED6116" w:rsidRPr="00EA62A4" w:rsidP="00A33106" w14:paraId="10575E30" w14:textId="77777777">
            <w:pPr>
              <w:jc w:val="center"/>
              <w:rPr>
                <w:color w:val="000000"/>
                <w:sz w:val="16"/>
                <w:szCs w:val="16"/>
              </w:rPr>
            </w:pPr>
            <w:r w:rsidRPr="00EA62A4">
              <w:rPr>
                <w:color w:val="000000"/>
                <w:sz w:val="16"/>
                <w:szCs w:val="16"/>
              </w:rPr>
              <w:t>Vidējais rindu garums dienās</w:t>
            </w:r>
          </w:p>
        </w:tc>
        <w:tc>
          <w:tcPr>
            <w:tcW w:w="879" w:type="dxa"/>
            <w:vMerge w:val="restart"/>
            <w:shd w:val="clear" w:color="000000" w:fill="FCE4D6"/>
            <w:vAlign w:val="center"/>
          </w:tcPr>
          <w:p w:rsidR="00ED6116" w:rsidRPr="009223BE" w:rsidP="00A33106" w14:paraId="132906AD" w14:textId="2150B496">
            <w:pPr>
              <w:jc w:val="center"/>
              <w:rPr>
                <w:color w:val="000000"/>
                <w:sz w:val="16"/>
                <w:szCs w:val="16"/>
              </w:rPr>
            </w:pPr>
            <w:r w:rsidRPr="00EF6667">
              <w:rPr>
                <w:color w:val="000000"/>
                <w:sz w:val="16"/>
                <w:szCs w:val="16"/>
              </w:rPr>
              <w:t xml:space="preserve">Rindu </w:t>
            </w:r>
            <w:r w:rsidRPr="00EF6667">
              <w:rPr>
                <w:color w:val="000000"/>
                <w:sz w:val="16"/>
                <w:szCs w:val="16"/>
              </w:rPr>
              <w:t>samazinā</w:t>
            </w:r>
            <w:r>
              <w:rPr>
                <w:color w:val="000000"/>
                <w:sz w:val="16"/>
                <w:szCs w:val="16"/>
              </w:rPr>
              <w:t>-</w:t>
            </w:r>
            <w:r w:rsidRPr="00EF6667">
              <w:rPr>
                <w:color w:val="000000"/>
                <w:sz w:val="16"/>
                <w:szCs w:val="16"/>
              </w:rPr>
              <w:t>jums 2017.gadā %</w:t>
            </w:r>
          </w:p>
        </w:tc>
        <w:tc>
          <w:tcPr>
            <w:tcW w:w="879" w:type="dxa"/>
            <w:vMerge w:val="restart"/>
            <w:shd w:val="clear" w:color="000000" w:fill="FCE4D6"/>
            <w:vAlign w:val="center"/>
          </w:tcPr>
          <w:p w:rsidR="00ED6116" w:rsidRPr="009223BE" w:rsidP="00A33106" w14:paraId="7404FC31" w14:textId="6CDDC705">
            <w:pPr>
              <w:jc w:val="center"/>
              <w:rPr>
                <w:color w:val="000000"/>
                <w:sz w:val="16"/>
                <w:szCs w:val="16"/>
              </w:rPr>
            </w:pPr>
            <w:r w:rsidRPr="009223BE">
              <w:rPr>
                <w:color w:val="000000"/>
                <w:sz w:val="16"/>
                <w:szCs w:val="16"/>
              </w:rPr>
              <w:t>Rindas garums  ar pacientu uzvedības maiņu 2017.gadā</w:t>
            </w:r>
          </w:p>
        </w:tc>
        <w:tc>
          <w:tcPr>
            <w:tcW w:w="1123" w:type="dxa"/>
            <w:vMerge w:val="restart"/>
            <w:shd w:val="clear" w:color="000000" w:fill="FCE4D6"/>
            <w:vAlign w:val="center"/>
          </w:tcPr>
          <w:p w:rsidR="00ED6116" w:rsidRPr="009223BE" w:rsidP="00A33106" w14:paraId="0680CC6F" w14:textId="3815DEC3">
            <w:pPr>
              <w:jc w:val="center"/>
              <w:rPr>
                <w:color w:val="000000"/>
                <w:sz w:val="16"/>
                <w:szCs w:val="16"/>
              </w:rPr>
            </w:pPr>
            <w:r w:rsidRPr="009223BE">
              <w:rPr>
                <w:color w:val="000000"/>
                <w:sz w:val="16"/>
                <w:szCs w:val="16"/>
              </w:rPr>
              <w:t>Rindu samazinājums ar pacientu uzvedības maiņu 2017.gadā</w:t>
            </w:r>
          </w:p>
        </w:tc>
      </w:tr>
      <w:tr w14:paraId="7244E458" w14:textId="162F84FC" w:rsidTr="00ED6116">
        <w:tblPrEx>
          <w:tblW w:w="10875" w:type="dxa"/>
          <w:jc w:val="center"/>
          <w:tblLook w:val="04A0"/>
        </w:tblPrEx>
        <w:trPr>
          <w:trHeight w:val="910"/>
          <w:jc w:val="center"/>
        </w:trPr>
        <w:tc>
          <w:tcPr>
            <w:tcW w:w="1025" w:type="dxa"/>
            <w:vMerge/>
            <w:vAlign w:val="center"/>
            <w:hideMark/>
          </w:tcPr>
          <w:p w:rsidR="00ED6116" w:rsidRPr="00EA62A4" w:rsidP="00A33106" w14:paraId="5D547843" w14:textId="77777777">
            <w:pPr>
              <w:rPr>
                <w:color w:val="000000"/>
                <w:sz w:val="16"/>
                <w:szCs w:val="16"/>
              </w:rPr>
            </w:pPr>
          </w:p>
        </w:tc>
        <w:tc>
          <w:tcPr>
            <w:tcW w:w="1052" w:type="dxa"/>
            <w:vMerge/>
            <w:vAlign w:val="center"/>
            <w:hideMark/>
          </w:tcPr>
          <w:p w:rsidR="00ED6116" w:rsidRPr="00EA62A4" w:rsidP="00A33106" w14:paraId="0C96961C" w14:textId="77777777">
            <w:pPr>
              <w:rPr>
                <w:color w:val="000000"/>
                <w:sz w:val="16"/>
                <w:szCs w:val="16"/>
              </w:rPr>
            </w:pPr>
          </w:p>
        </w:tc>
        <w:tc>
          <w:tcPr>
            <w:tcW w:w="1052" w:type="dxa"/>
            <w:vMerge/>
            <w:vAlign w:val="center"/>
          </w:tcPr>
          <w:p w:rsidR="00ED6116" w:rsidRPr="00EA62A4" w:rsidP="00A33106" w14:paraId="5ACBE6B4" w14:textId="77777777">
            <w:pPr>
              <w:rPr>
                <w:color w:val="000000"/>
                <w:sz w:val="16"/>
                <w:szCs w:val="16"/>
              </w:rPr>
            </w:pPr>
          </w:p>
        </w:tc>
        <w:tc>
          <w:tcPr>
            <w:tcW w:w="990" w:type="dxa"/>
            <w:vMerge/>
            <w:vAlign w:val="center"/>
            <w:hideMark/>
          </w:tcPr>
          <w:p w:rsidR="00ED6116" w:rsidRPr="00EA62A4" w:rsidP="00A33106" w14:paraId="08096CA5" w14:textId="2FAB5440">
            <w:pPr>
              <w:rPr>
                <w:color w:val="000000"/>
                <w:sz w:val="16"/>
                <w:szCs w:val="16"/>
              </w:rPr>
            </w:pPr>
          </w:p>
        </w:tc>
        <w:tc>
          <w:tcPr>
            <w:tcW w:w="928" w:type="dxa"/>
            <w:vMerge/>
            <w:vAlign w:val="center"/>
            <w:hideMark/>
          </w:tcPr>
          <w:p w:rsidR="00ED6116" w:rsidRPr="00A9567E" w:rsidP="00A33106" w14:paraId="6C999974" w14:textId="77777777">
            <w:pPr>
              <w:rPr>
                <w:color w:val="000000"/>
                <w:sz w:val="16"/>
                <w:szCs w:val="16"/>
              </w:rPr>
            </w:pPr>
          </w:p>
        </w:tc>
        <w:tc>
          <w:tcPr>
            <w:tcW w:w="945" w:type="dxa"/>
            <w:shd w:val="clear" w:color="000000" w:fill="FCE4D6"/>
            <w:vAlign w:val="center"/>
            <w:hideMark/>
          </w:tcPr>
          <w:p w:rsidR="00ED6116" w:rsidRPr="00EA62A4" w:rsidP="00A33106" w14:paraId="5BA0FB17" w14:textId="77777777">
            <w:pPr>
              <w:jc w:val="center"/>
              <w:rPr>
                <w:color w:val="000000"/>
                <w:sz w:val="16"/>
                <w:szCs w:val="16"/>
              </w:rPr>
            </w:pPr>
            <w:r w:rsidRPr="00EA62A4">
              <w:rPr>
                <w:color w:val="000000"/>
                <w:sz w:val="16"/>
                <w:szCs w:val="16"/>
              </w:rPr>
              <w:t>Pirms reformu īstenošanas</w:t>
            </w:r>
          </w:p>
        </w:tc>
        <w:tc>
          <w:tcPr>
            <w:tcW w:w="879" w:type="dxa"/>
            <w:shd w:val="clear" w:color="000000" w:fill="FCE4D6"/>
            <w:vAlign w:val="center"/>
            <w:hideMark/>
          </w:tcPr>
          <w:p w:rsidR="00ED6116" w:rsidRPr="00EA62A4" w:rsidP="00A33106" w14:paraId="49CD7640" w14:textId="77777777">
            <w:pPr>
              <w:jc w:val="center"/>
              <w:rPr>
                <w:color w:val="000000"/>
                <w:sz w:val="16"/>
                <w:szCs w:val="16"/>
              </w:rPr>
            </w:pPr>
            <w:r w:rsidRPr="00EA62A4">
              <w:rPr>
                <w:color w:val="000000"/>
                <w:sz w:val="16"/>
                <w:szCs w:val="16"/>
              </w:rPr>
              <w:t>Uz 2018.gada 1.janvāri</w:t>
            </w:r>
          </w:p>
        </w:tc>
        <w:tc>
          <w:tcPr>
            <w:tcW w:w="1123" w:type="dxa"/>
            <w:shd w:val="clear" w:color="000000" w:fill="FCE4D6"/>
            <w:vAlign w:val="center"/>
            <w:hideMark/>
          </w:tcPr>
          <w:p w:rsidR="00ED6116" w:rsidRPr="00EA62A4" w:rsidP="00A33106" w14:paraId="6A3E475F" w14:textId="77777777">
            <w:pPr>
              <w:jc w:val="center"/>
              <w:rPr>
                <w:color w:val="000000"/>
                <w:sz w:val="16"/>
                <w:szCs w:val="16"/>
              </w:rPr>
            </w:pPr>
            <w:r w:rsidRPr="00EA62A4">
              <w:rPr>
                <w:color w:val="000000"/>
                <w:sz w:val="16"/>
                <w:szCs w:val="16"/>
              </w:rPr>
              <w:t>Rindu samazinājums 2017.gadā</w:t>
            </w:r>
          </w:p>
        </w:tc>
        <w:tc>
          <w:tcPr>
            <w:tcW w:w="879" w:type="dxa"/>
            <w:vMerge/>
            <w:shd w:val="clear" w:color="000000" w:fill="FCE4D6"/>
          </w:tcPr>
          <w:p w:rsidR="00ED6116" w:rsidRPr="009223BE" w:rsidP="00A33106" w14:paraId="03FAC704" w14:textId="0B0D8915">
            <w:pPr>
              <w:jc w:val="center"/>
              <w:rPr>
                <w:color w:val="000000"/>
                <w:sz w:val="16"/>
                <w:szCs w:val="16"/>
              </w:rPr>
            </w:pPr>
          </w:p>
        </w:tc>
        <w:tc>
          <w:tcPr>
            <w:tcW w:w="879" w:type="dxa"/>
            <w:vMerge/>
            <w:shd w:val="clear" w:color="000000" w:fill="FCE4D6"/>
            <w:vAlign w:val="center"/>
          </w:tcPr>
          <w:p w:rsidR="00ED6116" w:rsidRPr="009223BE" w:rsidP="00A33106" w14:paraId="40B8E936" w14:textId="27F1D811">
            <w:pPr>
              <w:jc w:val="center"/>
              <w:rPr>
                <w:color w:val="000000"/>
                <w:sz w:val="16"/>
                <w:szCs w:val="16"/>
              </w:rPr>
            </w:pPr>
          </w:p>
        </w:tc>
        <w:tc>
          <w:tcPr>
            <w:tcW w:w="1123" w:type="dxa"/>
            <w:vMerge/>
            <w:shd w:val="clear" w:color="000000" w:fill="FCE4D6"/>
          </w:tcPr>
          <w:p w:rsidR="00ED6116" w:rsidRPr="009223BE" w:rsidP="00A33106" w14:paraId="380D760A" w14:textId="4484DCC2">
            <w:pPr>
              <w:jc w:val="center"/>
              <w:rPr>
                <w:color w:val="000000"/>
                <w:sz w:val="16"/>
                <w:szCs w:val="16"/>
              </w:rPr>
            </w:pPr>
          </w:p>
        </w:tc>
      </w:tr>
      <w:tr w14:paraId="6C77D63F" w14:textId="777623D6" w:rsidTr="00ED6116">
        <w:tblPrEx>
          <w:tblW w:w="10875" w:type="dxa"/>
          <w:jc w:val="center"/>
          <w:tblLook w:val="04A0"/>
        </w:tblPrEx>
        <w:trPr>
          <w:trHeight w:val="290"/>
          <w:jc w:val="center"/>
        </w:trPr>
        <w:tc>
          <w:tcPr>
            <w:tcW w:w="1025" w:type="dxa"/>
            <w:shd w:val="clear" w:color="000000" w:fill="92D050"/>
            <w:noWrap/>
            <w:vAlign w:val="center"/>
            <w:hideMark/>
          </w:tcPr>
          <w:p w:rsidR="00ED6116" w:rsidRPr="00EA62A4" w:rsidP="00A33106" w14:paraId="57F90631" w14:textId="77777777">
            <w:pPr>
              <w:jc w:val="center"/>
              <w:rPr>
                <w:color w:val="000000"/>
                <w:sz w:val="16"/>
                <w:szCs w:val="16"/>
              </w:rPr>
            </w:pPr>
            <w:r w:rsidRPr="00EA62A4">
              <w:rPr>
                <w:color w:val="000000"/>
                <w:sz w:val="16"/>
                <w:szCs w:val="16"/>
              </w:rPr>
              <w:t>Ārstniecības iestādes</w:t>
            </w:r>
          </w:p>
        </w:tc>
        <w:tc>
          <w:tcPr>
            <w:tcW w:w="1052" w:type="dxa"/>
            <w:shd w:val="clear" w:color="000000" w:fill="92D050"/>
            <w:noWrap/>
            <w:vAlign w:val="center"/>
            <w:hideMark/>
          </w:tcPr>
          <w:p w:rsidR="00ED6116" w:rsidRPr="00EA62A4" w:rsidP="00A33106" w14:paraId="076F7A51" w14:textId="77777777">
            <w:pPr>
              <w:jc w:val="center"/>
              <w:rPr>
                <w:sz w:val="16"/>
                <w:szCs w:val="16"/>
              </w:rPr>
            </w:pPr>
            <w:r w:rsidRPr="00EA62A4">
              <w:rPr>
                <w:sz w:val="16"/>
                <w:szCs w:val="16"/>
              </w:rPr>
              <w:t>328 076</w:t>
            </w:r>
          </w:p>
        </w:tc>
        <w:tc>
          <w:tcPr>
            <w:tcW w:w="1052" w:type="dxa"/>
            <w:shd w:val="clear" w:color="000000" w:fill="92D050"/>
            <w:vAlign w:val="center"/>
          </w:tcPr>
          <w:p w:rsidR="00ED6116" w:rsidRPr="00EA62A4" w14:paraId="4E438BED" w14:textId="02DBCEAF">
            <w:pPr>
              <w:jc w:val="center"/>
              <w:rPr>
                <w:color w:val="000000"/>
                <w:sz w:val="16"/>
                <w:szCs w:val="16"/>
              </w:rPr>
            </w:pPr>
            <w:r w:rsidRPr="00EA62A4">
              <w:rPr>
                <w:color w:val="000000"/>
                <w:sz w:val="16"/>
                <w:szCs w:val="16"/>
              </w:rPr>
              <w:t>300 856</w:t>
            </w:r>
          </w:p>
        </w:tc>
        <w:tc>
          <w:tcPr>
            <w:tcW w:w="990" w:type="dxa"/>
            <w:shd w:val="clear" w:color="000000" w:fill="92D050"/>
            <w:noWrap/>
            <w:vAlign w:val="center"/>
            <w:hideMark/>
          </w:tcPr>
          <w:p w:rsidR="00ED6116" w:rsidRPr="00EA62A4" w:rsidP="00A33106" w14:paraId="5AB43A35" w14:textId="5B5E5DDB">
            <w:pPr>
              <w:jc w:val="center"/>
              <w:rPr>
                <w:color w:val="000000"/>
                <w:sz w:val="16"/>
                <w:szCs w:val="16"/>
              </w:rPr>
            </w:pPr>
            <w:r w:rsidRPr="00EA62A4">
              <w:rPr>
                <w:color w:val="000000"/>
                <w:sz w:val="16"/>
                <w:szCs w:val="16"/>
              </w:rPr>
              <w:t>7 541 491</w:t>
            </w:r>
          </w:p>
        </w:tc>
        <w:tc>
          <w:tcPr>
            <w:tcW w:w="928" w:type="dxa"/>
            <w:shd w:val="clear" w:color="000000" w:fill="92D050"/>
            <w:noWrap/>
            <w:vAlign w:val="center"/>
            <w:hideMark/>
          </w:tcPr>
          <w:p w:rsidR="00ED6116" w:rsidRPr="005C359C" w:rsidP="00A33106" w14:paraId="4F29F9B7" w14:textId="79CD48C5">
            <w:pPr>
              <w:jc w:val="center"/>
              <w:rPr>
                <w:color w:val="000000"/>
                <w:sz w:val="16"/>
                <w:szCs w:val="16"/>
              </w:rPr>
            </w:pPr>
            <w:r w:rsidRPr="005C359C">
              <w:rPr>
                <w:color w:val="000000"/>
                <w:sz w:val="16"/>
                <w:szCs w:val="16"/>
              </w:rPr>
              <w:t>7 557 039</w:t>
            </w:r>
          </w:p>
        </w:tc>
        <w:tc>
          <w:tcPr>
            <w:tcW w:w="945" w:type="dxa"/>
            <w:shd w:val="clear" w:color="000000" w:fill="92D050"/>
            <w:vAlign w:val="center"/>
            <w:hideMark/>
          </w:tcPr>
          <w:p w:rsidR="00ED6116" w:rsidRPr="00EA62A4" w:rsidP="00A33106" w14:paraId="185DC1FE" w14:textId="77777777">
            <w:pPr>
              <w:jc w:val="center"/>
              <w:rPr>
                <w:color w:val="000000"/>
                <w:sz w:val="16"/>
                <w:szCs w:val="16"/>
              </w:rPr>
            </w:pPr>
            <w:r w:rsidRPr="00EA62A4">
              <w:rPr>
                <w:color w:val="000000"/>
                <w:sz w:val="16"/>
                <w:szCs w:val="16"/>
              </w:rPr>
              <w:t>40,39</w:t>
            </w:r>
          </w:p>
        </w:tc>
        <w:tc>
          <w:tcPr>
            <w:tcW w:w="879" w:type="dxa"/>
            <w:shd w:val="clear" w:color="000000" w:fill="92D050"/>
            <w:vAlign w:val="center"/>
            <w:hideMark/>
          </w:tcPr>
          <w:p w:rsidR="00ED6116" w:rsidRPr="00EA62A4" w:rsidP="00A33106" w14:paraId="5FE7DEF3" w14:textId="77777777">
            <w:pPr>
              <w:jc w:val="center"/>
              <w:rPr>
                <w:color w:val="000000"/>
                <w:sz w:val="16"/>
                <w:szCs w:val="16"/>
              </w:rPr>
            </w:pPr>
            <w:r w:rsidRPr="00EA62A4">
              <w:rPr>
                <w:color w:val="000000"/>
                <w:sz w:val="16"/>
                <w:szCs w:val="16"/>
              </w:rPr>
              <w:t>27,10</w:t>
            </w:r>
          </w:p>
        </w:tc>
        <w:tc>
          <w:tcPr>
            <w:tcW w:w="1123" w:type="dxa"/>
            <w:shd w:val="clear" w:color="000000" w:fill="92D050"/>
            <w:vAlign w:val="center"/>
            <w:hideMark/>
          </w:tcPr>
          <w:p w:rsidR="00ED6116" w:rsidRPr="00EA62A4" w:rsidP="00A33106" w14:paraId="5D60FA86" w14:textId="77777777">
            <w:pPr>
              <w:jc w:val="center"/>
              <w:rPr>
                <w:color w:val="000000"/>
                <w:sz w:val="16"/>
                <w:szCs w:val="16"/>
              </w:rPr>
            </w:pPr>
            <w:r w:rsidRPr="00EA62A4">
              <w:rPr>
                <w:color w:val="000000"/>
                <w:sz w:val="16"/>
                <w:szCs w:val="16"/>
              </w:rPr>
              <w:t>13,29</w:t>
            </w:r>
          </w:p>
        </w:tc>
        <w:tc>
          <w:tcPr>
            <w:tcW w:w="879" w:type="dxa"/>
            <w:shd w:val="clear" w:color="000000" w:fill="92D050"/>
            <w:vAlign w:val="center"/>
          </w:tcPr>
          <w:p w:rsidR="00ED6116" w:rsidP="00A33106" w14:paraId="2640D595" w14:textId="05AEB83E">
            <w:pPr>
              <w:jc w:val="center"/>
              <w:rPr>
                <w:color w:val="000000"/>
                <w:sz w:val="16"/>
                <w:szCs w:val="16"/>
              </w:rPr>
            </w:pPr>
            <w:r>
              <w:rPr>
                <w:color w:val="000000"/>
                <w:sz w:val="16"/>
                <w:szCs w:val="16"/>
              </w:rPr>
              <w:t>32,90</w:t>
            </w:r>
          </w:p>
        </w:tc>
        <w:tc>
          <w:tcPr>
            <w:tcW w:w="879" w:type="dxa"/>
            <w:shd w:val="clear" w:color="000000" w:fill="92D050"/>
            <w:vAlign w:val="center"/>
          </w:tcPr>
          <w:p w:rsidR="00ED6116" w:rsidRPr="009223BE" w:rsidP="00A33106" w14:paraId="39075FF0" w14:textId="46B198D4">
            <w:pPr>
              <w:jc w:val="center"/>
              <w:rPr>
                <w:color w:val="000000"/>
                <w:sz w:val="16"/>
                <w:szCs w:val="16"/>
              </w:rPr>
            </w:pPr>
            <w:r>
              <w:rPr>
                <w:color w:val="000000"/>
                <w:sz w:val="16"/>
                <w:szCs w:val="16"/>
              </w:rPr>
              <w:t>23,33</w:t>
            </w:r>
          </w:p>
        </w:tc>
        <w:tc>
          <w:tcPr>
            <w:tcW w:w="1123" w:type="dxa"/>
            <w:shd w:val="clear" w:color="000000" w:fill="92D050"/>
            <w:vAlign w:val="center"/>
          </w:tcPr>
          <w:p w:rsidR="00ED6116" w:rsidRPr="009223BE" w:rsidP="00A33106" w14:paraId="0A49D084" w14:textId="5C7B3EAD">
            <w:pPr>
              <w:jc w:val="center"/>
              <w:rPr>
                <w:color w:val="000000"/>
                <w:sz w:val="16"/>
                <w:szCs w:val="16"/>
              </w:rPr>
            </w:pPr>
            <w:r>
              <w:rPr>
                <w:color w:val="000000"/>
                <w:sz w:val="16"/>
                <w:szCs w:val="16"/>
              </w:rPr>
              <w:t>17,06</w:t>
            </w:r>
          </w:p>
        </w:tc>
      </w:tr>
    </w:tbl>
    <w:p w:rsidR="009A54DF" w:rsidP="009A54DF" w14:paraId="07D67073" w14:textId="77777777">
      <w:pPr>
        <w:autoSpaceDE w:val="0"/>
        <w:autoSpaceDN w:val="0"/>
        <w:adjustRightInd w:val="0"/>
        <w:spacing w:line="293" w:lineRule="atLeast"/>
        <w:jc w:val="both"/>
        <w:rPr>
          <w:lang w:bidi="lo-LA"/>
        </w:rPr>
      </w:pPr>
      <w:r w:rsidRPr="006E1FFA">
        <w:rPr>
          <w:i/>
          <w:sz w:val="20"/>
          <w:szCs w:val="20"/>
        </w:rPr>
        <w:t>Avots</w:t>
      </w:r>
      <w:r w:rsidRPr="008603A3">
        <w:rPr>
          <w:i/>
          <w:sz w:val="20"/>
          <w:szCs w:val="20"/>
        </w:rPr>
        <w:t>: NVD</w:t>
      </w:r>
    </w:p>
    <w:p w:rsidR="00C203BA" w:rsidP="009B5CDC" w14:paraId="0C8A70A6" w14:textId="77777777">
      <w:pPr>
        <w:autoSpaceDE w:val="0"/>
        <w:autoSpaceDN w:val="0"/>
        <w:adjustRightInd w:val="0"/>
        <w:spacing w:line="293" w:lineRule="atLeast"/>
        <w:ind w:firstLine="720"/>
        <w:jc w:val="both"/>
      </w:pPr>
    </w:p>
    <w:p w:rsidR="009A54DF" w:rsidP="009B5CDC" w14:paraId="6F616811" w14:textId="7A0EFB75">
      <w:pPr>
        <w:autoSpaceDE w:val="0"/>
        <w:autoSpaceDN w:val="0"/>
        <w:adjustRightInd w:val="0"/>
        <w:spacing w:line="293" w:lineRule="atLeast"/>
        <w:ind w:firstLine="720"/>
        <w:jc w:val="both"/>
      </w:pPr>
      <w:r w:rsidRPr="00212EB5">
        <w:t xml:space="preserve">Atbilstoši 2017.gada gada faktiskajai izpildei </w:t>
      </w:r>
      <w:r w:rsidRPr="00212EB5">
        <w:rPr>
          <w:lang w:bidi="lo-LA"/>
        </w:rPr>
        <w:t>amb</w:t>
      </w:r>
      <w:r w:rsidR="00C03F9F">
        <w:rPr>
          <w:lang w:bidi="lo-LA"/>
        </w:rPr>
        <w:t>ulatoro izmeklējumu</w:t>
      </w:r>
      <w:r w:rsidRPr="00212EB5">
        <w:rPr>
          <w:lang w:bidi="lo-LA"/>
        </w:rPr>
        <w:t xml:space="preserve"> </w:t>
      </w:r>
      <w:r w:rsidRPr="00212EB5">
        <w:t xml:space="preserve">pieaugums īstenots </w:t>
      </w:r>
      <w:r w:rsidR="00D507C0">
        <w:t>91</w:t>
      </w:r>
      <w:r w:rsidR="001678C9">
        <w:t>,</w:t>
      </w:r>
      <w:r w:rsidR="00EC5E44">
        <w:t>70</w:t>
      </w:r>
      <w:r w:rsidRPr="00212EB5">
        <w:t xml:space="preserve"> % apmērā no gada plānotā </w:t>
      </w:r>
      <w:r w:rsidR="004E133B">
        <w:rPr>
          <w:lang w:bidi="lo-LA"/>
        </w:rPr>
        <w:t>izmeklējumu</w:t>
      </w:r>
      <w:r w:rsidRPr="00212EB5">
        <w:t xml:space="preserve"> </w:t>
      </w:r>
      <w:r w:rsidRPr="00212EB5" w:rsidR="002E4148">
        <w:t xml:space="preserve">pieauguma </w:t>
      </w:r>
      <w:r w:rsidRPr="00212EB5">
        <w:t xml:space="preserve">apjoma. Līdz ar minēto secināms, ka laika periodā no </w:t>
      </w:r>
      <w:r w:rsidR="00860361">
        <w:t>2017.gada</w:t>
      </w:r>
      <w:r w:rsidRPr="00212EB5">
        <w:t xml:space="preserve"> marta līdz </w:t>
      </w:r>
      <w:r w:rsidR="00860361">
        <w:t>decembrim</w:t>
      </w:r>
      <w:r w:rsidRPr="00212EB5">
        <w:t xml:space="preserve"> rindu samazinājums nodrošināts ārstniecības iestāžu iespēju robežās, vidēji samazinot rindu garumu uz </w:t>
      </w:r>
      <w:r w:rsidR="00A07D0F">
        <w:t>izmeklēj</w:t>
      </w:r>
      <w:r w:rsidRPr="00212EB5">
        <w:t xml:space="preserve">umiem </w:t>
      </w:r>
      <w:r w:rsidRPr="00135227">
        <w:t xml:space="preserve">par </w:t>
      </w:r>
      <w:r w:rsidR="00EC5E44">
        <w:t>32</w:t>
      </w:r>
      <w:r w:rsidR="00860361">
        <w:t>,</w:t>
      </w:r>
      <w:r w:rsidR="00EC5E44">
        <w:t>90</w:t>
      </w:r>
      <w:r w:rsidRPr="00135227">
        <w:t xml:space="preserve"> %</w:t>
      </w:r>
      <w:r w:rsidR="00D658FB">
        <w:t>.</w:t>
      </w:r>
    </w:p>
    <w:p w:rsidR="003966D1" w:rsidP="009B5CDC" w14:paraId="1A5FD3F3" w14:textId="536DB3C3">
      <w:pPr>
        <w:autoSpaceDE w:val="0"/>
        <w:autoSpaceDN w:val="0"/>
        <w:adjustRightInd w:val="0"/>
        <w:spacing w:line="293" w:lineRule="atLeast"/>
        <w:ind w:firstLine="720"/>
        <w:jc w:val="both"/>
      </w:pPr>
      <w:r w:rsidRPr="00AD7519">
        <w:t>R</w:t>
      </w:r>
      <w:r w:rsidRPr="00AD7519" w:rsidR="00022346">
        <w:t>indu samazinājums</w:t>
      </w:r>
      <w:r w:rsidRPr="00AD7519">
        <w:t xml:space="preserve"> 6 mēnešu periodā sasniedz</w:t>
      </w:r>
      <w:r w:rsidR="00C34C7A">
        <w:t>a</w:t>
      </w:r>
      <w:r w:rsidRPr="00AD7519">
        <w:t xml:space="preserve"> 12,35%</w:t>
      </w:r>
      <w:r>
        <w:t xml:space="preserve"> ņemot vērā</w:t>
      </w:r>
      <w:r w:rsidR="00C34C7A">
        <w:t xml:space="preserve"> to</w:t>
      </w:r>
      <w:r>
        <w:t>, ka sākotnēji palielinot pieejamo pakalpojumu apjomu būtiskākajā ambulatoro pakalpojumu sadaļā – ambula</w:t>
      </w:r>
      <w:r w:rsidR="004E133B">
        <w:t>torajos izmeklējumos</w:t>
      </w:r>
      <w:r>
        <w:t>, pieauga arī faktiskais pieprasījums no pacientiem, kuri iepriekš, ņemot vērā pakalpojuma nepieejamību</w:t>
      </w:r>
      <w:r w:rsidR="001269F2">
        <w:t>,</w:t>
      </w:r>
      <w:r>
        <w:t xml:space="preserve"> uz pakalpojumiem nepieteicās. Tāpat būtisks fa</w:t>
      </w:r>
      <w:r w:rsidR="004E133B">
        <w:t>ktors papildus izmeklējumu</w:t>
      </w:r>
      <w:r>
        <w:t xml:space="preserve"> pakalpojumu pieaugum</w:t>
      </w:r>
      <w:r w:rsidR="00C34C7A">
        <w:t>am</w:t>
      </w:r>
      <w:r>
        <w:t xml:space="preserve"> saistāms ar speciālistu konsultāciju pieaugumu, kuri tālāk pacientus </w:t>
      </w:r>
      <w:r>
        <w:t>nosūta</w:t>
      </w:r>
      <w:r>
        <w:t xml:space="preserve"> uz izmeklējumiem, palielinot </w:t>
      </w:r>
      <w:r w:rsidR="001269F2">
        <w:t xml:space="preserve">to </w:t>
      </w:r>
      <w:r>
        <w:t xml:space="preserve">apjomu. Minētie faktori aprakstīti </w:t>
      </w:r>
      <w:r w:rsidRPr="002B089F" w:rsidR="002B089F">
        <w:t>2017.gada 3.oktobra Ministru kabineta sēdē izskatītajā informatīvajā ziņojumā "Par tālāku rindu samazināšanu sekundārā ambulatorā veselības aprūpē" (MK sēdes protokols Nr.49</w:t>
      </w:r>
      <w:r w:rsidR="0055192A">
        <w:t> </w:t>
      </w:r>
      <w:bookmarkStart w:id="0" w:name="32"/>
      <w:r w:rsidRPr="002B089F" w:rsidR="002B089F">
        <w:t>32.§</w:t>
      </w:r>
      <w:bookmarkEnd w:id="0"/>
      <w:r w:rsidRPr="002B089F" w:rsidR="002B089F">
        <w:t>).</w:t>
      </w:r>
      <w:r>
        <w:t xml:space="preserve"> </w:t>
      </w:r>
    </w:p>
    <w:p w:rsidR="0004769C" w:rsidRPr="00F352AF" w:rsidP="0004769C" w14:paraId="69F2BE71" w14:textId="46E4A167">
      <w:pPr>
        <w:ind w:firstLine="720"/>
        <w:jc w:val="right"/>
        <w:rPr>
          <w:i/>
        </w:rPr>
      </w:pPr>
      <w:r>
        <w:rPr>
          <w:i/>
        </w:rPr>
        <w:t xml:space="preserve">10.tabula </w:t>
      </w:r>
    </w:p>
    <w:p w:rsidR="0004769C" w:rsidP="00E83C13" w14:paraId="78A29271" w14:textId="31FD0359">
      <w:pPr>
        <w:autoSpaceDE w:val="0"/>
        <w:autoSpaceDN w:val="0"/>
        <w:adjustRightInd w:val="0"/>
        <w:spacing w:line="293" w:lineRule="atLeast"/>
        <w:ind w:firstLine="720"/>
        <w:jc w:val="center"/>
      </w:pPr>
      <w:r>
        <w:t>Faktiski</w:t>
      </w:r>
      <w:r w:rsidR="004E133B">
        <w:t xml:space="preserve"> veiktie izmeklējumi</w:t>
      </w:r>
      <w:r>
        <w:t xml:space="preserve"> 2017.gadā</w:t>
      </w:r>
    </w:p>
    <w:p w:rsidR="00E83C13" w:rsidP="00E83C13" w14:paraId="6B2884E0" w14:textId="77777777">
      <w:pPr>
        <w:autoSpaceDE w:val="0"/>
        <w:autoSpaceDN w:val="0"/>
        <w:adjustRightInd w:val="0"/>
        <w:spacing w:line="293" w:lineRule="atLeast"/>
        <w:ind w:firstLine="720"/>
        <w:jc w:val="center"/>
      </w:pPr>
    </w:p>
    <w:tbl>
      <w:tblPr>
        <w:tblW w:w="9000" w:type="dxa"/>
        <w:jc w:val="center"/>
        <w:tblLook w:val="04A0"/>
      </w:tblPr>
      <w:tblGrid>
        <w:gridCol w:w="600"/>
        <w:gridCol w:w="3228"/>
        <w:gridCol w:w="2976"/>
        <w:gridCol w:w="2196"/>
      </w:tblGrid>
      <w:tr w14:paraId="2AFB0F48" w14:textId="77777777" w:rsidTr="0004769C">
        <w:tblPrEx>
          <w:tblW w:w="9000" w:type="dxa"/>
          <w:jc w:val="center"/>
          <w:tblLook w:val="04A0"/>
        </w:tblPrEx>
        <w:trPr>
          <w:trHeight w:val="1560"/>
          <w:jc w:val="center"/>
        </w:trPr>
        <w:tc>
          <w:tcPr>
            <w:tcW w:w="600" w:type="dxa"/>
            <w:vMerge w:val="restart"/>
            <w:tcBorders>
              <w:top w:val="single" w:sz="4" w:space="0" w:color="auto"/>
              <w:left w:val="nil"/>
              <w:bottom w:val="nil"/>
              <w:right w:val="single" w:sz="4" w:space="0" w:color="auto"/>
            </w:tcBorders>
            <w:shd w:val="clear" w:color="000000" w:fill="92D050"/>
            <w:noWrap/>
            <w:textDirection w:val="btLr"/>
            <w:vAlign w:val="center"/>
            <w:hideMark/>
          </w:tcPr>
          <w:p w:rsidR="0004769C" w:rsidRPr="0004769C" w:rsidP="0004769C" w14:paraId="2D0B1BC4" w14:textId="5EE98A4C">
            <w:pPr>
              <w:jc w:val="center"/>
              <w:rPr>
                <w:color w:val="000000"/>
              </w:rPr>
            </w:pPr>
            <w:r>
              <w:rPr>
                <w:color w:val="000000"/>
              </w:rPr>
              <w:t>Ambulatorie izmeklējumi</w:t>
            </w:r>
          </w:p>
        </w:tc>
        <w:tc>
          <w:tcPr>
            <w:tcW w:w="3228" w:type="dxa"/>
            <w:tcBorders>
              <w:top w:val="single" w:sz="4" w:space="0" w:color="auto"/>
              <w:left w:val="nil"/>
              <w:bottom w:val="single" w:sz="4" w:space="0" w:color="auto"/>
              <w:right w:val="single" w:sz="4" w:space="0" w:color="auto"/>
            </w:tcBorders>
            <w:shd w:val="clear" w:color="000000" w:fill="92D050"/>
            <w:vAlign w:val="center"/>
            <w:hideMark/>
          </w:tcPr>
          <w:p w:rsidR="0004769C" w:rsidRPr="0004769C" w:rsidP="0004769C" w14:paraId="1E34F78F" w14:textId="77777777">
            <w:pPr>
              <w:jc w:val="center"/>
              <w:rPr>
                <w:b/>
                <w:bCs/>
                <w:color w:val="000000"/>
                <w:sz w:val="20"/>
                <w:szCs w:val="20"/>
              </w:rPr>
            </w:pPr>
            <w:r w:rsidRPr="0004769C">
              <w:rPr>
                <w:b/>
                <w:bCs/>
                <w:color w:val="000000"/>
                <w:sz w:val="20"/>
                <w:szCs w:val="20"/>
              </w:rPr>
              <w:t>Pakalpojumu veida nosaukums</w:t>
            </w:r>
          </w:p>
        </w:tc>
        <w:tc>
          <w:tcPr>
            <w:tcW w:w="2976" w:type="dxa"/>
            <w:tcBorders>
              <w:top w:val="single" w:sz="4" w:space="0" w:color="auto"/>
              <w:left w:val="nil"/>
              <w:bottom w:val="single" w:sz="4" w:space="0" w:color="auto"/>
              <w:right w:val="single" w:sz="4" w:space="0" w:color="auto"/>
            </w:tcBorders>
            <w:shd w:val="clear" w:color="000000" w:fill="92D050"/>
            <w:vAlign w:val="center"/>
            <w:hideMark/>
          </w:tcPr>
          <w:p w:rsidR="0004769C" w:rsidRPr="0004769C" w:rsidP="0004769C" w14:paraId="7109FC1E" w14:textId="77777777">
            <w:pPr>
              <w:jc w:val="center"/>
              <w:rPr>
                <w:b/>
                <w:bCs/>
                <w:color w:val="000000"/>
                <w:sz w:val="20"/>
                <w:szCs w:val="20"/>
              </w:rPr>
            </w:pPr>
            <w:r w:rsidRPr="0004769C">
              <w:rPr>
                <w:b/>
                <w:bCs/>
                <w:color w:val="000000"/>
                <w:sz w:val="20"/>
                <w:szCs w:val="20"/>
              </w:rPr>
              <w:t>Faktiski veiktais darbs 2017.gadā (t.sk. pacienta iemaksas kompensācija), gaidīšanas rindu mazināšanas finansējums, EUR</w:t>
            </w:r>
          </w:p>
        </w:tc>
        <w:tc>
          <w:tcPr>
            <w:tcW w:w="2196" w:type="dxa"/>
            <w:tcBorders>
              <w:top w:val="single" w:sz="4" w:space="0" w:color="auto"/>
              <w:left w:val="nil"/>
              <w:bottom w:val="single" w:sz="4" w:space="0" w:color="auto"/>
              <w:right w:val="single" w:sz="4" w:space="0" w:color="auto"/>
            </w:tcBorders>
            <w:shd w:val="clear" w:color="000000" w:fill="92D050"/>
            <w:vAlign w:val="center"/>
            <w:hideMark/>
          </w:tcPr>
          <w:p w:rsidR="0004769C" w:rsidRPr="0004769C" w:rsidP="0004769C" w14:paraId="2719FC91" w14:textId="77777777">
            <w:pPr>
              <w:jc w:val="center"/>
              <w:rPr>
                <w:b/>
                <w:bCs/>
                <w:color w:val="000000"/>
                <w:sz w:val="20"/>
                <w:szCs w:val="20"/>
              </w:rPr>
            </w:pPr>
            <w:r w:rsidRPr="0004769C">
              <w:rPr>
                <w:b/>
                <w:bCs/>
                <w:color w:val="000000"/>
                <w:sz w:val="20"/>
                <w:szCs w:val="20"/>
              </w:rPr>
              <w:t>Faktiski veiktais izmeklējumu skaits 2017.gadā</w:t>
            </w:r>
          </w:p>
        </w:tc>
      </w:tr>
      <w:tr w14:paraId="13D84C9F" w14:textId="77777777" w:rsidTr="0004769C">
        <w:tblPrEx>
          <w:tblW w:w="9000" w:type="dxa"/>
          <w:jc w:val="center"/>
          <w:tblLook w:val="04A0"/>
        </w:tblPrEx>
        <w:trPr>
          <w:trHeight w:val="300"/>
          <w:jc w:val="center"/>
        </w:trPr>
        <w:tc>
          <w:tcPr>
            <w:tcW w:w="600" w:type="dxa"/>
            <w:vMerge/>
            <w:tcBorders>
              <w:top w:val="single" w:sz="4" w:space="0" w:color="auto"/>
              <w:left w:val="nil"/>
              <w:bottom w:val="nil"/>
              <w:right w:val="single" w:sz="4" w:space="0" w:color="auto"/>
            </w:tcBorders>
            <w:vAlign w:val="center"/>
            <w:hideMark/>
          </w:tcPr>
          <w:p w:rsidR="00F6297A" w:rsidRPr="0004769C" w:rsidP="00F6297A" w14:paraId="7C86175E" w14:textId="77777777">
            <w:pPr>
              <w:rPr>
                <w:color w:val="000000"/>
              </w:rPr>
            </w:pPr>
          </w:p>
        </w:tc>
        <w:tc>
          <w:tcPr>
            <w:tcW w:w="3228" w:type="dxa"/>
            <w:tcBorders>
              <w:top w:val="nil"/>
              <w:left w:val="nil"/>
              <w:bottom w:val="single" w:sz="4" w:space="0" w:color="auto"/>
              <w:right w:val="single" w:sz="4" w:space="0" w:color="auto"/>
            </w:tcBorders>
            <w:shd w:val="clear" w:color="auto" w:fill="auto"/>
            <w:noWrap/>
            <w:vAlign w:val="bottom"/>
            <w:hideMark/>
          </w:tcPr>
          <w:p w:rsidR="00F6297A" w:rsidRPr="0004769C" w:rsidP="00F6297A" w14:paraId="3F3B65AA" w14:textId="77777777">
            <w:pPr>
              <w:rPr>
                <w:color w:val="000000"/>
                <w:sz w:val="20"/>
                <w:szCs w:val="20"/>
              </w:rPr>
            </w:pPr>
            <w:r w:rsidRPr="0004769C">
              <w:rPr>
                <w:color w:val="000000"/>
                <w:sz w:val="20"/>
                <w:szCs w:val="20"/>
              </w:rPr>
              <w:t>Datortomogrāfija</w:t>
            </w:r>
          </w:p>
        </w:tc>
        <w:tc>
          <w:tcPr>
            <w:tcW w:w="297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64B7EF9D" w14:textId="6B3FAC90">
            <w:pPr>
              <w:jc w:val="center"/>
              <w:rPr>
                <w:color w:val="000000"/>
                <w:sz w:val="20"/>
                <w:szCs w:val="20"/>
              </w:rPr>
            </w:pPr>
            <w:r>
              <w:rPr>
                <w:color w:val="000000"/>
                <w:sz w:val="20"/>
                <w:szCs w:val="20"/>
              </w:rPr>
              <w:t>2 272 849</w:t>
            </w:r>
          </w:p>
        </w:tc>
        <w:tc>
          <w:tcPr>
            <w:tcW w:w="219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7F705776" w14:textId="20720E6E">
            <w:pPr>
              <w:jc w:val="center"/>
              <w:rPr>
                <w:color w:val="000000"/>
                <w:sz w:val="22"/>
                <w:szCs w:val="22"/>
              </w:rPr>
            </w:pPr>
            <w:r>
              <w:rPr>
                <w:color w:val="000000"/>
                <w:sz w:val="20"/>
                <w:szCs w:val="20"/>
              </w:rPr>
              <w:t>32 105</w:t>
            </w:r>
          </w:p>
        </w:tc>
      </w:tr>
      <w:tr w14:paraId="216F7A02" w14:textId="77777777" w:rsidTr="0004769C">
        <w:tblPrEx>
          <w:tblW w:w="9000" w:type="dxa"/>
          <w:jc w:val="center"/>
          <w:tblLook w:val="04A0"/>
        </w:tblPrEx>
        <w:trPr>
          <w:trHeight w:val="300"/>
          <w:jc w:val="center"/>
        </w:trPr>
        <w:tc>
          <w:tcPr>
            <w:tcW w:w="600" w:type="dxa"/>
            <w:vMerge/>
            <w:tcBorders>
              <w:top w:val="single" w:sz="4" w:space="0" w:color="auto"/>
              <w:left w:val="nil"/>
              <w:bottom w:val="nil"/>
              <w:right w:val="single" w:sz="4" w:space="0" w:color="auto"/>
            </w:tcBorders>
            <w:vAlign w:val="center"/>
            <w:hideMark/>
          </w:tcPr>
          <w:p w:rsidR="00F6297A" w:rsidRPr="0004769C" w:rsidP="00F6297A" w14:paraId="6C0021E3" w14:textId="77777777">
            <w:pPr>
              <w:rPr>
                <w:color w:val="000000"/>
              </w:rPr>
            </w:pPr>
          </w:p>
        </w:tc>
        <w:tc>
          <w:tcPr>
            <w:tcW w:w="3228" w:type="dxa"/>
            <w:tcBorders>
              <w:top w:val="nil"/>
              <w:left w:val="nil"/>
              <w:bottom w:val="single" w:sz="4" w:space="0" w:color="auto"/>
              <w:right w:val="single" w:sz="4" w:space="0" w:color="auto"/>
            </w:tcBorders>
            <w:shd w:val="clear" w:color="auto" w:fill="auto"/>
            <w:noWrap/>
            <w:vAlign w:val="bottom"/>
            <w:hideMark/>
          </w:tcPr>
          <w:p w:rsidR="00F6297A" w:rsidRPr="0004769C" w:rsidP="00F6297A" w14:paraId="5C20EF29" w14:textId="77777777">
            <w:pPr>
              <w:rPr>
                <w:color w:val="000000"/>
                <w:sz w:val="20"/>
                <w:szCs w:val="20"/>
              </w:rPr>
            </w:pPr>
            <w:r w:rsidRPr="0004769C">
              <w:rPr>
                <w:color w:val="000000"/>
                <w:sz w:val="20"/>
                <w:szCs w:val="20"/>
              </w:rPr>
              <w:t>Doplerogrāfija</w:t>
            </w:r>
          </w:p>
        </w:tc>
        <w:tc>
          <w:tcPr>
            <w:tcW w:w="297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7683CEBC" w14:textId="6D7A1E7B">
            <w:pPr>
              <w:jc w:val="center"/>
              <w:rPr>
                <w:color w:val="000000"/>
                <w:sz w:val="20"/>
                <w:szCs w:val="20"/>
              </w:rPr>
            </w:pPr>
            <w:r>
              <w:rPr>
                <w:color w:val="000000"/>
                <w:sz w:val="20"/>
                <w:szCs w:val="20"/>
              </w:rPr>
              <w:t>493 865</w:t>
            </w:r>
          </w:p>
        </w:tc>
        <w:tc>
          <w:tcPr>
            <w:tcW w:w="219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399EF024" w14:textId="1D4ECD26">
            <w:pPr>
              <w:jc w:val="center"/>
              <w:rPr>
                <w:color w:val="000000"/>
                <w:sz w:val="22"/>
                <w:szCs w:val="22"/>
              </w:rPr>
            </w:pPr>
            <w:r>
              <w:rPr>
                <w:color w:val="000000"/>
                <w:sz w:val="20"/>
                <w:szCs w:val="20"/>
              </w:rPr>
              <w:t>23 534</w:t>
            </w:r>
          </w:p>
        </w:tc>
      </w:tr>
      <w:tr w14:paraId="10D2E6B8" w14:textId="77777777" w:rsidTr="0004769C">
        <w:tblPrEx>
          <w:tblW w:w="9000" w:type="dxa"/>
          <w:jc w:val="center"/>
          <w:tblLook w:val="04A0"/>
        </w:tblPrEx>
        <w:trPr>
          <w:trHeight w:val="300"/>
          <w:jc w:val="center"/>
        </w:trPr>
        <w:tc>
          <w:tcPr>
            <w:tcW w:w="600" w:type="dxa"/>
            <w:vMerge/>
            <w:tcBorders>
              <w:top w:val="single" w:sz="4" w:space="0" w:color="auto"/>
              <w:left w:val="nil"/>
              <w:bottom w:val="nil"/>
              <w:right w:val="single" w:sz="4" w:space="0" w:color="auto"/>
            </w:tcBorders>
            <w:vAlign w:val="center"/>
            <w:hideMark/>
          </w:tcPr>
          <w:p w:rsidR="00F6297A" w:rsidRPr="0004769C" w:rsidP="00F6297A" w14:paraId="4CA86BE7" w14:textId="77777777">
            <w:pPr>
              <w:rPr>
                <w:color w:val="000000"/>
              </w:rPr>
            </w:pPr>
          </w:p>
        </w:tc>
        <w:tc>
          <w:tcPr>
            <w:tcW w:w="3228" w:type="dxa"/>
            <w:tcBorders>
              <w:top w:val="nil"/>
              <w:left w:val="nil"/>
              <w:bottom w:val="single" w:sz="4" w:space="0" w:color="auto"/>
              <w:right w:val="single" w:sz="4" w:space="0" w:color="auto"/>
            </w:tcBorders>
            <w:shd w:val="clear" w:color="auto" w:fill="auto"/>
            <w:noWrap/>
            <w:vAlign w:val="bottom"/>
            <w:hideMark/>
          </w:tcPr>
          <w:p w:rsidR="00F6297A" w:rsidRPr="0004769C" w:rsidP="00F6297A" w14:paraId="74405A33" w14:textId="77777777">
            <w:pPr>
              <w:rPr>
                <w:color w:val="000000"/>
                <w:sz w:val="20"/>
                <w:szCs w:val="20"/>
              </w:rPr>
            </w:pPr>
            <w:r w:rsidRPr="0004769C">
              <w:rPr>
                <w:color w:val="000000"/>
                <w:sz w:val="20"/>
                <w:szCs w:val="20"/>
              </w:rPr>
              <w:t>Endoskopija</w:t>
            </w:r>
          </w:p>
        </w:tc>
        <w:tc>
          <w:tcPr>
            <w:tcW w:w="297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63D15C33" w14:textId="537739BA">
            <w:pPr>
              <w:jc w:val="center"/>
              <w:rPr>
                <w:color w:val="000000"/>
                <w:sz w:val="20"/>
                <w:szCs w:val="20"/>
              </w:rPr>
            </w:pPr>
            <w:r>
              <w:rPr>
                <w:color w:val="000000"/>
                <w:sz w:val="20"/>
                <w:szCs w:val="20"/>
              </w:rPr>
              <w:t>672 292</w:t>
            </w:r>
          </w:p>
        </w:tc>
        <w:tc>
          <w:tcPr>
            <w:tcW w:w="219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71CAEC29" w14:textId="1BFFA1EF">
            <w:pPr>
              <w:jc w:val="center"/>
              <w:rPr>
                <w:color w:val="000000"/>
                <w:sz w:val="22"/>
                <w:szCs w:val="22"/>
              </w:rPr>
            </w:pPr>
            <w:r>
              <w:rPr>
                <w:color w:val="000000"/>
                <w:sz w:val="20"/>
                <w:szCs w:val="20"/>
              </w:rPr>
              <w:t>12 872</w:t>
            </w:r>
          </w:p>
        </w:tc>
      </w:tr>
      <w:tr w14:paraId="691CDDD0" w14:textId="77777777" w:rsidTr="0004769C">
        <w:tblPrEx>
          <w:tblW w:w="9000" w:type="dxa"/>
          <w:jc w:val="center"/>
          <w:tblLook w:val="04A0"/>
        </w:tblPrEx>
        <w:trPr>
          <w:trHeight w:val="300"/>
          <w:jc w:val="center"/>
        </w:trPr>
        <w:tc>
          <w:tcPr>
            <w:tcW w:w="600" w:type="dxa"/>
            <w:vMerge/>
            <w:tcBorders>
              <w:top w:val="single" w:sz="4" w:space="0" w:color="auto"/>
              <w:left w:val="nil"/>
              <w:bottom w:val="nil"/>
              <w:right w:val="single" w:sz="4" w:space="0" w:color="auto"/>
            </w:tcBorders>
            <w:vAlign w:val="center"/>
            <w:hideMark/>
          </w:tcPr>
          <w:p w:rsidR="00F6297A" w:rsidRPr="0004769C" w:rsidP="00F6297A" w14:paraId="05E9E435" w14:textId="77777777">
            <w:pPr>
              <w:rPr>
                <w:color w:val="000000"/>
              </w:rPr>
            </w:pPr>
          </w:p>
        </w:tc>
        <w:tc>
          <w:tcPr>
            <w:tcW w:w="3228" w:type="dxa"/>
            <w:tcBorders>
              <w:top w:val="nil"/>
              <w:left w:val="nil"/>
              <w:bottom w:val="single" w:sz="4" w:space="0" w:color="auto"/>
              <w:right w:val="single" w:sz="4" w:space="0" w:color="auto"/>
            </w:tcBorders>
            <w:shd w:val="clear" w:color="auto" w:fill="auto"/>
            <w:noWrap/>
            <w:vAlign w:val="bottom"/>
            <w:hideMark/>
          </w:tcPr>
          <w:p w:rsidR="00F6297A" w:rsidRPr="0004769C" w:rsidP="00F6297A" w14:paraId="78E4840A" w14:textId="77777777">
            <w:pPr>
              <w:rPr>
                <w:color w:val="000000"/>
                <w:sz w:val="20"/>
                <w:szCs w:val="20"/>
              </w:rPr>
            </w:pPr>
            <w:r w:rsidRPr="0004769C">
              <w:rPr>
                <w:color w:val="000000"/>
                <w:sz w:val="20"/>
                <w:szCs w:val="20"/>
              </w:rPr>
              <w:t>Kodolmagnētiskās rezonanse</w:t>
            </w:r>
          </w:p>
        </w:tc>
        <w:tc>
          <w:tcPr>
            <w:tcW w:w="297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71AA7C13" w14:textId="08BC80C8">
            <w:pPr>
              <w:jc w:val="center"/>
              <w:rPr>
                <w:color w:val="000000"/>
                <w:sz w:val="20"/>
                <w:szCs w:val="20"/>
              </w:rPr>
            </w:pPr>
            <w:r>
              <w:rPr>
                <w:color w:val="000000"/>
                <w:sz w:val="20"/>
                <w:szCs w:val="20"/>
              </w:rPr>
              <w:t>1 638 516</w:t>
            </w:r>
          </w:p>
        </w:tc>
        <w:tc>
          <w:tcPr>
            <w:tcW w:w="219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3466DC44" w14:textId="5333C1B3">
            <w:pPr>
              <w:jc w:val="center"/>
              <w:rPr>
                <w:color w:val="000000"/>
                <w:sz w:val="22"/>
                <w:szCs w:val="22"/>
              </w:rPr>
            </w:pPr>
            <w:r>
              <w:rPr>
                <w:color w:val="000000"/>
                <w:sz w:val="20"/>
                <w:szCs w:val="20"/>
              </w:rPr>
              <w:t>15 439</w:t>
            </w:r>
          </w:p>
        </w:tc>
      </w:tr>
      <w:tr w14:paraId="7BE208A2" w14:textId="77777777" w:rsidTr="0004769C">
        <w:tblPrEx>
          <w:tblW w:w="9000" w:type="dxa"/>
          <w:jc w:val="center"/>
          <w:tblLook w:val="04A0"/>
        </w:tblPrEx>
        <w:trPr>
          <w:trHeight w:val="300"/>
          <w:jc w:val="center"/>
        </w:trPr>
        <w:tc>
          <w:tcPr>
            <w:tcW w:w="600" w:type="dxa"/>
            <w:vMerge/>
            <w:tcBorders>
              <w:top w:val="single" w:sz="4" w:space="0" w:color="auto"/>
              <w:left w:val="nil"/>
              <w:bottom w:val="nil"/>
              <w:right w:val="single" w:sz="4" w:space="0" w:color="auto"/>
            </w:tcBorders>
            <w:vAlign w:val="center"/>
            <w:hideMark/>
          </w:tcPr>
          <w:p w:rsidR="00F6297A" w:rsidRPr="0004769C" w:rsidP="00F6297A" w14:paraId="13766ED9" w14:textId="77777777">
            <w:pPr>
              <w:rPr>
                <w:color w:val="000000"/>
              </w:rPr>
            </w:pPr>
          </w:p>
        </w:tc>
        <w:tc>
          <w:tcPr>
            <w:tcW w:w="3228" w:type="dxa"/>
            <w:tcBorders>
              <w:top w:val="nil"/>
              <w:left w:val="nil"/>
              <w:bottom w:val="single" w:sz="4" w:space="0" w:color="auto"/>
              <w:right w:val="single" w:sz="4" w:space="0" w:color="auto"/>
            </w:tcBorders>
            <w:shd w:val="clear" w:color="auto" w:fill="auto"/>
            <w:noWrap/>
            <w:vAlign w:val="bottom"/>
            <w:hideMark/>
          </w:tcPr>
          <w:p w:rsidR="00F6297A" w:rsidRPr="0004769C" w:rsidP="00F6297A" w14:paraId="41873F18" w14:textId="77777777">
            <w:pPr>
              <w:rPr>
                <w:color w:val="000000"/>
                <w:sz w:val="20"/>
                <w:szCs w:val="20"/>
              </w:rPr>
            </w:pPr>
            <w:r w:rsidRPr="0004769C">
              <w:rPr>
                <w:color w:val="000000"/>
                <w:sz w:val="20"/>
                <w:szCs w:val="20"/>
              </w:rPr>
              <w:t>Mammogrāfija</w:t>
            </w:r>
          </w:p>
        </w:tc>
        <w:tc>
          <w:tcPr>
            <w:tcW w:w="297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7C8C4166" w14:textId="641C9CDF">
            <w:pPr>
              <w:jc w:val="center"/>
              <w:rPr>
                <w:color w:val="000000"/>
                <w:sz w:val="20"/>
                <w:szCs w:val="20"/>
              </w:rPr>
            </w:pPr>
            <w:r>
              <w:rPr>
                <w:color w:val="000000"/>
                <w:sz w:val="20"/>
                <w:szCs w:val="20"/>
              </w:rPr>
              <w:t>37 893</w:t>
            </w:r>
          </w:p>
        </w:tc>
        <w:tc>
          <w:tcPr>
            <w:tcW w:w="219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2BB5E369" w14:textId="784EDA80">
            <w:pPr>
              <w:jc w:val="center"/>
              <w:rPr>
                <w:color w:val="000000"/>
                <w:sz w:val="22"/>
                <w:szCs w:val="22"/>
              </w:rPr>
            </w:pPr>
            <w:r>
              <w:rPr>
                <w:color w:val="000000"/>
                <w:sz w:val="20"/>
                <w:szCs w:val="20"/>
              </w:rPr>
              <w:t>2 355</w:t>
            </w:r>
          </w:p>
        </w:tc>
      </w:tr>
      <w:tr w14:paraId="7747E1BA" w14:textId="77777777" w:rsidTr="0004769C">
        <w:tblPrEx>
          <w:tblW w:w="9000" w:type="dxa"/>
          <w:jc w:val="center"/>
          <w:tblLook w:val="04A0"/>
        </w:tblPrEx>
        <w:trPr>
          <w:trHeight w:val="300"/>
          <w:jc w:val="center"/>
        </w:trPr>
        <w:tc>
          <w:tcPr>
            <w:tcW w:w="600" w:type="dxa"/>
            <w:vMerge/>
            <w:tcBorders>
              <w:top w:val="single" w:sz="4" w:space="0" w:color="auto"/>
              <w:left w:val="nil"/>
              <w:bottom w:val="nil"/>
              <w:right w:val="single" w:sz="4" w:space="0" w:color="auto"/>
            </w:tcBorders>
            <w:vAlign w:val="center"/>
            <w:hideMark/>
          </w:tcPr>
          <w:p w:rsidR="00F6297A" w:rsidRPr="0004769C" w:rsidP="00F6297A" w14:paraId="297238B9" w14:textId="77777777">
            <w:pPr>
              <w:rPr>
                <w:color w:val="000000"/>
              </w:rPr>
            </w:pPr>
          </w:p>
        </w:tc>
        <w:tc>
          <w:tcPr>
            <w:tcW w:w="3228" w:type="dxa"/>
            <w:tcBorders>
              <w:top w:val="nil"/>
              <w:left w:val="nil"/>
              <w:bottom w:val="single" w:sz="4" w:space="0" w:color="auto"/>
              <w:right w:val="single" w:sz="4" w:space="0" w:color="auto"/>
            </w:tcBorders>
            <w:shd w:val="clear" w:color="auto" w:fill="auto"/>
            <w:noWrap/>
            <w:vAlign w:val="bottom"/>
            <w:hideMark/>
          </w:tcPr>
          <w:p w:rsidR="00F6297A" w:rsidRPr="0004769C" w:rsidP="00F6297A" w14:paraId="1DF6CD14" w14:textId="77777777">
            <w:pPr>
              <w:rPr>
                <w:color w:val="000000"/>
                <w:sz w:val="20"/>
                <w:szCs w:val="20"/>
              </w:rPr>
            </w:pPr>
            <w:r w:rsidRPr="0004769C">
              <w:rPr>
                <w:color w:val="000000"/>
                <w:sz w:val="20"/>
                <w:szCs w:val="20"/>
              </w:rPr>
              <w:t>Neiroelektrofizioloģiskie</w:t>
            </w:r>
            <w:r w:rsidRPr="0004769C">
              <w:rPr>
                <w:color w:val="000000"/>
                <w:sz w:val="20"/>
                <w:szCs w:val="20"/>
              </w:rPr>
              <w:t xml:space="preserve"> funkcionālie izmeklējumi</w:t>
            </w:r>
          </w:p>
        </w:tc>
        <w:tc>
          <w:tcPr>
            <w:tcW w:w="297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202630C4" w14:textId="0E00BCBB">
            <w:pPr>
              <w:jc w:val="center"/>
              <w:rPr>
                <w:color w:val="000000"/>
                <w:sz w:val="20"/>
                <w:szCs w:val="20"/>
              </w:rPr>
            </w:pPr>
            <w:r>
              <w:rPr>
                <w:color w:val="000000"/>
                <w:sz w:val="20"/>
                <w:szCs w:val="20"/>
              </w:rPr>
              <w:t>95 903</w:t>
            </w:r>
          </w:p>
        </w:tc>
        <w:tc>
          <w:tcPr>
            <w:tcW w:w="219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74298107" w14:textId="50788D6E">
            <w:pPr>
              <w:jc w:val="center"/>
              <w:rPr>
                <w:color w:val="000000"/>
                <w:sz w:val="22"/>
                <w:szCs w:val="22"/>
              </w:rPr>
            </w:pPr>
            <w:r>
              <w:rPr>
                <w:color w:val="000000"/>
                <w:sz w:val="20"/>
                <w:szCs w:val="20"/>
              </w:rPr>
              <w:t>3 129</w:t>
            </w:r>
          </w:p>
        </w:tc>
      </w:tr>
      <w:tr w14:paraId="39F7F80B" w14:textId="77777777" w:rsidTr="0004769C">
        <w:tblPrEx>
          <w:tblW w:w="9000" w:type="dxa"/>
          <w:jc w:val="center"/>
          <w:tblLook w:val="04A0"/>
        </w:tblPrEx>
        <w:trPr>
          <w:trHeight w:val="300"/>
          <w:jc w:val="center"/>
        </w:trPr>
        <w:tc>
          <w:tcPr>
            <w:tcW w:w="600" w:type="dxa"/>
            <w:vMerge/>
            <w:tcBorders>
              <w:top w:val="single" w:sz="4" w:space="0" w:color="auto"/>
              <w:left w:val="nil"/>
              <w:bottom w:val="nil"/>
              <w:right w:val="single" w:sz="4" w:space="0" w:color="auto"/>
            </w:tcBorders>
            <w:vAlign w:val="center"/>
            <w:hideMark/>
          </w:tcPr>
          <w:p w:rsidR="00F6297A" w:rsidRPr="0004769C" w:rsidP="00F6297A" w14:paraId="1BAB83E6" w14:textId="77777777">
            <w:pPr>
              <w:rPr>
                <w:color w:val="000000"/>
              </w:rPr>
            </w:pPr>
          </w:p>
        </w:tc>
        <w:tc>
          <w:tcPr>
            <w:tcW w:w="3228" w:type="dxa"/>
            <w:tcBorders>
              <w:top w:val="nil"/>
              <w:left w:val="nil"/>
              <w:bottom w:val="single" w:sz="4" w:space="0" w:color="auto"/>
              <w:right w:val="single" w:sz="4" w:space="0" w:color="auto"/>
            </w:tcBorders>
            <w:shd w:val="clear" w:color="auto" w:fill="auto"/>
            <w:noWrap/>
            <w:vAlign w:val="bottom"/>
            <w:hideMark/>
          </w:tcPr>
          <w:p w:rsidR="00F6297A" w:rsidRPr="0004769C" w:rsidP="00F6297A" w14:paraId="1DEFD49D" w14:textId="77777777">
            <w:pPr>
              <w:rPr>
                <w:color w:val="000000"/>
                <w:sz w:val="20"/>
                <w:szCs w:val="20"/>
              </w:rPr>
            </w:pPr>
            <w:r w:rsidRPr="0004769C">
              <w:rPr>
                <w:color w:val="000000"/>
                <w:sz w:val="20"/>
                <w:szCs w:val="20"/>
              </w:rPr>
              <w:t>Osteodensitometrija</w:t>
            </w:r>
          </w:p>
        </w:tc>
        <w:tc>
          <w:tcPr>
            <w:tcW w:w="297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14BC5E82" w14:textId="31EBF7BD">
            <w:pPr>
              <w:jc w:val="center"/>
              <w:rPr>
                <w:color w:val="000000"/>
                <w:sz w:val="20"/>
                <w:szCs w:val="20"/>
              </w:rPr>
            </w:pPr>
            <w:r>
              <w:rPr>
                <w:color w:val="000000"/>
                <w:sz w:val="20"/>
                <w:szCs w:val="20"/>
              </w:rPr>
              <w:t>95 828</w:t>
            </w:r>
          </w:p>
        </w:tc>
        <w:tc>
          <w:tcPr>
            <w:tcW w:w="219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1982620B" w14:textId="46458AC9">
            <w:pPr>
              <w:jc w:val="center"/>
              <w:rPr>
                <w:color w:val="000000"/>
                <w:sz w:val="22"/>
                <w:szCs w:val="22"/>
              </w:rPr>
            </w:pPr>
            <w:r>
              <w:rPr>
                <w:color w:val="000000"/>
                <w:sz w:val="20"/>
                <w:szCs w:val="20"/>
              </w:rPr>
              <w:t>4 695</w:t>
            </w:r>
          </w:p>
        </w:tc>
      </w:tr>
      <w:tr w14:paraId="70DDFD19" w14:textId="77777777" w:rsidTr="0004769C">
        <w:tblPrEx>
          <w:tblW w:w="9000" w:type="dxa"/>
          <w:jc w:val="center"/>
          <w:tblLook w:val="04A0"/>
        </w:tblPrEx>
        <w:trPr>
          <w:trHeight w:val="300"/>
          <w:jc w:val="center"/>
        </w:trPr>
        <w:tc>
          <w:tcPr>
            <w:tcW w:w="600" w:type="dxa"/>
            <w:vMerge/>
            <w:tcBorders>
              <w:top w:val="single" w:sz="4" w:space="0" w:color="auto"/>
              <w:left w:val="nil"/>
              <w:bottom w:val="nil"/>
              <w:right w:val="single" w:sz="4" w:space="0" w:color="auto"/>
            </w:tcBorders>
            <w:vAlign w:val="center"/>
            <w:hideMark/>
          </w:tcPr>
          <w:p w:rsidR="00F6297A" w:rsidRPr="0004769C" w:rsidP="00F6297A" w14:paraId="78F392BD" w14:textId="77777777">
            <w:pPr>
              <w:rPr>
                <w:color w:val="000000"/>
              </w:rPr>
            </w:pPr>
          </w:p>
        </w:tc>
        <w:tc>
          <w:tcPr>
            <w:tcW w:w="3228" w:type="dxa"/>
            <w:tcBorders>
              <w:top w:val="nil"/>
              <w:left w:val="nil"/>
              <w:bottom w:val="single" w:sz="4" w:space="0" w:color="auto"/>
              <w:right w:val="single" w:sz="4" w:space="0" w:color="auto"/>
            </w:tcBorders>
            <w:shd w:val="clear" w:color="auto" w:fill="auto"/>
            <w:noWrap/>
            <w:vAlign w:val="bottom"/>
            <w:hideMark/>
          </w:tcPr>
          <w:p w:rsidR="00F6297A" w:rsidRPr="0004769C" w:rsidP="00F6297A" w14:paraId="33514736" w14:textId="77777777">
            <w:pPr>
              <w:rPr>
                <w:color w:val="000000"/>
                <w:sz w:val="20"/>
                <w:szCs w:val="20"/>
              </w:rPr>
            </w:pPr>
            <w:r w:rsidRPr="0004769C">
              <w:rPr>
                <w:color w:val="000000"/>
                <w:sz w:val="20"/>
                <w:szCs w:val="20"/>
              </w:rPr>
              <w:t>Radionuklīdā diagnostika</w:t>
            </w:r>
          </w:p>
        </w:tc>
        <w:tc>
          <w:tcPr>
            <w:tcW w:w="297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5025A17B" w14:textId="5229B1B5">
            <w:pPr>
              <w:jc w:val="center"/>
              <w:rPr>
                <w:color w:val="000000"/>
                <w:sz w:val="20"/>
                <w:szCs w:val="20"/>
              </w:rPr>
            </w:pPr>
            <w:r>
              <w:rPr>
                <w:color w:val="000000"/>
                <w:sz w:val="20"/>
                <w:szCs w:val="20"/>
              </w:rPr>
              <w:t>29 996</w:t>
            </w:r>
          </w:p>
        </w:tc>
        <w:tc>
          <w:tcPr>
            <w:tcW w:w="219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4EB0D4BC" w14:textId="4318EF18">
            <w:pPr>
              <w:jc w:val="center"/>
              <w:rPr>
                <w:color w:val="000000"/>
                <w:sz w:val="22"/>
                <w:szCs w:val="22"/>
              </w:rPr>
            </w:pPr>
            <w:r>
              <w:rPr>
                <w:color w:val="000000"/>
                <w:sz w:val="20"/>
                <w:szCs w:val="20"/>
              </w:rPr>
              <w:t>436</w:t>
            </w:r>
          </w:p>
        </w:tc>
      </w:tr>
      <w:tr w14:paraId="7BA591AF" w14:textId="77777777" w:rsidTr="0004769C">
        <w:tblPrEx>
          <w:tblW w:w="9000" w:type="dxa"/>
          <w:jc w:val="center"/>
          <w:tblLook w:val="04A0"/>
        </w:tblPrEx>
        <w:trPr>
          <w:trHeight w:val="300"/>
          <w:jc w:val="center"/>
        </w:trPr>
        <w:tc>
          <w:tcPr>
            <w:tcW w:w="600" w:type="dxa"/>
            <w:vMerge/>
            <w:tcBorders>
              <w:top w:val="single" w:sz="4" w:space="0" w:color="auto"/>
              <w:left w:val="nil"/>
              <w:bottom w:val="nil"/>
              <w:right w:val="single" w:sz="4" w:space="0" w:color="auto"/>
            </w:tcBorders>
            <w:vAlign w:val="center"/>
            <w:hideMark/>
          </w:tcPr>
          <w:p w:rsidR="00F6297A" w:rsidRPr="0004769C" w:rsidP="00F6297A" w14:paraId="0F4388E5" w14:textId="77777777">
            <w:pPr>
              <w:rPr>
                <w:color w:val="000000"/>
              </w:rPr>
            </w:pPr>
          </w:p>
        </w:tc>
        <w:tc>
          <w:tcPr>
            <w:tcW w:w="3228" w:type="dxa"/>
            <w:tcBorders>
              <w:top w:val="nil"/>
              <w:left w:val="nil"/>
              <w:bottom w:val="single" w:sz="4" w:space="0" w:color="auto"/>
              <w:right w:val="single" w:sz="4" w:space="0" w:color="auto"/>
            </w:tcBorders>
            <w:shd w:val="clear" w:color="auto" w:fill="auto"/>
            <w:noWrap/>
            <w:vAlign w:val="bottom"/>
            <w:hideMark/>
          </w:tcPr>
          <w:p w:rsidR="00F6297A" w:rsidRPr="0004769C" w:rsidP="00F6297A" w14:paraId="2CE76061" w14:textId="77777777">
            <w:pPr>
              <w:rPr>
                <w:color w:val="000000"/>
                <w:sz w:val="20"/>
                <w:szCs w:val="20"/>
              </w:rPr>
            </w:pPr>
            <w:r w:rsidRPr="0004769C">
              <w:rPr>
                <w:color w:val="000000"/>
                <w:sz w:val="20"/>
                <w:szCs w:val="20"/>
              </w:rPr>
              <w:t>Rentgenoloģija</w:t>
            </w:r>
          </w:p>
        </w:tc>
        <w:tc>
          <w:tcPr>
            <w:tcW w:w="297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43694301" w14:textId="4A5601E1">
            <w:pPr>
              <w:jc w:val="center"/>
              <w:rPr>
                <w:color w:val="000000"/>
                <w:sz w:val="20"/>
                <w:szCs w:val="20"/>
              </w:rPr>
            </w:pPr>
            <w:r>
              <w:rPr>
                <w:color w:val="000000"/>
                <w:sz w:val="20"/>
                <w:szCs w:val="20"/>
              </w:rPr>
              <w:t>732 387</w:t>
            </w:r>
          </w:p>
        </w:tc>
        <w:tc>
          <w:tcPr>
            <w:tcW w:w="219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383C4811" w14:textId="7E5C0681">
            <w:pPr>
              <w:jc w:val="center"/>
              <w:rPr>
                <w:color w:val="000000"/>
                <w:sz w:val="22"/>
                <w:szCs w:val="22"/>
              </w:rPr>
            </w:pPr>
            <w:r>
              <w:rPr>
                <w:color w:val="000000"/>
                <w:sz w:val="20"/>
                <w:szCs w:val="20"/>
              </w:rPr>
              <w:t>68 782</w:t>
            </w:r>
          </w:p>
        </w:tc>
      </w:tr>
      <w:tr w14:paraId="53827D66" w14:textId="77777777" w:rsidTr="0004769C">
        <w:tblPrEx>
          <w:tblW w:w="9000" w:type="dxa"/>
          <w:jc w:val="center"/>
          <w:tblLook w:val="04A0"/>
        </w:tblPrEx>
        <w:trPr>
          <w:trHeight w:val="300"/>
          <w:jc w:val="center"/>
        </w:trPr>
        <w:tc>
          <w:tcPr>
            <w:tcW w:w="600" w:type="dxa"/>
            <w:vMerge/>
            <w:tcBorders>
              <w:top w:val="single" w:sz="4" w:space="0" w:color="auto"/>
              <w:left w:val="nil"/>
              <w:bottom w:val="nil"/>
              <w:right w:val="single" w:sz="4" w:space="0" w:color="auto"/>
            </w:tcBorders>
            <w:vAlign w:val="center"/>
            <w:hideMark/>
          </w:tcPr>
          <w:p w:rsidR="00F6297A" w:rsidRPr="0004769C" w:rsidP="00F6297A" w14:paraId="19D2DACA" w14:textId="77777777">
            <w:pPr>
              <w:rPr>
                <w:color w:val="000000"/>
              </w:rPr>
            </w:pPr>
          </w:p>
        </w:tc>
        <w:tc>
          <w:tcPr>
            <w:tcW w:w="3228" w:type="dxa"/>
            <w:tcBorders>
              <w:top w:val="nil"/>
              <w:left w:val="nil"/>
              <w:bottom w:val="single" w:sz="4" w:space="0" w:color="auto"/>
              <w:right w:val="single" w:sz="4" w:space="0" w:color="auto"/>
            </w:tcBorders>
            <w:shd w:val="clear" w:color="auto" w:fill="auto"/>
            <w:noWrap/>
            <w:vAlign w:val="bottom"/>
            <w:hideMark/>
          </w:tcPr>
          <w:p w:rsidR="00F6297A" w:rsidRPr="0004769C" w:rsidP="00F6297A" w14:paraId="492046BB" w14:textId="77777777">
            <w:pPr>
              <w:rPr>
                <w:color w:val="000000"/>
                <w:sz w:val="20"/>
                <w:szCs w:val="20"/>
              </w:rPr>
            </w:pPr>
            <w:r w:rsidRPr="0004769C">
              <w:rPr>
                <w:color w:val="000000"/>
                <w:sz w:val="20"/>
                <w:szCs w:val="20"/>
              </w:rPr>
              <w:t>Sirds asinsvadu sistēmas funkcionālie izmeklējumi</w:t>
            </w:r>
          </w:p>
        </w:tc>
        <w:tc>
          <w:tcPr>
            <w:tcW w:w="297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76465B7B" w14:textId="641229CC">
            <w:pPr>
              <w:jc w:val="center"/>
              <w:rPr>
                <w:color w:val="000000"/>
                <w:sz w:val="20"/>
                <w:szCs w:val="20"/>
              </w:rPr>
            </w:pPr>
            <w:r>
              <w:rPr>
                <w:color w:val="000000"/>
                <w:sz w:val="20"/>
                <w:szCs w:val="20"/>
              </w:rPr>
              <w:t>716 747</w:t>
            </w:r>
          </w:p>
        </w:tc>
        <w:tc>
          <w:tcPr>
            <w:tcW w:w="219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04307EF0" w14:textId="02BB6E44">
            <w:pPr>
              <w:jc w:val="center"/>
              <w:rPr>
                <w:color w:val="000000"/>
                <w:sz w:val="22"/>
                <w:szCs w:val="22"/>
              </w:rPr>
            </w:pPr>
            <w:r>
              <w:rPr>
                <w:color w:val="000000"/>
                <w:sz w:val="20"/>
                <w:szCs w:val="20"/>
              </w:rPr>
              <w:t>66 257</w:t>
            </w:r>
          </w:p>
        </w:tc>
      </w:tr>
      <w:tr w14:paraId="494F887B" w14:textId="77777777" w:rsidTr="0004769C">
        <w:tblPrEx>
          <w:tblW w:w="9000" w:type="dxa"/>
          <w:jc w:val="center"/>
          <w:tblLook w:val="04A0"/>
        </w:tblPrEx>
        <w:trPr>
          <w:trHeight w:val="300"/>
          <w:jc w:val="center"/>
        </w:trPr>
        <w:tc>
          <w:tcPr>
            <w:tcW w:w="600" w:type="dxa"/>
            <w:vMerge/>
            <w:tcBorders>
              <w:top w:val="single" w:sz="4" w:space="0" w:color="auto"/>
              <w:left w:val="nil"/>
              <w:bottom w:val="nil"/>
              <w:right w:val="single" w:sz="4" w:space="0" w:color="auto"/>
            </w:tcBorders>
            <w:vAlign w:val="center"/>
            <w:hideMark/>
          </w:tcPr>
          <w:p w:rsidR="00F6297A" w:rsidRPr="0004769C" w:rsidP="00F6297A" w14:paraId="5011A572" w14:textId="77777777">
            <w:pPr>
              <w:rPr>
                <w:color w:val="000000"/>
              </w:rPr>
            </w:pPr>
          </w:p>
        </w:tc>
        <w:tc>
          <w:tcPr>
            <w:tcW w:w="3228" w:type="dxa"/>
            <w:tcBorders>
              <w:top w:val="nil"/>
              <w:left w:val="nil"/>
              <w:bottom w:val="single" w:sz="4" w:space="0" w:color="auto"/>
              <w:right w:val="single" w:sz="4" w:space="0" w:color="auto"/>
            </w:tcBorders>
            <w:shd w:val="clear" w:color="auto" w:fill="auto"/>
            <w:noWrap/>
            <w:vAlign w:val="bottom"/>
            <w:hideMark/>
          </w:tcPr>
          <w:p w:rsidR="00F6297A" w:rsidRPr="0004769C" w:rsidP="00F6297A" w14:paraId="5004D5C3" w14:textId="77777777">
            <w:pPr>
              <w:rPr>
                <w:color w:val="000000"/>
                <w:sz w:val="20"/>
                <w:szCs w:val="20"/>
              </w:rPr>
            </w:pPr>
            <w:r w:rsidRPr="0004769C">
              <w:rPr>
                <w:color w:val="000000"/>
                <w:sz w:val="20"/>
                <w:szCs w:val="20"/>
              </w:rPr>
              <w:t>Ultrasonogrāfija</w:t>
            </w:r>
          </w:p>
        </w:tc>
        <w:tc>
          <w:tcPr>
            <w:tcW w:w="297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64898164" w14:textId="6E291911">
            <w:pPr>
              <w:jc w:val="center"/>
              <w:rPr>
                <w:color w:val="000000"/>
                <w:sz w:val="20"/>
                <w:szCs w:val="20"/>
              </w:rPr>
            </w:pPr>
            <w:r>
              <w:rPr>
                <w:color w:val="000000"/>
                <w:sz w:val="20"/>
                <w:szCs w:val="20"/>
              </w:rPr>
              <w:t>770 764</w:t>
            </w:r>
          </w:p>
        </w:tc>
        <w:tc>
          <w:tcPr>
            <w:tcW w:w="2196" w:type="dxa"/>
            <w:tcBorders>
              <w:top w:val="nil"/>
              <w:left w:val="nil"/>
              <w:bottom w:val="single" w:sz="4" w:space="0" w:color="auto"/>
              <w:right w:val="single" w:sz="4" w:space="0" w:color="auto"/>
            </w:tcBorders>
            <w:shd w:val="clear" w:color="auto" w:fill="auto"/>
            <w:noWrap/>
            <w:vAlign w:val="center"/>
            <w:hideMark/>
          </w:tcPr>
          <w:p w:rsidR="00F6297A" w:rsidRPr="0004769C" w:rsidP="00F6297A" w14:paraId="0A35B438" w14:textId="38127CB7">
            <w:pPr>
              <w:jc w:val="center"/>
              <w:rPr>
                <w:color w:val="000000"/>
                <w:sz w:val="22"/>
                <w:szCs w:val="22"/>
              </w:rPr>
            </w:pPr>
            <w:r>
              <w:rPr>
                <w:color w:val="000000"/>
                <w:sz w:val="20"/>
                <w:szCs w:val="20"/>
              </w:rPr>
              <w:t>71 252</w:t>
            </w:r>
          </w:p>
        </w:tc>
      </w:tr>
      <w:tr w14:paraId="611DF99B" w14:textId="77777777" w:rsidTr="0004769C">
        <w:tblPrEx>
          <w:tblW w:w="9000" w:type="dxa"/>
          <w:jc w:val="center"/>
          <w:tblLook w:val="04A0"/>
        </w:tblPrEx>
        <w:trPr>
          <w:trHeight w:val="300"/>
          <w:jc w:val="center"/>
        </w:trPr>
        <w:tc>
          <w:tcPr>
            <w:tcW w:w="600" w:type="dxa"/>
            <w:vMerge/>
            <w:tcBorders>
              <w:top w:val="single" w:sz="4" w:space="0" w:color="auto"/>
              <w:left w:val="nil"/>
              <w:bottom w:val="nil"/>
              <w:right w:val="single" w:sz="4" w:space="0" w:color="auto"/>
            </w:tcBorders>
            <w:vAlign w:val="center"/>
            <w:hideMark/>
          </w:tcPr>
          <w:p w:rsidR="00F6297A" w:rsidRPr="0004769C" w:rsidP="00F6297A" w14:paraId="0B33C31C" w14:textId="77777777">
            <w:pPr>
              <w:rPr>
                <w:color w:val="000000"/>
              </w:rPr>
            </w:pPr>
          </w:p>
        </w:tc>
        <w:tc>
          <w:tcPr>
            <w:tcW w:w="3228" w:type="dxa"/>
            <w:tcBorders>
              <w:top w:val="nil"/>
              <w:left w:val="nil"/>
              <w:bottom w:val="single" w:sz="4" w:space="0" w:color="auto"/>
              <w:right w:val="single" w:sz="4" w:space="0" w:color="auto"/>
            </w:tcBorders>
            <w:shd w:val="clear" w:color="auto" w:fill="auto"/>
            <w:noWrap/>
            <w:vAlign w:val="bottom"/>
            <w:hideMark/>
          </w:tcPr>
          <w:p w:rsidR="00F6297A" w:rsidRPr="0004769C" w:rsidP="00F6297A" w14:paraId="5BD0B647" w14:textId="77777777">
            <w:pPr>
              <w:jc w:val="right"/>
              <w:rPr>
                <w:b/>
                <w:color w:val="000000"/>
                <w:sz w:val="20"/>
                <w:szCs w:val="20"/>
              </w:rPr>
            </w:pPr>
            <w:r w:rsidRPr="0004769C">
              <w:rPr>
                <w:b/>
                <w:color w:val="000000"/>
                <w:sz w:val="20"/>
                <w:szCs w:val="20"/>
              </w:rPr>
              <w:t>Kopā:</w:t>
            </w:r>
          </w:p>
        </w:tc>
        <w:tc>
          <w:tcPr>
            <w:tcW w:w="2976" w:type="dxa"/>
            <w:tcBorders>
              <w:top w:val="nil"/>
              <w:left w:val="nil"/>
              <w:bottom w:val="single" w:sz="4" w:space="0" w:color="auto"/>
              <w:right w:val="single" w:sz="4" w:space="0" w:color="auto"/>
            </w:tcBorders>
            <w:shd w:val="clear" w:color="auto" w:fill="auto"/>
            <w:noWrap/>
            <w:vAlign w:val="center"/>
            <w:hideMark/>
          </w:tcPr>
          <w:p w:rsidR="00F6297A" w:rsidRPr="0023555C" w:rsidP="00F6297A" w14:paraId="70EDA8F7" w14:textId="21539ACD">
            <w:pPr>
              <w:jc w:val="center"/>
              <w:rPr>
                <w:b/>
                <w:color w:val="000000"/>
                <w:sz w:val="20"/>
                <w:szCs w:val="20"/>
              </w:rPr>
            </w:pPr>
            <w:r w:rsidRPr="0023555C">
              <w:rPr>
                <w:b/>
                <w:color w:val="000000"/>
                <w:sz w:val="20"/>
                <w:szCs w:val="20"/>
              </w:rPr>
              <w:t>7 557 039</w:t>
            </w:r>
          </w:p>
        </w:tc>
        <w:tc>
          <w:tcPr>
            <w:tcW w:w="2196" w:type="dxa"/>
            <w:tcBorders>
              <w:top w:val="nil"/>
              <w:left w:val="nil"/>
              <w:bottom w:val="single" w:sz="4" w:space="0" w:color="auto"/>
              <w:right w:val="single" w:sz="4" w:space="0" w:color="auto"/>
            </w:tcBorders>
            <w:shd w:val="clear" w:color="auto" w:fill="auto"/>
            <w:noWrap/>
            <w:vAlign w:val="center"/>
            <w:hideMark/>
          </w:tcPr>
          <w:p w:rsidR="00F6297A" w:rsidRPr="007F6308" w:rsidP="00F6297A" w14:paraId="68781080" w14:textId="394835BF">
            <w:pPr>
              <w:jc w:val="center"/>
              <w:rPr>
                <w:b/>
                <w:bCs/>
                <w:color w:val="000000"/>
                <w:sz w:val="20"/>
                <w:szCs w:val="20"/>
              </w:rPr>
            </w:pPr>
            <w:r>
              <w:rPr>
                <w:b/>
                <w:bCs/>
                <w:color w:val="000000"/>
                <w:sz w:val="20"/>
                <w:szCs w:val="20"/>
              </w:rPr>
              <w:t>300 856</w:t>
            </w:r>
          </w:p>
        </w:tc>
      </w:tr>
    </w:tbl>
    <w:p w:rsidR="0002794C" w:rsidP="0002794C" w14:paraId="79005DD5" w14:textId="77777777">
      <w:pPr>
        <w:autoSpaceDE w:val="0"/>
        <w:autoSpaceDN w:val="0"/>
        <w:adjustRightInd w:val="0"/>
        <w:spacing w:line="293" w:lineRule="atLeast"/>
        <w:jc w:val="both"/>
        <w:rPr>
          <w:i/>
          <w:sz w:val="20"/>
          <w:szCs w:val="20"/>
        </w:rPr>
      </w:pPr>
      <w:r w:rsidRPr="006E1FFA">
        <w:rPr>
          <w:i/>
          <w:sz w:val="20"/>
          <w:szCs w:val="20"/>
        </w:rPr>
        <w:t>Avots</w:t>
      </w:r>
      <w:r w:rsidRPr="008603A3">
        <w:rPr>
          <w:i/>
          <w:sz w:val="20"/>
          <w:szCs w:val="20"/>
        </w:rPr>
        <w:t>: NVD</w:t>
      </w:r>
    </w:p>
    <w:p w:rsidR="0004769C" w:rsidRPr="00212EB5" w:rsidP="009B5CDC" w14:paraId="65B1692C" w14:textId="77777777">
      <w:pPr>
        <w:autoSpaceDE w:val="0"/>
        <w:autoSpaceDN w:val="0"/>
        <w:adjustRightInd w:val="0"/>
        <w:spacing w:line="293" w:lineRule="atLeast"/>
        <w:ind w:firstLine="720"/>
        <w:jc w:val="both"/>
      </w:pPr>
    </w:p>
    <w:p w:rsidR="009C4BBD" w:rsidRPr="00212EB5" w:rsidP="006F6D0C" w14:paraId="3734CF59" w14:textId="531D3654">
      <w:pPr>
        <w:autoSpaceDE w:val="0"/>
        <w:autoSpaceDN w:val="0"/>
        <w:adjustRightInd w:val="0"/>
        <w:spacing w:line="293" w:lineRule="atLeast"/>
        <w:ind w:firstLine="720"/>
        <w:jc w:val="both"/>
        <w:rPr>
          <w:u w:val="single"/>
          <w:lang w:bidi="lo-LA"/>
        </w:rPr>
      </w:pPr>
      <w:r>
        <w:t>Ņemot vērā to, ka pacienti 2017.gadā tika nosūtīti uz izmaksu ietilpīgākiem izmeklējumiem</w:t>
      </w:r>
      <w:r w:rsidR="00A20058">
        <w:t xml:space="preserve"> (skat.10.tabulu)</w:t>
      </w:r>
      <w:r w:rsidR="005F6C0F">
        <w:t>,</w:t>
      </w:r>
      <w:r>
        <w:t xml:space="preserve"> faktiskais izmeklējumu skaits ir mazāks nekā plānotais apjoms. 2018.gadā tiks turpinātas iesāktās intervences atbilstoši nepieciešamībai sarežģītākos gadījumos, ārstam pacientu nosūtīt uz izmeklējumu vai uzsākt terapiju, lai savlaicīgi diagnosticētu diagnozi un uzsāktu pēc iespējas ātrāku ārstēšanās procesu, kā rezultātā </w:t>
      </w:r>
      <w:r w:rsidR="005F6C0F">
        <w:t>palielinātu iespēju</w:t>
      </w:r>
      <w:r>
        <w:t xml:space="preserve"> dar</w:t>
      </w:r>
      <w:r w:rsidR="005F6C0F">
        <w:t>bspējīgo iedzīvotāju atgriešanai</w:t>
      </w:r>
      <w:r>
        <w:t xml:space="preserve"> darba tirgū un dot pienesumu tautsaimniecībā.</w:t>
      </w:r>
    </w:p>
    <w:p w:rsidR="005F6C0F" w:rsidP="009C4BBD" w14:paraId="7D634716" w14:textId="77777777">
      <w:pPr>
        <w:autoSpaceDE w:val="0"/>
        <w:autoSpaceDN w:val="0"/>
        <w:adjustRightInd w:val="0"/>
        <w:spacing w:line="293" w:lineRule="atLeast"/>
        <w:jc w:val="both"/>
        <w:rPr>
          <w:u w:val="single"/>
          <w:lang w:bidi="lo-LA"/>
        </w:rPr>
      </w:pPr>
    </w:p>
    <w:p w:rsidR="003532E4" w:rsidP="009C4BBD" w14:paraId="0BC160D4" w14:textId="34DF80F7">
      <w:pPr>
        <w:autoSpaceDE w:val="0"/>
        <w:autoSpaceDN w:val="0"/>
        <w:adjustRightInd w:val="0"/>
        <w:spacing w:line="293" w:lineRule="atLeast"/>
        <w:jc w:val="both"/>
        <w:rPr>
          <w:u w:val="single"/>
          <w:lang w:bidi="lo-LA"/>
        </w:rPr>
      </w:pPr>
      <w:r>
        <w:rPr>
          <w:u w:val="single"/>
          <w:lang w:bidi="lo-LA"/>
        </w:rPr>
        <w:t>Dienas stacionārs</w:t>
      </w:r>
    </w:p>
    <w:p w:rsidR="003532E4" w:rsidP="009C4BBD" w14:paraId="008C8F3B" w14:textId="7B73F54F">
      <w:pPr>
        <w:autoSpaceDE w:val="0"/>
        <w:autoSpaceDN w:val="0"/>
        <w:adjustRightInd w:val="0"/>
        <w:spacing w:line="293" w:lineRule="atLeast"/>
        <w:jc w:val="both"/>
        <w:rPr>
          <w:u w:val="single"/>
          <w:lang w:bidi="lo-LA"/>
        </w:rPr>
      </w:pPr>
    </w:p>
    <w:p w:rsidR="00212EB5" w:rsidP="00212EB5" w14:paraId="728F9D43" w14:textId="77777777">
      <w:pPr>
        <w:autoSpaceDE w:val="0"/>
        <w:autoSpaceDN w:val="0"/>
        <w:adjustRightInd w:val="0"/>
        <w:spacing w:line="293" w:lineRule="atLeast"/>
        <w:ind w:firstLine="720"/>
        <w:jc w:val="both"/>
        <w:rPr>
          <w:color w:val="000000"/>
          <w:lang w:bidi="lo-LA"/>
        </w:rPr>
      </w:pPr>
      <w:r>
        <w:rPr>
          <w:color w:val="000000"/>
          <w:lang w:bidi="lo-LA"/>
        </w:rPr>
        <w:t>Dienas stacionāra pakalpojums ir ārstniecības vai diagnostikas pakalpojums ārstniecības iestādē, kur pacientam ārstēšanu un veselības aprūpi nodrošina nepilnu diennakti (ne agrāk kā no plkst. 6:00 un ne vēlāk kā līdz plkst. 22:00) un ne mazāk kā trīs stundas veic manipulācijas vai nodrošina pacienta novērošanu pēc manipulāciju veikšanas.</w:t>
      </w:r>
    </w:p>
    <w:p w:rsidR="00212EB5" w:rsidRPr="002D6520" w:rsidP="00212EB5" w14:paraId="0A911977" w14:textId="74DD7AAB">
      <w:pPr>
        <w:autoSpaceDE w:val="0"/>
        <w:autoSpaceDN w:val="0"/>
        <w:adjustRightInd w:val="0"/>
        <w:spacing w:line="293" w:lineRule="atLeast"/>
        <w:ind w:firstLine="720"/>
        <w:jc w:val="both"/>
        <w:rPr>
          <w:color w:val="000000"/>
          <w:lang w:bidi="lo-LA"/>
        </w:rPr>
      </w:pPr>
      <w:r>
        <w:rPr>
          <w:color w:val="000000"/>
          <w:lang w:bidi="lo-LA"/>
        </w:rPr>
        <w:t xml:space="preserve"> Dienas stacionārā sniedz ārstniecības pakalpojumus, kurus to sarežģītības, risku vai </w:t>
      </w:r>
      <w:r>
        <w:rPr>
          <w:color w:val="000000"/>
          <w:lang w:bidi="lo-LA"/>
        </w:rPr>
        <w:t>laikietilpības</w:t>
      </w:r>
      <w:r>
        <w:rPr>
          <w:color w:val="000000"/>
          <w:lang w:bidi="lo-LA"/>
        </w:rPr>
        <w:t xml:space="preserve"> dēļ </w:t>
      </w:r>
      <w:r w:rsidRPr="001269F2">
        <w:rPr>
          <w:color w:val="000000"/>
          <w:lang w:bidi="lo-LA"/>
        </w:rPr>
        <w:t xml:space="preserve">nav iespējams sniegt ambulatori, tomēr kuru dēļ nav nepieciešama pacienta uzņemšana stacionārā pacienta diennakts uzraudzībai. Dienas stacionāri var būt gan slimnīcu, gan ambulatoro </w:t>
      </w:r>
      <w:r w:rsidRPr="002D6520">
        <w:rPr>
          <w:color w:val="000000"/>
          <w:lang w:bidi="lo-LA"/>
        </w:rPr>
        <w:t xml:space="preserve">ārstniecības iestāžu struktūrvienības. </w:t>
      </w:r>
    </w:p>
    <w:p w:rsidR="00B73965" w:rsidRPr="00761DAE" w:rsidP="00761DAE" w14:paraId="7F20F435" w14:textId="49030220">
      <w:pPr>
        <w:autoSpaceDE w:val="0"/>
        <w:autoSpaceDN w:val="0"/>
        <w:adjustRightInd w:val="0"/>
        <w:spacing w:line="293" w:lineRule="atLeast"/>
        <w:ind w:firstLine="720"/>
        <w:jc w:val="both"/>
      </w:pPr>
      <w:r w:rsidRPr="009B5CDC">
        <w:t xml:space="preserve">Lai palielinātu pacientu pieejamību valsts apmaksāto dienas stacionāra </w:t>
      </w:r>
      <w:r w:rsidRPr="009B5CDC" w:rsidR="00C72C7A">
        <w:t>pakalpojumu saņemšan</w:t>
      </w:r>
      <w:r w:rsidRPr="009B5CDC" w:rsidR="00FD04DD">
        <w:t xml:space="preserve">ā, </w:t>
      </w:r>
      <w:r w:rsidRPr="009B5CDC">
        <w:t>2017.gadā plānots pakalpojuma apjoma pieaugums par 62,4 tūkst</w:t>
      </w:r>
      <w:r w:rsidR="001269F2">
        <w:t>ošiem</w:t>
      </w:r>
      <w:r w:rsidRPr="009B5CDC">
        <w:t xml:space="preserve"> pakalpojumu.</w:t>
      </w:r>
    </w:p>
    <w:p w:rsidR="00B73965" w:rsidP="00761DAE" w14:paraId="5FD998B7" w14:textId="1C38F21A">
      <w:pPr>
        <w:rPr>
          <w:i/>
        </w:rPr>
      </w:pPr>
    </w:p>
    <w:p w:rsidR="00212EB5" w:rsidRPr="00F352AF" w:rsidP="00212EB5" w14:paraId="63DA22D1" w14:textId="5DF374ED">
      <w:pPr>
        <w:ind w:firstLine="720"/>
        <w:jc w:val="right"/>
        <w:rPr>
          <w:i/>
        </w:rPr>
      </w:pPr>
      <w:r>
        <w:rPr>
          <w:i/>
        </w:rPr>
        <w:t>11</w:t>
      </w:r>
      <w:r w:rsidR="00AC1DFD">
        <w:rPr>
          <w:i/>
        </w:rPr>
        <w:t xml:space="preserve">.tabula </w:t>
      </w:r>
    </w:p>
    <w:p w:rsidR="00212EB5" w:rsidP="00212EB5" w14:paraId="427693C7" w14:textId="30C12D52">
      <w:pPr>
        <w:jc w:val="center"/>
        <w:rPr>
          <w:color w:val="414142"/>
        </w:rPr>
      </w:pPr>
      <w:r>
        <w:rPr>
          <w:lang w:bidi="lo-LA"/>
        </w:rPr>
        <w:t>D</w:t>
      </w:r>
      <w:r w:rsidR="00AC1DFD">
        <w:rPr>
          <w:lang w:bidi="lo-LA"/>
        </w:rPr>
        <w:t>ienas stacionārā</w:t>
      </w:r>
      <w:r>
        <w:rPr>
          <w:lang w:bidi="lo-LA"/>
        </w:rPr>
        <w:t xml:space="preserve"> veikto pakalpojumu</w:t>
      </w:r>
    </w:p>
    <w:p w:rsidR="00212EB5" w:rsidRPr="00084223" w:rsidP="00212EB5" w14:paraId="5A1009B1" w14:textId="22CC12CC">
      <w:pPr>
        <w:jc w:val="center"/>
        <w:rPr>
          <w:color w:val="414142"/>
        </w:rPr>
      </w:pPr>
      <w:r>
        <w:rPr>
          <w:color w:val="414142"/>
        </w:rPr>
        <w:t xml:space="preserve"> </w:t>
      </w:r>
      <w:r w:rsidRPr="004E133B">
        <w:rPr>
          <w:color w:val="000000" w:themeColor="text1"/>
        </w:rPr>
        <w:t>2017.</w:t>
      </w:r>
      <w:r w:rsidRPr="004E133B" w:rsidR="00AC1DFD">
        <w:rPr>
          <w:color w:val="000000" w:themeColor="text1"/>
        </w:rPr>
        <w:t>gada izpilde</w:t>
      </w:r>
    </w:p>
    <w:p w:rsidR="00212EB5" w:rsidP="00212EB5" w14:paraId="6FB7F89D" w14:textId="63A67B62">
      <w:pPr>
        <w:autoSpaceDE w:val="0"/>
        <w:autoSpaceDN w:val="0"/>
        <w:adjustRightInd w:val="0"/>
        <w:spacing w:line="293" w:lineRule="atLeast"/>
        <w:ind w:firstLine="720"/>
        <w:jc w:val="both"/>
        <w:rPr>
          <w:color w:val="000000"/>
          <w:lang w:bidi="lo-LA"/>
        </w:rPr>
      </w:pPr>
    </w:p>
    <w:tbl>
      <w:tblPr>
        <w:tblW w:w="10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
        <w:gridCol w:w="1052"/>
        <w:gridCol w:w="1052"/>
        <w:gridCol w:w="990"/>
        <w:gridCol w:w="928"/>
        <w:gridCol w:w="1025"/>
        <w:gridCol w:w="879"/>
        <w:gridCol w:w="1123"/>
        <w:gridCol w:w="879"/>
        <w:gridCol w:w="879"/>
        <w:gridCol w:w="1123"/>
      </w:tblGrid>
      <w:tr w14:paraId="690BE8F2" w14:textId="5AB24D68" w:rsidTr="00EF6667">
        <w:tblPrEx>
          <w:tblW w:w="10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6"/>
          <w:jc w:val="center"/>
        </w:trPr>
        <w:tc>
          <w:tcPr>
            <w:tcW w:w="1016" w:type="dxa"/>
            <w:vMerge w:val="restart"/>
            <w:shd w:val="clear" w:color="000000" w:fill="FCE4D6"/>
            <w:vAlign w:val="center"/>
            <w:hideMark/>
          </w:tcPr>
          <w:p w:rsidR="00EF6667" w:rsidRPr="00EA62A4" w:rsidP="00A33106" w14:paraId="2D9C6EA9" w14:textId="77777777">
            <w:pPr>
              <w:jc w:val="center"/>
              <w:rPr>
                <w:color w:val="000000"/>
                <w:sz w:val="16"/>
                <w:szCs w:val="16"/>
              </w:rPr>
            </w:pPr>
            <w:r w:rsidRPr="00EA62A4">
              <w:rPr>
                <w:color w:val="000000"/>
                <w:sz w:val="16"/>
                <w:szCs w:val="16"/>
              </w:rPr>
              <w:t>Dienas stacionāra pakalpojumi</w:t>
            </w:r>
          </w:p>
        </w:tc>
        <w:tc>
          <w:tcPr>
            <w:tcW w:w="1052" w:type="dxa"/>
            <w:vMerge w:val="restart"/>
            <w:shd w:val="clear" w:color="000000" w:fill="FCE4D6"/>
            <w:vAlign w:val="center"/>
            <w:hideMark/>
          </w:tcPr>
          <w:p w:rsidR="00EF6667" w:rsidRPr="00EA62A4" w:rsidP="00A33106" w14:paraId="654E11D9" w14:textId="77777777">
            <w:pPr>
              <w:jc w:val="center"/>
              <w:rPr>
                <w:color w:val="000000"/>
                <w:sz w:val="16"/>
                <w:szCs w:val="16"/>
              </w:rPr>
            </w:pPr>
            <w:r w:rsidRPr="00EA62A4">
              <w:rPr>
                <w:color w:val="000000"/>
                <w:sz w:val="16"/>
                <w:szCs w:val="16"/>
              </w:rPr>
              <w:t xml:space="preserve">Vidējais plānotais pakalpojumu skaits </w:t>
            </w:r>
          </w:p>
        </w:tc>
        <w:tc>
          <w:tcPr>
            <w:tcW w:w="1052" w:type="dxa"/>
            <w:vMerge w:val="restart"/>
            <w:shd w:val="clear" w:color="000000" w:fill="FCE4D6"/>
            <w:vAlign w:val="center"/>
          </w:tcPr>
          <w:p w:rsidR="00EF6667" w:rsidRPr="00EA62A4" w:rsidP="00A33106" w14:paraId="25421925" w14:textId="4F0EFA30">
            <w:pPr>
              <w:jc w:val="center"/>
              <w:rPr>
                <w:color w:val="000000"/>
                <w:sz w:val="16"/>
                <w:szCs w:val="16"/>
              </w:rPr>
            </w:pPr>
            <w:r w:rsidRPr="00EA62A4">
              <w:rPr>
                <w:color w:val="000000"/>
                <w:sz w:val="16"/>
                <w:szCs w:val="16"/>
              </w:rPr>
              <w:t xml:space="preserve">Faktiskais pakalpojumu skaits 2017.gadā </w:t>
            </w:r>
          </w:p>
        </w:tc>
        <w:tc>
          <w:tcPr>
            <w:tcW w:w="990" w:type="dxa"/>
            <w:vMerge w:val="restart"/>
            <w:shd w:val="clear" w:color="000000" w:fill="FCE4D6"/>
            <w:vAlign w:val="center"/>
            <w:hideMark/>
          </w:tcPr>
          <w:p w:rsidR="00EF6667" w:rsidRPr="00EA62A4" w:rsidP="00A33106" w14:paraId="7F0FA478" w14:textId="7333CCBB">
            <w:pPr>
              <w:jc w:val="center"/>
              <w:rPr>
                <w:color w:val="000000"/>
                <w:sz w:val="16"/>
                <w:szCs w:val="16"/>
              </w:rPr>
            </w:pPr>
            <w:r w:rsidRPr="00EA62A4">
              <w:rPr>
                <w:color w:val="000000"/>
                <w:sz w:val="16"/>
                <w:szCs w:val="16"/>
              </w:rPr>
              <w:t xml:space="preserve">Plānotais finansējums  </w:t>
            </w:r>
            <w:r w:rsidRPr="00EA62A4">
              <w:rPr>
                <w:i/>
                <w:iCs/>
                <w:color w:val="000000"/>
                <w:sz w:val="16"/>
                <w:szCs w:val="16"/>
              </w:rPr>
              <w:t>euro</w:t>
            </w:r>
          </w:p>
        </w:tc>
        <w:tc>
          <w:tcPr>
            <w:tcW w:w="928" w:type="dxa"/>
            <w:vMerge w:val="restart"/>
            <w:shd w:val="clear" w:color="000000" w:fill="FCE4D6"/>
            <w:vAlign w:val="center"/>
            <w:hideMark/>
          </w:tcPr>
          <w:p w:rsidR="00EF6667" w:rsidRPr="00EA62A4" w:rsidP="00A33106" w14:paraId="16258C5A" w14:textId="77777777">
            <w:pPr>
              <w:jc w:val="center"/>
              <w:rPr>
                <w:color w:val="000000"/>
                <w:sz w:val="16"/>
                <w:szCs w:val="16"/>
              </w:rPr>
            </w:pPr>
            <w:r w:rsidRPr="00EA62A4">
              <w:rPr>
                <w:color w:val="000000"/>
                <w:sz w:val="16"/>
                <w:szCs w:val="16"/>
              </w:rPr>
              <w:t xml:space="preserve">Finanšu izlietojums 2017.gadā </w:t>
            </w:r>
            <w:r w:rsidRPr="00EA62A4">
              <w:rPr>
                <w:i/>
                <w:iCs/>
                <w:color w:val="000000"/>
                <w:sz w:val="16"/>
                <w:szCs w:val="16"/>
              </w:rPr>
              <w:t>euro</w:t>
            </w:r>
          </w:p>
        </w:tc>
        <w:tc>
          <w:tcPr>
            <w:tcW w:w="3027" w:type="dxa"/>
            <w:gridSpan w:val="3"/>
            <w:shd w:val="clear" w:color="000000" w:fill="FCE4D6"/>
            <w:vAlign w:val="center"/>
            <w:hideMark/>
          </w:tcPr>
          <w:p w:rsidR="00EF6667" w:rsidRPr="00EA62A4" w:rsidP="00A33106" w14:paraId="39861CCE" w14:textId="77777777">
            <w:pPr>
              <w:jc w:val="center"/>
              <w:rPr>
                <w:color w:val="000000"/>
                <w:sz w:val="16"/>
                <w:szCs w:val="16"/>
              </w:rPr>
            </w:pPr>
            <w:r w:rsidRPr="00EA62A4">
              <w:rPr>
                <w:color w:val="000000"/>
                <w:sz w:val="16"/>
                <w:szCs w:val="16"/>
              </w:rPr>
              <w:t>Vidējais rindu garums dienās</w:t>
            </w:r>
          </w:p>
        </w:tc>
        <w:tc>
          <w:tcPr>
            <w:tcW w:w="879" w:type="dxa"/>
            <w:vMerge w:val="restart"/>
            <w:shd w:val="clear" w:color="000000" w:fill="FCE4D6"/>
            <w:vAlign w:val="center"/>
          </w:tcPr>
          <w:p w:rsidR="00EF6667" w:rsidRPr="00446288" w:rsidP="00A33106" w14:paraId="38CEF431" w14:textId="5EFBCA50">
            <w:pPr>
              <w:jc w:val="center"/>
              <w:rPr>
                <w:color w:val="000000"/>
                <w:sz w:val="16"/>
                <w:szCs w:val="16"/>
              </w:rPr>
            </w:pPr>
            <w:r w:rsidRPr="00EF6667">
              <w:rPr>
                <w:color w:val="000000"/>
                <w:sz w:val="16"/>
                <w:szCs w:val="16"/>
              </w:rPr>
              <w:t xml:space="preserve">Rindu </w:t>
            </w:r>
            <w:r w:rsidRPr="00EF6667">
              <w:rPr>
                <w:color w:val="000000"/>
                <w:sz w:val="16"/>
                <w:szCs w:val="16"/>
              </w:rPr>
              <w:t>samazinā</w:t>
            </w:r>
            <w:r>
              <w:rPr>
                <w:color w:val="000000"/>
                <w:sz w:val="16"/>
                <w:szCs w:val="16"/>
              </w:rPr>
              <w:t>-</w:t>
            </w:r>
            <w:r w:rsidRPr="00EF6667">
              <w:rPr>
                <w:color w:val="000000"/>
                <w:sz w:val="16"/>
                <w:szCs w:val="16"/>
              </w:rPr>
              <w:t>jums 2017.gadā %</w:t>
            </w:r>
          </w:p>
        </w:tc>
        <w:tc>
          <w:tcPr>
            <w:tcW w:w="879" w:type="dxa"/>
            <w:vMerge w:val="restart"/>
            <w:shd w:val="clear" w:color="000000" w:fill="FCE4D6"/>
            <w:vAlign w:val="center"/>
          </w:tcPr>
          <w:p w:rsidR="00EF6667" w:rsidRPr="00446288" w:rsidP="00A33106" w14:paraId="747E0C50" w14:textId="733E51A4">
            <w:pPr>
              <w:jc w:val="center"/>
              <w:rPr>
                <w:color w:val="000000"/>
                <w:sz w:val="16"/>
                <w:szCs w:val="16"/>
              </w:rPr>
            </w:pPr>
            <w:r w:rsidRPr="00446288">
              <w:rPr>
                <w:color w:val="000000"/>
                <w:sz w:val="16"/>
                <w:szCs w:val="16"/>
              </w:rPr>
              <w:t>Rindas garums ar pacientu uzvedības maiņu 2017.gadā</w:t>
            </w:r>
          </w:p>
        </w:tc>
        <w:tc>
          <w:tcPr>
            <w:tcW w:w="1123" w:type="dxa"/>
            <w:vMerge w:val="restart"/>
            <w:shd w:val="clear" w:color="000000" w:fill="FCE4D6"/>
            <w:vAlign w:val="center"/>
          </w:tcPr>
          <w:p w:rsidR="00EF6667" w:rsidRPr="00446288" w:rsidP="00A33106" w14:paraId="05508877" w14:textId="4BA36B01">
            <w:pPr>
              <w:jc w:val="center"/>
              <w:rPr>
                <w:color w:val="000000"/>
                <w:sz w:val="16"/>
                <w:szCs w:val="16"/>
              </w:rPr>
            </w:pPr>
            <w:r w:rsidRPr="00446288">
              <w:rPr>
                <w:color w:val="000000"/>
                <w:sz w:val="16"/>
                <w:szCs w:val="16"/>
              </w:rPr>
              <w:t>Rindu samazinājums ar pacientu uzvedības maiņu 2017.gadā</w:t>
            </w:r>
          </w:p>
        </w:tc>
      </w:tr>
      <w:tr w14:paraId="4F6100F9" w14:textId="7D8FE876" w:rsidTr="00EF6667">
        <w:tblPrEx>
          <w:tblW w:w="10946" w:type="dxa"/>
          <w:jc w:val="center"/>
          <w:tblLook w:val="04A0"/>
        </w:tblPrEx>
        <w:trPr>
          <w:trHeight w:val="619"/>
          <w:jc w:val="center"/>
        </w:trPr>
        <w:tc>
          <w:tcPr>
            <w:tcW w:w="1016" w:type="dxa"/>
            <w:vMerge/>
            <w:vAlign w:val="center"/>
            <w:hideMark/>
          </w:tcPr>
          <w:p w:rsidR="00EF6667" w:rsidRPr="00EA62A4" w:rsidP="00A33106" w14:paraId="08F46B27" w14:textId="77777777">
            <w:pPr>
              <w:rPr>
                <w:color w:val="000000"/>
                <w:sz w:val="16"/>
                <w:szCs w:val="16"/>
              </w:rPr>
            </w:pPr>
          </w:p>
        </w:tc>
        <w:tc>
          <w:tcPr>
            <w:tcW w:w="1052" w:type="dxa"/>
            <w:vMerge/>
            <w:vAlign w:val="center"/>
            <w:hideMark/>
          </w:tcPr>
          <w:p w:rsidR="00EF6667" w:rsidRPr="00EA62A4" w:rsidP="00A33106" w14:paraId="23BF657A" w14:textId="77777777">
            <w:pPr>
              <w:rPr>
                <w:color w:val="000000"/>
                <w:sz w:val="16"/>
                <w:szCs w:val="16"/>
              </w:rPr>
            </w:pPr>
          </w:p>
        </w:tc>
        <w:tc>
          <w:tcPr>
            <w:tcW w:w="1052" w:type="dxa"/>
            <w:vMerge/>
            <w:vAlign w:val="center"/>
          </w:tcPr>
          <w:p w:rsidR="00EF6667" w:rsidRPr="00EA62A4" w:rsidP="00A33106" w14:paraId="60136E58" w14:textId="77777777">
            <w:pPr>
              <w:rPr>
                <w:color w:val="000000"/>
                <w:sz w:val="16"/>
                <w:szCs w:val="16"/>
              </w:rPr>
            </w:pPr>
          </w:p>
        </w:tc>
        <w:tc>
          <w:tcPr>
            <w:tcW w:w="990" w:type="dxa"/>
            <w:vMerge/>
            <w:vAlign w:val="center"/>
            <w:hideMark/>
          </w:tcPr>
          <w:p w:rsidR="00EF6667" w:rsidRPr="00EA62A4" w:rsidP="00A33106" w14:paraId="00A4B68A" w14:textId="73CB79FA">
            <w:pPr>
              <w:rPr>
                <w:color w:val="000000"/>
                <w:sz w:val="16"/>
                <w:szCs w:val="16"/>
              </w:rPr>
            </w:pPr>
          </w:p>
        </w:tc>
        <w:tc>
          <w:tcPr>
            <w:tcW w:w="928" w:type="dxa"/>
            <w:vMerge/>
            <w:vAlign w:val="center"/>
            <w:hideMark/>
          </w:tcPr>
          <w:p w:rsidR="00EF6667" w:rsidRPr="00EA62A4" w:rsidP="00A33106" w14:paraId="49FB8EF8" w14:textId="77777777">
            <w:pPr>
              <w:rPr>
                <w:color w:val="000000"/>
                <w:sz w:val="16"/>
                <w:szCs w:val="16"/>
              </w:rPr>
            </w:pPr>
          </w:p>
        </w:tc>
        <w:tc>
          <w:tcPr>
            <w:tcW w:w="1025" w:type="dxa"/>
            <w:shd w:val="clear" w:color="000000" w:fill="FCE4D6"/>
            <w:vAlign w:val="center"/>
            <w:hideMark/>
          </w:tcPr>
          <w:p w:rsidR="00EF6667" w:rsidRPr="00EA62A4" w:rsidP="00A33106" w14:paraId="52A89AD5" w14:textId="2BD1A0A1">
            <w:pPr>
              <w:jc w:val="center"/>
              <w:rPr>
                <w:color w:val="000000"/>
                <w:sz w:val="16"/>
                <w:szCs w:val="16"/>
              </w:rPr>
            </w:pPr>
            <w:r w:rsidRPr="00EA62A4">
              <w:rPr>
                <w:color w:val="000000"/>
                <w:sz w:val="16"/>
                <w:szCs w:val="16"/>
              </w:rPr>
              <w:t>Pirms reformu īstenošanas</w:t>
            </w:r>
          </w:p>
        </w:tc>
        <w:tc>
          <w:tcPr>
            <w:tcW w:w="879" w:type="dxa"/>
            <w:shd w:val="clear" w:color="000000" w:fill="FCE4D6"/>
            <w:vAlign w:val="center"/>
            <w:hideMark/>
          </w:tcPr>
          <w:p w:rsidR="00EF6667" w:rsidRPr="00EA62A4" w:rsidP="00A33106" w14:paraId="2948C169" w14:textId="77777777">
            <w:pPr>
              <w:jc w:val="center"/>
              <w:rPr>
                <w:color w:val="000000"/>
                <w:sz w:val="16"/>
                <w:szCs w:val="16"/>
              </w:rPr>
            </w:pPr>
            <w:r w:rsidRPr="00EA62A4">
              <w:rPr>
                <w:color w:val="000000"/>
                <w:sz w:val="16"/>
                <w:szCs w:val="16"/>
              </w:rPr>
              <w:t>Uz 2018.gada 1.janvāri</w:t>
            </w:r>
          </w:p>
        </w:tc>
        <w:tc>
          <w:tcPr>
            <w:tcW w:w="1123" w:type="dxa"/>
            <w:shd w:val="clear" w:color="000000" w:fill="FCE4D6"/>
            <w:vAlign w:val="center"/>
            <w:hideMark/>
          </w:tcPr>
          <w:p w:rsidR="00EF6667" w:rsidRPr="00EA62A4" w:rsidP="00A33106" w14:paraId="67309F6D" w14:textId="77777777">
            <w:pPr>
              <w:jc w:val="center"/>
              <w:rPr>
                <w:color w:val="000000"/>
                <w:sz w:val="16"/>
                <w:szCs w:val="16"/>
              </w:rPr>
            </w:pPr>
            <w:r w:rsidRPr="00EA62A4">
              <w:rPr>
                <w:color w:val="000000"/>
                <w:sz w:val="16"/>
                <w:szCs w:val="16"/>
              </w:rPr>
              <w:t>Rindu samazinājums 2017.gadā</w:t>
            </w:r>
          </w:p>
        </w:tc>
        <w:tc>
          <w:tcPr>
            <w:tcW w:w="879" w:type="dxa"/>
            <w:vMerge/>
            <w:shd w:val="clear" w:color="000000" w:fill="FCE4D6"/>
          </w:tcPr>
          <w:p w:rsidR="00EF6667" w:rsidRPr="00446288" w:rsidP="00A33106" w14:paraId="62F53424" w14:textId="66D6F181">
            <w:pPr>
              <w:jc w:val="center"/>
              <w:rPr>
                <w:color w:val="000000"/>
                <w:sz w:val="16"/>
                <w:szCs w:val="16"/>
              </w:rPr>
            </w:pPr>
          </w:p>
        </w:tc>
        <w:tc>
          <w:tcPr>
            <w:tcW w:w="879" w:type="dxa"/>
            <w:vMerge/>
            <w:shd w:val="clear" w:color="000000" w:fill="FCE4D6"/>
          </w:tcPr>
          <w:p w:rsidR="00EF6667" w:rsidRPr="00446288" w:rsidP="00A33106" w14:paraId="1EA6E441" w14:textId="767AE020">
            <w:pPr>
              <w:jc w:val="center"/>
              <w:rPr>
                <w:color w:val="000000"/>
                <w:sz w:val="16"/>
                <w:szCs w:val="16"/>
              </w:rPr>
            </w:pPr>
          </w:p>
        </w:tc>
        <w:tc>
          <w:tcPr>
            <w:tcW w:w="1123" w:type="dxa"/>
            <w:vMerge/>
            <w:shd w:val="clear" w:color="000000" w:fill="FCE4D6"/>
            <w:vAlign w:val="center"/>
          </w:tcPr>
          <w:p w:rsidR="00EF6667" w:rsidRPr="00446288" w:rsidP="00A33106" w14:paraId="14D5EFA8" w14:textId="598B2F53">
            <w:pPr>
              <w:jc w:val="center"/>
              <w:rPr>
                <w:color w:val="000000"/>
                <w:sz w:val="16"/>
                <w:szCs w:val="16"/>
              </w:rPr>
            </w:pPr>
          </w:p>
        </w:tc>
      </w:tr>
      <w:tr w14:paraId="75E7E1A3" w14:textId="6E57AC03" w:rsidTr="00EF6667">
        <w:tblPrEx>
          <w:tblW w:w="10946" w:type="dxa"/>
          <w:jc w:val="center"/>
          <w:tblLook w:val="04A0"/>
        </w:tblPrEx>
        <w:trPr>
          <w:trHeight w:val="216"/>
          <w:jc w:val="center"/>
        </w:trPr>
        <w:tc>
          <w:tcPr>
            <w:tcW w:w="1016" w:type="dxa"/>
            <w:shd w:val="clear" w:color="000000" w:fill="92D050"/>
            <w:noWrap/>
            <w:vAlign w:val="center"/>
            <w:hideMark/>
          </w:tcPr>
          <w:p w:rsidR="00EF6667" w:rsidRPr="00EA62A4" w:rsidP="00A33106" w14:paraId="576F2B45" w14:textId="77777777">
            <w:pPr>
              <w:jc w:val="center"/>
              <w:rPr>
                <w:color w:val="000000"/>
                <w:sz w:val="16"/>
                <w:szCs w:val="16"/>
              </w:rPr>
            </w:pPr>
            <w:r w:rsidRPr="00EA62A4">
              <w:rPr>
                <w:color w:val="000000"/>
                <w:sz w:val="16"/>
                <w:szCs w:val="16"/>
              </w:rPr>
              <w:t>Ārstniecības iestādes</w:t>
            </w:r>
          </w:p>
        </w:tc>
        <w:tc>
          <w:tcPr>
            <w:tcW w:w="1052" w:type="dxa"/>
            <w:shd w:val="clear" w:color="000000" w:fill="92D050"/>
            <w:noWrap/>
            <w:vAlign w:val="center"/>
            <w:hideMark/>
          </w:tcPr>
          <w:p w:rsidR="00EF6667" w:rsidRPr="00EA62A4" w:rsidP="00A33106" w14:paraId="5EDBD599" w14:textId="77777777">
            <w:pPr>
              <w:jc w:val="center"/>
              <w:rPr>
                <w:sz w:val="16"/>
                <w:szCs w:val="16"/>
              </w:rPr>
            </w:pPr>
            <w:r w:rsidRPr="00EA62A4">
              <w:rPr>
                <w:sz w:val="16"/>
                <w:szCs w:val="16"/>
              </w:rPr>
              <w:t>62 472</w:t>
            </w:r>
          </w:p>
        </w:tc>
        <w:tc>
          <w:tcPr>
            <w:tcW w:w="1052" w:type="dxa"/>
            <w:shd w:val="clear" w:color="000000" w:fill="92D050"/>
            <w:vAlign w:val="center"/>
          </w:tcPr>
          <w:p w:rsidR="00EF6667" w:rsidRPr="00EA62A4" w14:paraId="2CDB5DF0" w14:textId="6E9CB816">
            <w:pPr>
              <w:jc w:val="center"/>
              <w:rPr>
                <w:color w:val="000000"/>
                <w:sz w:val="16"/>
                <w:szCs w:val="16"/>
              </w:rPr>
            </w:pPr>
            <w:r w:rsidRPr="00EA62A4">
              <w:rPr>
                <w:color w:val="000000"/>
                <w:sz w:val="16"/>
                <w:szCs w:val="16"/>
              </w:rPr>
              <w:t>27 551</w:t>
            </w:r>
          </w:p>
        </w:tc>
        <w:tc>
          <w:tcPr>
            <w:tcW w:w="990" w:type="dxa"/>
            <w:shd w:val="clear" w:color="000000" w:fill="92D050"/>
            <w:noWrap/>
            <w:vAlign w:val="center"/>
            <w:hideMark/>
          </w:tcPr>
          <w:p w:rsidR="00EF6667" w:rsidRPr="00EA62A4" w:rsidP="00A33106" w14:paraId="329E3F20" w14:textId="647D0FFE">
            <w:pPr>
              <w:jc w:val="center"/>
              <w:rPr>
                <w:color w:val="000000"/>
                <w:sz w:val="16"/>
                <w:szCs w:val="16"/>
              </w:rPr>
            </w:pPr>
            <w:r w:rsidRPr="00EA62A4">
              <w:rPr>
                <w:color w:val="000000"/>
                <w:sz w:val="16"/>
                <w:szCs w:val="16"/>
              </w:rPr>
              <w:t>5 163 159</w:t>
            </w:r>
          </w:p>
        </w:tc>
        <w:tc>
          <w:tcPr>
            <w:tcW w:w="928" w:type="dxa"/>
            <w:shd w:val="clear" w:color="000000" w:fill="92D050"/>
            <w:noWrap/>
            <w:vAlign w:val="center"/>
            <w:hideMark/>
          </w:tcPr>
          <w:p w:rsidR="00EF6667" w:rsidRPr="005C359C" w:rsidP="00A33106" w14:paraId="7BE881B8" w14:textId="70F45FBF">
            <w:pPr>
              <w:jc w:val="center"/>
              <w:rPr>
                <w:color w:val="000000"/>
                <w:sz w:val="16"/>
                <w:szCs w:val="16"/>
              </w:rPr>
            </w:pPr>
            <w:r w:rsidRPr="005C359C">
              <w:rPr>
                <w:color w:val="000000"/>
                <w:sz w:val="16"/>
                <w:szCs w:val="16"/>
              </w:rPr>
              <w:t>5 177 349</w:t>
            </w:r>
          </w:p>
        </w:tc>
        <w:tc>
          <w:tcPr>
            <w:tcW w:w="1025" w:type="dxa"/>
            <w:shd w:val="clear" w:color="000000" w:fill="92D050"/>
            <w:vAlign w:val="center"/>
            <w:hideMark/>
          </w:tcPr>
          <w:p w:rsidR="00EF6667" w:rsidRPr="00EA62A4" w:rsidP="00A33106" w14:paraId="21C55A8B" w14:textId="77777777">
            <w:pPr>
              <w:jc w:val="center"/>
              <w:rPr>
                <w:color w:val="000000"/>
                <w:sz w:val="16"/>
                <w:szCs w:val="16"/>
              </w:rPr>
            </w:pPr>
            <w:r w:rsidRPr="00EA62A4">
              <w:rPr>
                <w:color w:val="000000"/>
                <w:sz w:val="16"/>
                <w:szCs w:val="16"/>
              </w:rPr>
              <w:t>407,00</w:t>
            </w:r>
          </w:p>
        </w:tc>
        <w:tc>
          <w:tcPr>
            <w:tcW w:w="879" w:type="dxa"/>
            <w:shd w:val="clear" w:color="000000" w:fill="92D050"/>
            <w:vAlign w:val="center"/>
            <w:hideMark/>
          </w:tcPr>
          <w:p w:rsidR="00EF6667" w:rsidRPr="00EA62A4" w:rsidP="00A33106" w14:paraId="2B2F5326" w14:textId="77777777">
            <w:pPr>
              <w:jc w:val="center"/>
              <w:rPr>
                <w:color w:val="000000"/>
                <w:sz w:val="16"/>
                <w:szCs w:val="16"/>
              </w:rPr>
            </w:pPr>
            <w:r w:rsidRPr="00EA62A4">
              <w:rPr>
                <w:color w:val="000000"/>
                <w:sz w:val="16"/>
                <w:szCs w:val="16"/>
              </w:rPr>
              <w:t>132,10</w:t>
            </w:r>
          </w:p>
        </w:tc>
        <w:tc>
          <w:tcPr>
            <w:tcW w:w="1123" w:type="dxa"/>
            <w:shd w:val="clear" w:color="000000" w:fill="92D050"/>
            <w:vAlign w:val="center"/>
            <w:hideMark/>
          </w:tcPr>
          <w:p w:rsidR="00EF6667" w:rsidRPr="00EA62A4" w:rsidP="00A33106" w14:paraId="5195ABAD" w14:textId="77777777">
            <w:pPr>
              <w:jc w:val="center"/>
              <w:rPr>
                <w:color w:val="000000"/>
                <w:sz w:val="16"/>
                <w:szCs w:val="16"/>
              </w:rPr>
            </w:pPr>
            <w:r w:rsidRPr="00EA62A4">
              <w:rPr>
                <w:color w:val="000000"/>
                <w:sz w:val="16"/>
                <w:szCs w:val="16"/>
              </w:rPr>
              <w:t>274,9</w:t>
            </w:r>
          </w:p>
        </w:tc>
        <w:tc>
          <w:tcPr>
            <w:tcW w:w="879" w:type="dxa"/>
            <w:shd w:val="clear" w:color="000000" w:fill="92D050"/>
            <w:vAlign w:val="center"/>
          </w:tcPr>
          <w:p w:rsidR="00EF6667" w:rsidRPr="00EA62A4" w:rsidP="00446288" w14:paraId="316923EF" w14:textId="10302A4D">
            <w:pPr>
              <w:jc w:val="center"/>
              <w:rPr>
                <w:color w:val="000000"/>
                <w:sz w:val="16"/>
                <w:szCs w:val="16"/>
              </w:rPr>
            </w:pPr>
            <w:r>
              <w:rPr>
                <w:color w:val="000000"/>
                <w:sz w:val="16"/>
                <w:szCs w:val="16"/>
              </w:rPr>
              <w:t>67,54</w:t>
            </w:r>
          </w:p>
        </w:tc>
        <w:tc>
          <w:tcPr>
            <w:tcW w:w="879" w:type="dxa"/>
            <w:shd w:val="clear" w:color="000000" w:fill="92D050"/>
            <w:vAlign w:val="center"/>
          </w:tcPr>
          <w:p w:rsidR="00EF6667" w:rsidRPr="00446288" w:rsidP="00446288" w14:paraId="2BDE6392" w14:textId="068F2F16">
            <w:pPr>
              <w:jc w:val="center"/>
              <w:rPr>
                <w:color w:val="000000"/>
                <w:sz w:val="16"/>
                <w:szCs w:val="16"/>
              </w:rPr>
            </w:pPr>
            <w:r w:rsidRPr="00EA62A4">
              <w:rPr>
                <w:color w:val="000000"/>
                <w:sz w:val="16"/>
                <w:szCs w:val="16"/>
              </w:rPr>
              <w:t>116</w:t>
            </w:r>
            <w:r>
              <w:rPr>
                <w:color w:val="000000"/>
                <w:sz w:val="16"/>
                <w:szCs w:val="16"/>
              </w:rPr>
              <w:t>,</w:t>
            </w:r>
            <w:r w:rsidRPr="00EA62A4">
              <w:rPr>
                <w:color w:val="000000"/>
                <w:sz w:val="16"/>
                <w:szCs w:val="16"/>
              </w:rPr>
              <w:t>04</w:t>
            </w:r>
          </w:p>
        </w:tc>
        <w:tc>
          <w:tcPr>
            <w:tcW w:w="1123" w:type="dxa"/>
            <w:shd w:val="clear" w:color="000000" w:fill="92D050"/>
            <w:vAlign w:val="center"/>
          </w:tcPr>
          <w:p w:rsidR="00EF6667" w:rsidRPr="00446288" w:rsidP="00446288" w14:paraId="346EE0D5" w14:textId="5E67125F">
            <w:pPr>
              <w:jc w:val="center"/>
              <w:rPr>
                <w:color w:val="000000"/>
                <w:sz w:val="16"/>
                <w:szCs w:val="16"/>
              </w:rPr>
            </w:pPr>
            <w:r w:rsidRPr="00EA62A4">
              <w:rPr>
                <w:color w:val="000000"/>
                <w:sz w:val="16"/>
                <w:szCs w:val="16"/>
              </w:rPr>
              <w:t>290</w:t>
            </w:r>
            <w:r>
              <w:rPr>
                <w:color w:val="000000"/>
                <w:sz w:val="16"/>
                <w:szCs w:val="16"/>
              </w:rPr>
              <w:t>,</w:t>
            </w:r>
            <w:r w:rsidRPr="00EA62A4">
              <w:rPr>
                <w:color w:val="000000"/>
                <w:sz w:val="16"/>
                <w:szCs w:val="16"/>
              </w:rPr>
              <w:t>96</w:t>
            </w:r>
          </w:p>
        </w:tc>
      </w:tr>
    </w:tbl>
    <w:p w:rsidR="006069A1" w:rsidRPr="006069A1" w:rsidP="006069A1" w14:paraId="5D329563" w14:textId="26429DA5">
      <w:pPr>
        <w:autoSpaceDE w:val="0"/>
        <w:autoSpaceDN w:val="0"/>
        <w:adjustRightInd w:val="0"/>
        <w:spacing w:line="293" w:lineRule="atLeast"/>
        <w:jc w:val="both"/>
        <w:rPr>
          <w:lang w:bidi="lo-LA"/>
        </w:rPr>
      </w:pPr>
      <w:r w:rsidRPr="006069A1">
        <w:rPr>
          <w:lang w:bidi="lo-LA"/>
        </w:rPr>
        <w:t>*t.sk. ķirurģiskie pakalpojumi oftalmoloģijā</w:t>
      </w:r>
    </w:p>
    <w:p w:rsidR="006069A1" w:rsidRPr="006069A1" w:rsidP="006069A1" w14:paraId="64A68F37" w14:textId="77777777">
      <w:pPr>
        <w:autoSpaceDE w:val="0"/>
        <w:autoSpaceDN w:val="0"/>
        <w:adjustRightInd w:val="0"/>
        <w:spacing w:line="293" w:lineRule="atLeast"/>
        <w:jc w:val="both"/>
        <w:rPr>
          <w:u w:val="single"/>
          <w:lang w:bidi="lo-LA"/>
        </w:rPr>
      </w:pPr>
    </w:p>
    <w:p w:rsidR="0004769C" w:rsidP="009B5CDC" w14:paraId="0240CAD5" w14:textId="64258711">
      <w:pPr>
        <w:autoSpaceDE w:val="0"/>
        <w:autoSpaceDN w:val="0"/>
        <w:adjustRightInd w:val="0"/>
        <w:spacing w:line="293" w:lineRule="atLeast"/>
        <w:ind w:firstLine="720"/>
        <w:jc w:val="both"/>
      </w:pPr>
      <w:r w:rsidRPr="00212EB5">
        <w:t xml:space="preserve">Atbilstoši 2017.gada faktiskajai izpildei </w:t>
      </w:r>
      <w:r>
        <w:t xml:space="preserve">valsts sniegto pakalpojumu apjoms dienas stacionārā īstenots </w:t>
      </w:r>
      <w:r w:rsidR="008C3873">
        <w:t>44,10</w:t>
      </w:r>
      <w:r w:rsidRPr="00212EB5">
        <w:t xml:space="preserve"> % apmērā no gada plānotā </w:t>
      </w:r>
      <w:r>
        <w:t xml:space="preserve">dienas stacionāra </w:t>
      </w:r>
      <w:r w:rsidRPr="00212EB5">
        <w:t xml:space="preserve">pieauguma </w:t>
      </w:r>
      <w:r>
        <w:t>apjoma</w:t>
      </w:r>
      <w:r w:rsidRPr="00212EB5">
        <w:t>.</w:t>
      </w:r>
      <w:r w:rsidR="00135227">
        <w:t xml:space="preserve"> </w:t>
      </w:r>
      <w:r w:rsidRPr="00212EB5">
        <w:t xml:space="preserve">Līdz </w:t>
      </w:r>
      <w:r w:rsidRPr="00212EB5">
        <w:t>ar minēto</w:t>
      </w:r>
      <w:r w:rsidR="00FD04DD">
        <w:t>,</w:t>
      </w:r>
      <w:r w:rsidRPr="00212EB5">
        <w:t xml:space="preserve"> secināms, ka laika periodā no </w:t>
      </w:r>
      <w:r w:rsidR="00BB6C77">
        <w:t>2017.gada</w:t>
      </w:r>
      <w:r w:rsidRPr="00212EB5">
        <w:t xml:space="preserve"> marta līdz jūnijam rindu samazinājums nodrošināts ārstniecības iestāžu iespēju robežās, vidēji samazinot rindu garumu uz </w:t>
      </w:r>
      <w:r>
        <w:t xml:space="preserve">dienas stacionāra pakalpojumiem </w:t>
      </w:r>
      <w:r w:rsidRPr="00212EB5">
        <w:t xml:space="preserve">par </w:t>
      </w:r>
      <w:r w:rsidR="005301FC">
        <w:t>67,54</w:t>
      </w:r>
      <w:r w:rsidRPr="006069A1">
        <w:t xml:space="preserve"> %</w:t>
      </w:r>
      <w:r w:rsidR="00BB6C77">
        <w:t>.</w:t>
      </w:r>
      <w:r w:rsidR="005D2FE6">
        <w:t xml:space="preserve"> </w:t>
      </w:r>
      <w:r w:rsidRPr="003855C9" w:rsidR="005D2FE6">
        <w:t xml:space="preserve">Katrā ārstniecības iestādē un pakalpojuma veidā rindu samazinājuma dinamika ir atšķirīga, tomēr par </w:t>
      </w:r>
      <w:r w:rsidRPr="006B453F" w:rsidR="00434E72">
        <w:t xml:space="preserve">ļoti </w:t>
      </w:r>
      <w:r w:rsidRPr="005C3B86" w:rsidR="005D2FE6">
        <w:t>būtisku uzskatāms ieguvums Rīgas Austrumu klīniskā universitātes slimnīc</w:t>
      </w:r>
      <w:r w:rsidRPr="00EA62A4" w:rsidR="001269F2">
        <w:t>ā</w:t>
      </w:r>
      <w:r w:rsidRPr="00EA62A4" w:rsidR="005D2FE6">
        <w:t xml:space="preserve"> "Stacionārā ''Biķernieki” ķirurģisko pakalpojumu oftalmoloģijā rindu samazin</w:t>
      </w:r>
      <w:r w:rsidRPr="00EA62A4" w:rsidR="00C72C7A">
        <w:t>ājumam</w:t>
      </w:r>
      <w:r w:rsidRPr="00EA62A4" w:rsidR="005D2FE6">
        <w:t xml:space="preserve"> no 3000 dienām līdz </w:t>
      </w:r>
      <w:r w:rsidRPr="00EA62A4" w:rsidR="00434E72">
        <w:t>60</w:t>
      </w:r>
      <w:r w:rsidRPr="00EA62A4" w:rsidR="005D2FE6">
        <w:t>0 dienām</w:t>
      </w:r>
      <w:r w:rsidRPr="00EA62A4" w:rsidR="00434E72">
        <w:t>. Iesāktās intervences tiks turpinātas arī 2018.gadā, turpinot samazināt gaidīšanas rindas</w:t>
      </w:r>
      <w:r w:rsidRPr="00EA62A4" w:rsidR="00F37567">
        <w:t xml:space="preserve"> uz dienas stacionāra pakalpojumiem</w:t>
      </w:r>
      <w:r w:rsidRPr="00EA62A4" w:rsidR="00434E72">
        <w:t>.</w:t>
      </w:r>
      <w:r w:rsidRPr="00EA62A4" w:rsidR="004C7422">
        <w:t xml:space="preserve"> </w:t>
      </w:r>
      <w:r w:rsidRPr="00EA62A4" w:rsidR="0035264B">
        <w:t>2017.gadā tika sniegti 27 551</w:t>
      </w:r>
      <w:r w:rsidRPr="00EA62A4" w:rsidR="002E35C4">
        <w:t xml:space="preserve"> dienas stacionāra pakalpojumi (skat. 12.tabulu).</w:t>
      </w:r>
    </w:p>
    <w:p w:rsidR="0004769C" w:rsidP="00761DAE" w14:paraId="7431E533" w14:textId="2DC24271">
      <w:pPr>
        <w:rPr>
          <w:i/>
        </w:rPr>
      </w:pPr>
    </w:p>
    <w:p w:rsidR="0004769C" w:rsidP="0004769C" w14:paraId="6AAA1A0F" w14:textId="0C60AF4D">
      <w:pPr>
        <w:ind w:firstLine="720"/>
        <w:jc w:val="right"/>
        <w:rPr>
          <w:i/>
        </w:rPr>
      </w:pPr>
      <w:r>
        <w:rPr>
          <w:i/>
        </w:rPr>
        <w:t xml:space="preserve">12.tabula </w:t>
      </w:r>
    </w:p>
    <w:p w:rsidR="0004769C" w:rsidP="00BA347D" w14:paraId="7E051DED" w14:textId="622F2994">
      <w:pPr>
        <w:autoSpaceDE w:val="0"/>
        <w:autoSpaceDN w:val="0"/>
        <w:adjustRightInd w:val="0"/>
        <w:spacing w:line="293" w:lineRule="atLeast"/>
        <w:jc w:val="center"/>
      </w:pPr>
      <w:r>
        <w:t>Dienas stacionārā sniegtie pakalpojumi 2017.gadā</w:t>
      </w:r>
    </w:p>
    <w:p w:rsidR="00BA347D" w:rsidRPr="00212EB5" w:rsidP="00BA347D" w14:paraId="465B0F5F" w14:textId="77777777">
      <w:pPr>
        <w:autoSpaceDE w:val="0"/>
        <w:autoSpaceDN w:val="0"/>
        <w:adjustRightInd w:val="0"/>
        <w:spacing w:line="293" w:lineRule="atLeast"/>
        <w:jc w:val="center"/>
      </w:pPr>
    </w:p>
    <w:tbl>
      <w:tblPr>
        <w:tblW w:w="8800" w:type="dxa"/>
        <w:tblLook w:val="04A0"/>
      </w:tblPr>
      <w:tblGrid>
        <w:gridCol w:w="500"/>
        <w:gridCol w:w="3720"/>
        <w:gridCol w:w="2620"/>
        <w:gridCol w:w="1960"/>
      </w:tblGrid>
      <w:tr w14:paraId="551F55DA" w14:textId="77777777" w:rsidTr="0004769C">
        <w:tblPrEx>
          <w:tblW w:w="8800" w:type="dxa"/>
          <w:tblLook w:val="04A0"/>
        </w:tblPrEx>
        <w:trPr>
          <w:trHeight w:val="1455"/>
        </w:trPr>
        <w:tc>
          <w:tcPr>
            <w:tcW w:w="500" w:type="dxa"/>
            <w:vMerge w:val="restart"/>
            <w:tcBorders>
              <w:top w:val="single" w:sz="4" w:space="0" w:color="auto"/>
              <w:left w:val="nil"/>
              <w:bottom w:val="nil"/>
              <w:right w:val="single" w:sz="4" w:space="0" w:color="auto"/>
            </w:tcBorders>
            <w:shd w:val="clear" w:color="000000" w:fill="92D050"/>
            <w:noWrap/>
            <w:textDirection w:val="btLr"/>
            <w:vAlign w:val="center"/>
            <w:hideMark/>
          </w:tcPr>
          <w:p w:rsidR="0004769C" w:rsidRPr="0004769C" w:rsidP="0004769C" w14:paraId="255A18B1" w14:textId="77777777">
            <w:pPr>
              <w:jc w:val="center"/>
              <w:rPr>
                <w:color w:val="000000"/>
                <w:sz w:val="20"/>
                <w:szCs w:val="20"/>
              </w:rPr>
            </w:pPr>
            <w:r w:rsidRPr="0004769C">
              <w:rPr>
                <w:color w:val="000000"/>
                <w:sz w:val="20"/>
                <w:szCs w:val="20"/>
              </w:rPr>
              <w:t>Dienas stacionārs</w:t>
            </w:r>
          </w:p>
        </w:tc>
        <w:tc>
          <w:tcPr>
            <w:tcW w:w="3720" w:type="dxa"/>
            <w:tcBorders>
              <w:top w:val="single" w:sz="4" w:space="0" w:color="auto"/>
              <w:left w:val="nil"/>
              <w:bottom w:val="single" w:sz="4" w:space="0" w:color="auto"/>
              <w:right w:val="single" w:sz="4" w:space="0" w:color="auto"/>
            </w:tcBorders>
            <w:shd w:val="clear" w:color="000000" w:fill="92D050"/>
            <w:vAlign w:val="center"/>
            <w:hideMark/>
          </w:tcPr>
          <w:p w:rsidR="0004769C" w:rsidRPr="0004769C" w:rsidP="0004769C" w14:paraId="0C720111" w14:textId="77777777">
            <w:pPr>
              <w:jc w:val="center"/>
              <w:rPr>
                <w:b/>
                <w:bCs/>
                <w:color w:val="000000"/>
                <w:sz w:val="20"/>
                <w:szCs w:val="20"/>
              </w:rPr>
            </w:pPr>
            <w:r w:rsidRPr="0004769C">
              <w:rPr>
                <w:b/>
                <w:bCs/>
                <w:color w:val="000000"/>
                <w:sz w:val="20"/>
                <w:szCs w:val="20"/>
              </w:rPr>
              <w:t>Pakalpojumu veida nosaukums</w:t>
            </w:r>
          </w:p>
        </w:tc>
        <w:tc>
          <w:tcPr>
            <w:tcW w:w="2620" w:type="dxa"/>
            <w:tcBorders>
              <w:top w:val="single" w:sz="4" w:space="0" w:color="auto"/>
              <w:left w:val="nil"/>
              <w:bottom w:val="single" w:sz="4" w:space="0" w:color="auto"/>
              <w:right w:val="single" w:sz="4" w:space="0" w:color="auto"/>
            </w:tcBorders>
            <w:shd w:val="clear" w:color="000000" w:fill="92D050"/>
            <w:vAlign w:val="center"/>
            <w:hideMark/>
          </w:tcPr>
          <w:p w:rsidR="0004769C" w:rsidRPr="0004769C" w:rsidP="0004769C" w14:paraId="0C9F9696" w14:textId="77777777">
            <w:pPr>
              <w:jc w:val="center"/>
              <w:rPr>
                <w:b/>
                <w:bCs/>
                <w:color w:val="000000"/>
                <w:sz w:val="20"/>
                <w:szCs w:val="20"/>
              </w:rPr>
            </w:pPr>
            <w:r w:rsidRPr="0004769C">
              <w:rPr>
                <w:b/>
                <w:bCs/>
                <w:color w:val="000000"/>
                <w:sz w:val="20"/>
                <w:szCs w:val="20"/>
              </w:rPr>
              <w:t>Faktiski veiktais darbs 2017.gadā (t.sk. pacienta iemaksas kompensācija), gaidīšanas rindu mazināšanas finansējums, EUR</w:t>
            </w:r>
          </w:p>
        </w:tc>
        <w:tc>
          <w:tcPr>
            <w:tcW w:w="1960" w:type="dxa"/>
            <w:tcBorders>
              <w:top w:val="single" w:sz="4" w:space="0" w:color="auto"/>
              <w:left w:val="nil"/>
              <w:bottom w:val="single" w:sz="4" w:space="0" w:color="auto"/>
              <w:right w:val="single" w:sz="4" w:space="0" w:color="auto"/>
            </w:tcBorders>
            <w:shd w:val="clear" w:color="000000" w:fill="92D050"/>
            <w:vAlign w:val="center"/>
            <w:hideMark/>
          </w:tcPr>
          <w:p w:rsidR="0004769C" w:rsidRPr="0004769C" w:rsidP="0004769C" w14:paraId="6160AED0" w14:textId="77777777">
            <w:pPr>
              <w:jc w:val="center"/>
              <w:rPr>
                <w:b/>
                <w:bCs/>
                <w:color w:val="000000"/>
                <w:sz w:val="20"/>
                <w:szCs w:val="20"/>
              </w:rPr>
            </w:pPr>
            <w:r w:rsidRPr="0004769C">
              <w:rPr>
                <w:b/>
                <w:bCs/>
                <w:color w:val="000000"/>
                <w:sz w:val="20"/>
                <w:szCs w:val="20"/>
              </w:rPr>
              <w:t>Faktiski veiktais izmeklējumu skaits 2017.gadā</w:t>
            </w:r>
          </w:p>
        </w:tc>
      </w:tr>
      <w:tr w14:paraId="76E9D955" w14:textId="77777777" w:rsidTr="0004769C">
        <w:tblPrEx>
          <w:tblW w:w="8800" w:type="dxa"/>
          <w:tblLook w:val="04A0"/>
        </w:tblPrEx>
        <w:trPr>
          <w:trHeight w:val="525"/>
        </w:trPr>
        <w:tc>
          <w:tcPr>
            <w:tcW w:w="500" w:type="dxa"/>
            <w:vMerge/>
            <w:tcBorders>
              <w:top w:val="single" w:sz="4" w:space="0" w:color="auto"/>
              <w:left w:val="nil"/>
              <w:bottom w:val="nil"/>
              <w:right w:val="single" w:sz="4" w:space="0" w:color="auto"/>
            </w:tcBorders>
            <w:vAlign w:val="center"/>
            <w:hideMark/>
          </w:tcPr>
          <w:p w:rsidR="001F67EA" w:rsidRPr="0004769C" w:rsidP="001F67EA" w14:paraId="2E2D6270" w14:textId="77777777">
            <w:pPr>
              <w:rPr>
                <w:color w:val="000000"/>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rsidR="001F67EA" w:rsidRPr="0004769C" w:rsidP="001F67EA" w14:paraId="1E263F27" w14:textId="77777777">
            <w:pPr>
              <w:rPr>
                <w:color w:val="000000"/>
                <w:sz w:val="20"/>
                <w:szCs w:val="20"/>
              </w:rPr>
            </w:pPr>
            <w:r w:rsidRPr="0004769C">
              <w:rPr>
                <w:color w:val="000000"/>
                <w:sz w:val="20"/>
                <w:szCs w:val="20"/>
              </w:rPr>
              <w:t>Narkoloģisko slimnieku ārstēšana narkoloģiskā profila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3C517430" w14:textId="1C42BF12">
            <w:pPr>
              <w:jc w:val="center"/>
              <w:rPr>
                <w:color w:val="000000"/>
                <w:sz w:val="20"/>
                <w:szCs w:val="20"/>
              </w:rPr>
            </w:pPr>
            <w:r>
              <w:rPr>
                <w:color w:val="000000"/>
                <w:sz w:val="20"/>
                <w:szCs w:val="20"/>
              </w:rPr>
              <w:t>10 852</w:t>
            </w:r>
          </w:p>
        </w:tc>
        <w:tc>
          <w:tcPr>
            <w:tcW w:w="196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1BE3380C" w14:textId="35C65B7E">
            <w:pPr>
              <w:jc w:val="center"/>
              <w:rPr>
                <w:color w:val="000000"/>
                <w:sz w:val="20"/>
                <w:szCs w:val="20"/>
              </w:rPr>
            </w:pPr>
            <w:r>
              <w:rPr>
                <w:color w:val="000000"/>
                <w:sz w:val="20"/>
                <w:szCs w:val="20"/>
              </w:rPr>
              <w:t>732</w:t>
            </w:r>
          </w:p>
        </w:tc>
      </w:tr>
      <w:tr w14:paraId="6663C8A7" w14:textId="77777777" w:rsidTr="0004769C">
        <w:tblPrEx>
          <w:tblW w:w="8800" w:type="dxa"/>
          <w:tblLook w:val="04A0"/>
        </w:tblPrEx>
        <w:trPr>
          <w:trHeight w:val="525"/>
        </w:trPr>
        <w:tc>
          <w:tcPr>
            <w:tcW w:w="500" w:type="dxa"/>
            <w:vMerge/>
            <w:tcBorders>
              <w:top w:val="single" w:sz="4" w:space="0" w:color="auto"/>
              <w:left w:val="nil"/>
              <w:bottom w:val="nil"/>
              <w:right w:val="single" w:sz="4" w:space="0" w:color="auto"/>
            </w:tcBorders>
            <w:vAlign w:val="center"/>
            <w:hideMark/>
          </w:tcPr>
          <w:p w:rsidR="001F67EA" w:rsidRPr="0004769C" w:rsidP="001F67EA" w14:paraId="04437BD5" w14:textId="77777777">
            <w:pPr>
              <w:rPr>
                <w:color w:val="000000"/>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rsidR="001F67EA" w:rsidRPr="0004769C" w:rsidP="001F67EA" w14:paraId="2BF247DD" w14:textId="77777777">
            <w:pPr>
              <w:rPr>
                <w:color w:val="000000"/>
                <w:sz w:val="20"/>
                <w:szCs w:val="20"/>
              </w:rPr>
            </w:pPr>
            <w:r w:rsidRPr="0004769C">
              <w:rPr>
                <w:color w:val="000000"/>
                <w:sz w:val="20"/>
                <w:szCs w:val="20"/>
              </w:rPr>
              <w:t>Neiroloģisko un iekšķīgo slimību ārstēšana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08BBA695" w14:textId="3623CB35">
            <w:pPr>
              <w:jc w:val="center"/>
              <w:rPr>
                <w:color w:val="000000"/>
                <w:sz w:val="20"/>
                <w:szCs w:val="20"/>
              </w:rPr>
            </w:pPr>
            <w:r>
              <w:rPr>
                <w:color w:val="000000"/>
                <w:sz w:val="20"/>
                <w:szCs w:val="20"/>
              </w:rPr>
              <w:t>142 944</w:t>
            </w:r>
          </w:p>
        </w:tc>
        <w:tc>
          <w:tcPr>
            <w:tcW w:w="196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21F24592" w14:textId="67895CA1">
            <w:pPr>
              <w:jc w:val="center"/>
              <w:rPr>
                <w:color w:val="000000"/>
                <w:sz w:val="20"/>
                <w:szCs w:val="20"/>
              </w:rPr>
            </w:pPr>
            <w:r>
              <w:rPr>
                <w:color w:val="000000"/>
                <w:sz w:val="20"/>
                <w:szCs w:val="20"/>
              </w:rPr>
              <w:t>5 328</w:t>
            </w:r>
          </w:p>
        </w:tc>
      </w:tr>
      <w:tr w14:paraId="7C39B353" w14:textId="77777777" w:rsidTr="0004769C">
        <w:tblPrEx>
          <w:tblW w:w="8800" w:type="dxa"/>
          <w:tblLook w:val="04A0"/>
        </w:tblPrEx>
        <w:trPr>
          <w:trHeight w:val="525"/>
        </w:trPr>
        <w:tc>
          <w:tcPr>
            <w:tcW w:w="500" w:type="dxa"/>
            <w:vMerge/>
            <w:tcBorders>
              <w:top w:val="single" w:sz="4" w:space="0" w:color="auto"/>
              <w:left w:val="nil"/>
              <w:bottom w:val="nil"/>
              <w:right w:val="single" w:sz="4" w:space="0" w:color="auto"/>
            </w:tcBorders>
            <w:vAlign w:val="center"/>
            <w:hideMark/>
          </w:tcPr>
          <w:p w:rsidR="001F67EA" w:rsidRPr="0004769C" w:rsidP="001F67EA" w14:paraId="1D15ADF9" w14:textId="77777777">
            <w:pPr>
              <w:rPr>
                <w:color w:val="000000"/>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rsidR="001F67EA" w:rsidRPr="0004769C" w:rsidP="001F67EA" w14:paraId="63BFF43C" w14:textId="77777777">
            <w:pPr>
              <w:rPr>
                <w:color w:val="000000"/>
                <w:sz w:val="20"/>
                <w:szCs w:val="20"/>
              </w:rPr>
            </w:pPr>
            <w:r w:rsidRPr="0004769C">
              <w:rPr>
                <w:color w:val="000000"/>
                <w:sz w:val="20"/>
                <w:szCs w:val="20"/>
              </w:rPr>
              <w:t>Psihiatrisko slimnieku ārstēšana psihiatriskā profila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56098646" w14:textId="4CBCD270">
            <w:pPr>
              <w:jc w:val="center"/>
              <w:rPr>
                <w:color w:val="000000"/>
                <w:sz w:val="20"/>
                <w:szCs w:val="20"/>
              </w:rPr>
            </w:pPr>
            <w:r>
              <w:rPr>
                <w:color w:val="000000"/>
                <w:sz w:val="20"/>
                <w:szCs w:val="20"/>
              </w:rPr>
              <w:t>56 667</w:t>
            </w:r>
          </w:p>
        </w:tc>
        <w:tc>
          <w:tcPr>
            <w:tcW w:w="196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46711B86" w14:textId="2F80F11F">
            <w:pPr>
              <w:jc w:val="center"/>
              <w:rPr>
                <w:color w:val="000000"/>
                <w:sz w:val="20"/>
                <w:szCs w:val="20"/>
              </w:rPr>
            </w:pPr>
            <w:r>
              <w:rPr>
                <w:color w:val="000000"/>
                <w:sz w:val="20"/>
                <w:szCs w:val="20"/>
              </w:rPr>
              <w:t>2 607</w:t>
            </w:r>
          </w:p>
        </w:tc>
      </w:tr>
      <w:tr w14:paraId="6BA92A43" w14:textId="77777777" w:rsidTr="0004769C">
        <w:tblPrEx>
          <w:tblW w:w="8800" w:type="dxa"/>
          <w:tblLook w:val="04A0"/>
        </w:tblPrEx>
        <w:trPr>
          <w:trHeight w:val="525"/>
        </w:trPr>
        <w:tc>
          <w:tcPr>
            <w:tcW w:w="500" w:type="dxa"/>
            <w:vMerge/>
            <w:tcBorders>
              <w:top w:val="single" w:sz="4" w:space="0" w:color="auto"/>
              <w:left w:val="nil"/>
              <w:bottom w:val="nil"/>
              <w:right w:val="single" w:sz="4" w:space="0" w:color="auto"/>
            </w:tcBorders>
            <w:vAlign w:val="center"/>
            <w:hideMark/>
          </w:tcPr>
          <w:p w:rsidR="001F67EA" w:rsidRPr="0004769C" w:rsidP="001F67EA" w14:paraId="4CA17A93" w14:textId="77777777">
            <w:pPr>
              <w:rPr>
                <w:color w:val="000000"/>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rsidR="001F67EA" w:rsidRPr="0004769C" w:rsidP="001F67EA" w14:paraId="69E84A51" w14:textId="77777777">
            <w:pPr>
              <w:rPr>
                <w:color w:val="000000"/>
                <w:sz w:val="20"/>
                <w:szCs w:val="20"/>
              </w:rPr>
            </w:pPr>
            <w:r w:rsidRPr="0004769C">
              <w:rPr>
                <w:color w:val="000000"/>
                <w:sz w:val="20"/>
                <w:szCs w:val="20"/>
              </w:rPr>
              <w:t>Gastrointestinālās</w:t>
            </w:r>
            <w:r w:rsidRPr="0004769C">
              <w:rPr>
                <w:color w:val="000000"/>
                <w:sz w:val="20"/>
                <w:szCs w:val="20"/>
              </w:rPr>
              <w:t xml:space="preserve"> </w:t>
            </w:r>
            <w:r w:rsidRPr="0004769C">
              <w:rPr>
                <w:color w:val="000000"/>
                <w:sz w:val="20"/>
                <w:szCs w:val="20"/>
              </w:rPr>
              <w:t>endoskopijas</w:t>
            </w:r>
            <w:r w:rsidRPr="0004769C">
              <w:rPr>
                <w:color w:val="000000"/>
                <w:sz w:val="20"/>
                <w:szCs w:val="20"/>
              </w:rPr>
              <w:t xml:space="preserve">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0F77FB5E" w14:textId="56450C0F">
            <w:pPr>
              <w:jc w:val="center"/>
              <w:rPr>
                <w:color w:val="000000"/>
                <w:sz w:val="20"/>
                <w:szCs w:val="20"/>
              </w:rPr>
            </w:pPr>
            <w:r>
              <w:rPr>
                <w:color w:val="000000"/>
                <w:sz w:val="20"/>
                <w:szCs w:val="20"/>
              </w:rPr>
              <w:t>102 096</w:t>
            </w:r>
          </w:p>
        </w:tc>
        <w:tc>
          <w:tcPr>
            <w:tcW w:w="196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08F2F4E2" w14:textId="59731CF6">
            <w:pPr>
              <w:jc w:val="center"/>
              <w:rPr>
                <w:color w:val="000000"/>
                <w:sz w:val="20"/>
                <w:szCs w:val="20"/>
              </w:rPr>
            </w:pPr>
            <w:r>
              <w:rPr>
                <w:color w:val="000000"/>
                <w:sz w:val="20"/>
                <w:szCs w:val="20"/>
              </w:rPr>
              <w:t>784</w:t>
            </w:r>
          </w:p>
        </w:tc>
      </w:tr>
      <w:tr w14:paraId="19EE185A" w14:textId="77777777" w:rsidTr="0004769C">
        <w:tblPrEx>
          <w:tblW w:w="8800" w:type="dxa"/>
          <w:tblLook w:val="04A0"/>
        </w:tblPrEx>
        <w:trPr>
          <w:trHeight w:val="300"/>
        </w:trPr>
        <w:tc>
          <w:tcPr>
            <w:tcW w:w="500" w:type="dxa"/>
            <w:vMerge/>
            <w:tcBorders>
              <w:top w:val="single" w:sz="4" w:space="0" w:color="auto"/>
              <w:left w:val="nil"/>
              <w:bottom w:val="nil"/>
              <w:right w:val="single" w:sz="4" w:space="0" w:color="auto"/>
            </w:tcBorders>
            <w:vAlign w:val="center"/>
            <w:hideMark/>
          </w:tcPr>
          <w:p w:rsidR="001F67EA" w:rsidRPr="0004769C" w:rsidP="001F67EA" w14:paraId="53C733F7" w14:textId="77777777">
            <w:pPr>
              <w:rPr>
                <w:color w:val="000000"/>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rsidR="001F67EA" w:rsidRPr="0004769C" w:rsidP="001F67EA" w14:paraId="1C216CAA" w14:textId="77777777">
            <w:pPr>
              <w:rPr>
                <w:color w:val="000000"/>
                <w:sz w:val="20"/>
                <w:szCs w:val="20"/>
              </w:rPr>
            </w:pPr>
            <w:r w:rsidRPr="0004769C">
              <w:rPr>
                <w:color w:val="000000"/>
                <w:sz w:val="20"/>
                <w:szCs w:val="20"/>
              </w:rPr>
              <w:t>Ginekoloģija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495278BE" w14:textId="7CF2E507">
            <w:pPr>
              <w:jc w:val="center"/>
              <w:rPr>
                <w:color w:val="000000"/>
                <w:sz w:val="20"/>
                <w:szCs w:val="20"/>
              </w:rPr>
            </w:pPr>
            <w:r>
              <w:rPr>
                <w:color w:val="000000"/>
                <w:sz w:val="20"/>
                <w:szCs w:val="20"/>
              </w:rPr>
              <w:t>646 158</w:t>
            </w:r>
          </w:p>
        </w:tc>
        <w:tc>
          <w:tcPr>
            <w:tcW w:w="196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7BEEF9B2" w14:textId="4E2036B7">
            <w:pPr>
              <w:jc w:val="center"/>
              <w:rPr>
                <w:color w:val="000000"/>
                <w:sz w:val="20"/>
                <w:szCs w:val="20"/>
              </w:rPr>
            </w:pPr>
            <w:r>
              <w:rPr>
                <w:color w:val="000000"/>
                <w:sz w:val="20"/>
                <w:szCs w:val="20"/>
              </w:rPr>
              <w:t>3 646</w:t>
            </w:r>
          </w:p>
        </w:tc>
      </w:tr>
      <w:tr w14:paraId="37D92669" w14:textId="77777777" w:rsidTr="0004769C">
        <w:tblPrEx>
          <w:tblW w:w="8800" w:type="dxa"/>
          <w:tblLook w:val="04A0"/>
        </w:tblPrEx>
        <w:trPr>
          <w:trHeight w:val="300"/>
        </w:trPr>
        <w:tc>
          <w:tcPr>
            <w:tcW w:w="500" w:type="dxa"/>
            <w:vMerge/>
            <w:tcBorders>
              <w:top w:val="single" w:sz="4" w:space="0" w:color="auto"/>
              <w:left w:val="nil"/>
              <w:bottom w:val="nil"/>
              <w:right w:val="single" w:sz="4" w:space="0" w:color="auto"/>
            </w:tcBorders>
            <w:vAlign w:val="center"/>
            <w:hideMark/>
          </w:tcPr>
          <w:p w:rsidR="001F67EA" w:rsidRPr="0004769C" w:rsidP="001F67EA" w14:paraId="5E2903BE" w14:textId="77777777">
            <w:pPr>
              <w:rPr>
                <w:color w:val="000000"/>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rsidR="001F67EA" w:rsidRPr="0004769C" w:rsidP="001F67EA" w14:paraId="66818210" w14:textId="77777777">
            <w:pPr>
              <w:rPr>
                <w:color w:val="000000"/>
                <w:sz w:val="20"/>
                <w:szCs w:val="20"/>
              </w:rPr>
            </w:pPr>
            <w:r w:rsidRPr="0004769C">
              <w:rPr>
                <w:color w:val="000000"/>
                <w:sz w:val="20"/>
                <w:szCs w:val="20"/>
              </w:rPr>
              <w:t>Invazīvā</w:t>
            </w:r>
            <w:r w:rsidRPr="0004769C">
              <w:rPr>
                <w:color w:val="000000"/>
                <w:sz w:val="20"/>
                <w:szCs w:val="20"/>
              </w:rPr>
              <w:t xml:space="preserve"> radioloģija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11678B30" w14:textId="5EDEF196">
            <w:pPr>
              <w:jc w:val="center"/>
              <w:rPr>
                <w:color w:val="000000"/>
                <w:sz w:val="20"/>
                <w:szCs w:val="20"/>
              </w:rPr>
            </w:pPr>
            <w:r>
              <w:rPr>
                <w:color w:val="000000"/>
                <w:sz w:val="20"/>
                <w:szCs w:val="20"/>
              </w:rPr>
              <w:t>474 759</w:t>
            </w:r>
          </w:p>
        </w:tc>
        <w:tc>
          <w:tcPr>
            <w:tcW w:w="196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4C536F14" w14:textId="1A5F200B">
            <w:pPr>
              <w:jc w:val="center"/>
              <w:rPr>
                <w:color w:val="000000"/>
                <w:sz w:val="20"/>
                <w:szCs w:val="20"/>
              </w:rPr>
            </w:pPr>
            <w:r>
              <w:rPr>
                <w:color w:val="000000"/>
                <w:sz w:val="20"/>
                <w:szCs w:val="20"/>
              </w:rPr>
              <w:t>122</w:t>
            </w:r>
          </w:p>
        </w:tc>
      </w:tr>
      <w:tr w14:paraId="64CBC11C" w14:textId="77777777" w:rsidTr="0004769C">
        <w:tblPrEx>
          <w:tblW w:w="8800" w:type="dxa"/>
          <w:tblLook w:val="04A0"/>
        </w:tblPrEx>
        <w:trPr>
          <w:trHeight w:val="525"/>
        </w:trPr>
        <w:tc>
          <w:tcPr>
            <w:tcW w:w="500" w:type="dxa"/>
            <w:vMerge/>
            <w:tcBorders>
              <w:top w:val="single" w:sz="4" w:space="0" w:color="auto"/>
              <w:left w:val="nil"/>
              <w:bottom w:val="nil"/>
              <w:right w:val="single" w:sz="4" w:space="0" w:color="auto"/>
            </w:tcBorders>
            <w:vAlign w:val="center"/>
            <w:hideMark/>
          </w:tcPr>
          <w:p w:rsidR="001F67EA" w:rsidRPr="0004769C" w:rsidP="001F67EA" w14:paraId="20A36350" w14:textId="77777777">
            <w:pPr>
              <w:rPr>
                <w:color w:val="000000"/>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rsidR="001F67EA" w:rsidRPr="0004769C" w:rsidP="001F67EA" w14:paraId="3725AD62" w14:textId="77777777">
            <w:pPr>
              <w:rPr>
                <w:color w:val="000000"/>
                <w:sz w:val="20"/>
                <w:szCs w:val="20"/>
              </w:rPr>
            </w:pPr>
            <w:r w:rsidRPr="0004769C">
              <w:rPr>
                <w:color w:val="000000"/>
                <w:sz w:val="20"/>
                <w:szCs w:val="20"/>
              </w:rPr>
              <w:t>Ķirurģiskie pakalpojumi oftalmoloģijas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3B7960B8" w14:textId="6250EC4E">
            <w:pPr>
              <w:jc w:val="center"/>
              <w:rPr>
                <w:color w:val="000000"/>
                <w:sz w:val="20"/>
                <w:szCs w:val="20"/>
              </w:rPr>
            </w:pPr>
            <w:r>
              <w:rPr>
                <w:color w:val="000000"/>
                <w:sz w:val="20"/>
                <w:szCs w:val="20"/>
              </w:rPr>
              <w:t>1 954 660</w:t>
            </w:r>
          </w:p>
        </w:tc>
        <w:tc>
          <w:tcPr>
            <w:tcW w:w="196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3A803DB3" w14:textId="1DE83F5F">
            <w:pPr>
              <w:jc w:val="center"/>
              <w:rPr>
                <w:color w:val="000000"/>
                <w:sz w:val="20"/>
                <w:szCs w:val="20"/>
              </w:rPr>
            </w:pPr>
            <w:r>
              <w:rPr>
                <w:color w:val="000000"/>
                <w:sz w:val="20"/>
                <w:szCs w:val="20"/>
              </w:rPr>
              <w:t>6 690</w:t>
            </w:r>
          </w:p>
        </w:tc>
      </w:tr>
      <w:tr w14:paraId="435D9672" w14:textId="77777777" w:rsidTr="0004769C">
        <w:tblPrEx>
          <w:tblW w:w="8800" w:type="dxa"/>
          <w:tblLook w:val="04A0"/>
        </w:tblPrEx>
        <w:trPr>
          <w:trHeight w:val="300"/>
        </w:trPr>
        <w:tc>
          <w:tcPr>
            <w:tcW w:w="500" w:type="dxa"/>
            <w:vMerge/>
            <w:tcBorders>
              <w:top w:val="single" w:sz="4" w:space="0" w:color="auto"/>
              <w:left w:val="nil"/>
              <w:bottom w:val="nil"/>
              <w:right w:val="single" w:sz="4" w:space="0" w:color="auto"/>
            </w:tcBorders>
            <w:vAlign w:val="center"/>
            <w:hideMark/>
          </w:tcPr>
          <w:p w:rsidR="001F67EA" w:rsidRPr="0004769C" w:rsidP="001F67EA" w14:paraId="77BC3B24" w14:textId="77777777">
            <w:pPr>
              <w:rPr>
                <w:color w:val="000000"/>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rsidR="001F67EA" w:rsidRPr="0004769C" w:rsidP="001F67EA" w14:paraId="0B35CA78" w14:textId="77777777">
            <w:pPr>
              <w:rPr>
                <w:color w:val="000000"/>
                <w:sz w:val="20"/>
                <w:szCs w:val="20"/>
              </w:rPr>
            </w:pPr>
            <w:r w:rsidRPr="0004769C">
              <w:rPr>
                <w:color w:val="000000"/>
                <w:sz w:val="20"/>
                <w:szCs w:val="20"/>
              </w:rPr>
              <w:t>Otolaringoloģija</w:t>
            </w:r>
            <w:r w:rsidRPr="0004769C">
              <w:rPr>
                <w:color w:val="000000"/>
                <w:sz w:val="20"/>
                <w:szCs w:val="20"/>
              </w:rPr>
              <w:t xml:space="preserve"> bērniem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29A510C5" w14:textId="695D0288">
            <w:pPr>
              <w:jc w:val="center"/>
              <w:rPr>
                <w:color w:val="000000"/>
                <w:sz w:val="20"/>
                <w:szCs w:val="20"/>
              </w:rPr>
            </w:pPr>
            <w:r>
              <w:rPr>
                <w:color w:val="000000"/>
                <w:sz w:val="20"/>
                <w:szCs w:val="20"/>
              </w:rPr>
              <w:t>124 301</w:t>
            </w:r>
          </w:p>
        </w:tc>
        <w:tc>
          <w:tcPr>
            <w:tcW w:w="196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3C8131BB" w14:textId="4C78C95D">
            <w:pPr>
              <w:jc w:val="center"/>
              <w:rPr>
                <w:color w:val="000000"/>
                <w:sz w:val="20"/>
                <w:szCs w:val="20"/>
              </w:rPr>
            </w:pPr>
            <w:r>
              <w:rPr>
                <w:color w:val="000000"/>
                <w:sz w:val="20"/>
                <w:szCs w:val="20"/>
              </w:rPr>
              <w:t>477</w:t>
            </w:r>
          </w:p>
        </w:tc>
      </w:tr>
      <w:tr w14:paraId="61C6D814" w14:textId="77777777" w:rsidTr="0004769C">
        <w:tblPrEx>
          <w:tblW w:w="8800" w:type="dxa"/>
          <w:tblLook w:val="04A0"/>
        </w:tblPrEx>
        <w:trPr>
          <w:trHeight w:val="525"/>
        </w:trPr>
        <w:tc>
          <w:tcPr>
            <w:tcW w:w="500" w:type="dxa"/>
            <w:vMerge/>
            <w:tcBorders>
              <w:top w:val="single" w:sz="4" w:space="0" w:color="auto"/>
              <w:left w:val="nil"/>
              <w:bottom w:val="nil"/>
              <w:right w:val="single" w:sz="4" w:space="0" w:color="auto"/>
            </w:tcBorders>
            <w:vAlign w:val="center"/>
            <w:hideMark/>
          </w:tcPr>
          <w:p w:rsidR="001F67EA" w:rsidRPr="0004769C" w:rsidP="001F67EA" w14:paraId="78616023" w14:textId="77777777">
            <w:pPr>
              <w:rPr>
                <w:color w:val="000000"/>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rsidR="001F67EA" w:rsidRPr="0004769C" w:rsidP="001F67EA" w14:paraId="4AB21EEB" w14:textId="77777777">
            <w:pPr>
              <w:rPr>
                <w:color w:val="000000"/>
                <w:sz w:val="20"/>
                <w:szCs w:val="20"/>
              </w:rPr>
            </w:pPr>
            <w:r w:rsidRPr="0004769C">
              <w:rPr>
                <w:color w:val="000000"/>
                <w:sz w:val="20"/>
                <w:szCs w:val="20"/>
              </w:rPr>
              <w:t>Otolaringoloģija</w:t>
            </w:r>
            <w:r w:rsidRPr="0004769C">
              <w:rPr>
                <w:color w:val="000000"/>
                <w:sz w:val="20"/>
                <w:szCs w:val="20"/>
              </w:rPr>
              <w:t xml:space="preserve"> pieaugušajiem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2E58EF1F" w14:textId="19EB3914">
            <w:pPr>
              <w:jc w:val="center"/>
              <w:rPr>
                <w:color w:val="000000"/>
                <w:sz w:val="20"/>
                <w:szCs w:val="20"/>
              </w:rPr>
            </w:pPr>
            <w:r>
              <w:rPr>
                <w:color w:val="000000"/>
                <w:sz w:val="20"/>
                <w:szCs w:val="20"/>
              </w:rPr>
              <w:t>105 944</w:t>
            </w:r>
          </w:p>
        </w:tc>
        <w:tc>
          <w:tcPr>
            <w:tcW w:w="196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24DA3242" w14:textId="4FEAE03A">
            <w:pPr>
              <w:jc w:val="center"/>
              <w:rPr>
                <w:color w:val="000000"/>
                <w:sz w:val="20"/>
                <w:szCs w:val="20"/>
              </w:rPr>
            </w:pPr>
            <w:r>
              <w:rPr>
                <w:color w:val="000000"/>
                <w:sz w:val="20"/>
                <w:szCs w:val="20"/>
              </w:rPr>
              <w:t>705</w:t>
            </w:r>
          </w:p>
        </w:tc>
      </w:tr>
      <w:tr w14:paraId="31E92B24" w14:textId="77777777" w:rsidTr="0004769C">
        <w:tblPrEx>
          <w:tblW w:w="8800" w:type="dxa"/>
          <w:tblLook w:val="04A0"/>
        </w:tblPrEx>
        <w:trPr>
          <w:trHeight w:val="330"/>
        </w:trPr>
        <w:tc>
          <w:tcPr>
            <w:tcW w:w="500" w:type="dxa"/>
            <w:vMerge/>
            <w:tcBorders>
              <w:top w:val="single" w:sz="4" w:space="0" w:color="auto"/>
              <w:left w:val="nil"/>
              <w:bottom w:val="nil"/>
              <w:right w:val="single" w:sz="4" w:space="0" w:color="auto"/>
            </w:tcBorders>
            <w:vAlign w:val="center"/>
            <w:hideMark/>
          </w:tcPr>
          <w:p w:rsidR="001F67EA" w:rsidRPr="0004769C" w:rsidP="001F67EA" w14:paraId="245C69C2" w14:textId="77777777">
            <w:pPr>
              <w:rPr>
                <w:color w:val="000000"/>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rsidR="001F67EA" w:rsidRPr="0004769C" w:rsidP="001F67EA" w14:paraId="0851FFF0" w14:textId="77777777">
            <w:pPr>
              <w:rPr>
                <w:color w:val="000000"/>
                <w:sz w:val="20"/>
                <w:szCs w:val="20"/>
              </w:rPr>
            </w:pPr>
            <w:r w:rsidRPr="0004769C">
              <w:rPr>
                <w:color w:val="000000"/>
                <w:sz w:val="20"/>
                <w:szCs w:val="20"/>
              </w:rPr>
              <w:t>Traumatoloģija, ortopēdija dienas stacionārā</w:t>
            </w:r>
          </w:p>
        </w:tc>
        <w:tc>
          <w:tcPr>
            <w:tcW w:w="262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4CD4401A" w14:textId="6C2EB3F8">
            <w:pPr>
              <w:jc w:val="center"/>
              <w:rPr>
                <w:color w:val="000000"/>
                <w:sz w:val="20"/>
                <w:szCs w:val="20"/>
              </w:rPr>
            </w:pPr>
            <w:r>
              <w:rPr>
                <w:color w:val="000000"/>
                <w:sz w:val="20"/>
                <w:szCs w:val="20"/>
              </w:rPr>
              <w:t>677 654</w:t>
            </w:r>
          </w:p>
        </w:tc>
        <w:tc>
          <w:tcPr>
            <w:tcW w:w="1960" w:type="dxa"/>
            <w:tcBorders>
              <w:top w:val="nil"/>
              <w:left w:val="nil"/>
              <w:bottom w:val="single" w:sz="4" w:space="0" w:color="auto"/>
              <w:right w:val="single" w:sz="4" w:space="0" w:color="auto"/>
            </w:tcBorders>
            <w:shd w:val="clear" w:color="auto" w:fill="auto"/>
            <w:noWrap/>
            <w:vAlign w:val="center"/>
            <w:hideMark/>
          </w:tcPr>
          <w:p w:rsidR="001F67EA" w:rsidRPr="0004769C" w:rsidP="001F67EA" w14:paraId="05ABFBD7" w14:textId="62E3F5FC">
            <w:pPr>
              <w:jc w:val="center"/>
              <w:rPr>
                <w:color w:val="000000"/>
                <w:sz w:val="20"/>
                <w:szCs w:val="20"/>
              </w:rPr>
            </w:pPr>
            <w:r>
              <w:rPr>
                <w:color w:val="000000"/>
                <w:sz w:val="20"/>
                <w:szCs w:val="20"/>
              </w:rPr>
              <w:t>2 593</w:t>
            </w:r>
          </w:p>
        </w:tc>
      </w:tr>
      <w:tr w14:paraId="283CBF45" w14:textId="77777777" w:rsidTr="0004769C">
        <w:tblPrEx>
          <w:tblW w:w="8800" w:type="dxa"/>
          <w:tblLook w:val="04A0"/>
        </w:tblPrEx>
        <w:trPr>
          <w:trHeight w:val="300"/>
        </w:trPr>
        <w:tc>
          <w:tcPr>
            <w:tcW w:w="500" w:type="dxa"/>
            <w:vMerge/>
            <w:tcBorders>
              <w:top w:val="single" w:sz="4" w:space="0" w:color="auto"/>
              <w:left w:val="nil"/>
              <w:bottom w:val="nil"/>
              <w:right w:val="single" w:sz="4" w:space="0" w:color="auto"/>
            </w:tcBorders>
            <w:vAlign w:val="center"/>
            <w:hideMark/>
          </w:tcPr>
          <w:p w:rsidR="001F67EA" w:rsidRPr="0004769C" w:rsidP="001F67EA" w14:paraId="5928DB38" w14:textId="77777777">
            <w:pPr>
              <w:rPr>
                <w:color w:val="000000"/>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rsidR="001F67EA" w:rsidRPr="0004769C" w:rsidP="001F67EA" w14:paraId="0F6ED6B4" w14:textId="77777777">
            <w:pPr>
              <w:rPr>
                <w:color w:val="000000"/>
                <w:sz w:val="20"/>
                <w:szCs w:val="20"/>
              </w:rPr>
            </w:pPr>
            <w:r w:rsidRPr="0004769C">
              <w:rPr>
                <w:color w:val="000000"/>
                <w:sz w:val="20"/>
                <w:szCs w:val="20"/>
              </w:rPr>
              <w:t>Uroloģija dienas stacionārā</w:t>
            </w:r>
          </w:p>
        </w:tc>
        <w:tc>
          <w:tcPr>
            <w:tcW w:w="2620" w:type="dxa"/>
            <w:tcBorders>
              <w:top w:val="nil"/>
              <w:left w:val="nil"/>
              <w:bottom w:val="single" w:sz="4" w:space="0" w:color="auto"/>
              <w:right w:val="single" w:sz="4" w:space="0" w:color="auto"/>
            </w:tcBorders>
            <w:shd w:val="clear" w:color="auto" w:fill="auto"/>
            <w:noWrap/>
            <w:vAlign w:val="bottom"/>
            <w:hideMark/>
          </w:tcPr>
          <w:p w:rsidR="001F67EA" w:rsidRPr="0004769C" w:rsidP="001F67EA" w14:paraId="2A2F6553" w14:textId="3E359048">
            <w:pPr>
              <w:jc w:val="center"/>
              <w:rPr>
                <w:color w:val="000000"/>
                <w:sz w:val="20"/>
                <w:szCs w:val="20"/>
              </w:rPr>
            </w:pPr>
            <w:r>
              <w:rPr>
                <w:color w:val="000000"/>
                <w:sz w:val="20"/>
                <w:szCs w:val="20"/>
              </w:rPr>
              <w:t>162663.27</w:t>
            </w:r>
          </w:p>
        </w:tc>
        <w:tc>
          <w:tcPr>
            <w:tcW w:w="1960" w:type="dxa"/>
            <w:tcBorders>
              <w:top w:val="nil"/>
              <w:left w:val="nil"/>
              <w:bottom w:val="single" w:sz="4" w:space="0" w:color="auto"/>
              <w:right w:val="single" w:sz="4" w:space="0" w:color="auto"/>
            </w:tcBorders>
            <w:shd w:val="clear" w:color="auto" w:fill="auto"/>
            <w:noWrap/>
            <w:vAlign w:val="bottom"/>
            <w:hideMark/>
          </w:tcPr>
          <w:p w:rsidR="001F67EA" w:rsidRPr="0004769C" w:rsidP="001F67EA" w14:paraId="774EE1E3" w14:textId="4611C990">
            <w:pPr>
              <w:jc w:val="center"/>
              <w:rPr>
                <w:color w:val="000000"/>
                <w:sz w:val="20"/>
                <w:szCs w:val="20"/>
              </w:rPr>
            </w:pPr>
            <w:r>
              <w:rPr>
                <w:color w:val="000000"/>
                <w:sz w:val="20"/>
                <w:szCs w:val="20"/>
              </w:rPr>
              <w:t>730</w:t>
            </w:r>
          </w:p>
        </w:tc>
      </w:tr>
      <w:tr w14:paraId="42E74EAD" w14:textId="77777777" w:rsidTr="0004769C">
        <w:tblPrEx>
          <w:tblW w:w="8800" w:type="dxa"/>
          <w:tblLook w:val="04A0"/>
        </w:tblPrEx>
        <w:trPr>
          <w:trHeight w:val="525"/>
        </w:trPr>
        <w:tc>
          <w:tcPr>
            <w:tcW w:w="500" w:type="dxa"/>
            <w:vMerge/>
            <w:tcBorders>
              <w:top w:val="single" w:sz="4" w:space="0" w:color="auto"/>
              <w:left w:val="nil"/>
              <w:bottom w:val="nil"/>
              <w:right w:val="single" w:sz="4" w:space="0" w:color="auto"/>
            </w:tcBorders>
            <w:vAlign w:val="center"/>
            <w:hideMark/>
          </w:tcPr>
          <w:p w:rsidR="001F67EA" w:rsidRPr="0004769C" w:rsidP="001F67EA" w14:paraId="3D829302" w14:textId="77777777">
            <w:pPr>
              <w:rPr>
                <w:color w:val="000000"/>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rsidR="001F67EA" w:rsidRPr="0004769C" w:rsidP="001F67EA" w14:paraId="554E7E81" w14:textId="77777777">
            <w:pPr>
              <w:rPr>
                <w:color w:val="000000"/>
                <w:sz w:val="20"/>
                <w:szCs w:val="20"/>
              </w:rPr>
            </w:pPr>
            <w:r w:rsidRPr="0004769C">
              <w:rPr>
                <w:color w:val="000000"/>
                <w:sz w:val="20"/>
                <w:szCs w:val="20"/>
              </w:rPr>
              <w:t>Vispārējie ķirurģiskie pakalpojumi  dienas stacionārā</w:t>
            </w:r>
          </w:p>
        </w:tc>
        <w:tc>
          <w:tcPr>
            <w:tcW w:w="2620" w:type="dxa"/>
            <w:tcBorders>
              <w:top w:val="nil"/>
              <w:left w:val="nil"/>
              <w:bottom w:val="single" w:sz="4" w:space="0" w:color="auto"/>
              <w:right w:val="single" w:sz="4" w:space="0" w:color="auto"/>
            </w:tcBorders>
            <w:shd w:val="clear" w:color="auto" w:fill="auto"/>
            <w:noWrap/>
            <w:vAlign w:val="bottom"/>
            <w:hideMark/>
          </w:tcPr>
          <w:p w:rsidR="001F67EA" w:rsidRPr="0004769C" w:rsidP="001F67EA" w14:paraId="3F57FF58" w14:textId="2E169E6C">
            <w:pPr>
              <w:jc w:val="center"/>
              <w:rPr>
                <w:color w:val="000000"/>
                <w:sz w:val="20"/>
                <w:szCs w:val="20"/>
              </w:rPr>
            </w:pPr>
            <w:r>
              <w:rPr>
                <w:color w:val="000000"/>
                <w:sz w:val="20"/>
                <w:szCs w:val="20"/>
              </w:rPr>
              <w:t>590229.96</w:t>
            </w:r>
          </w:p>
        </w:tc>
        <w:tc>
          <w:tcPr>
            <w:tcW w:w="1960" w:type="dxa"/>
            <w:tcBorders>
              <w:top w:val="nil"/>
              <w:left w:val="nil"/>
              <w:bottom w:val="single" w:sz="4" w:space="0" w:color="auto"/>
              <w:right w:val="single" w:sz="4" w:space="0" w:color="auto"/>
            </w:tcBorders>
            <w:shd w:val="clear" w:color="auto" w:fill="auto"/>
            <w:noWrap/>
            <w:vAlign w:val="bottom"/>
            <w:hideMark/>
          </w:tcPr>
          <w:p w:rsidR="001F67EA" w:rsidRPr="0004769C" w:rsidP="001F67EA" w14:paraId="2DEB9CB3" w14:textId="04240E13">
            <w:pPr>
              <w:jc w:val="center"/>
              <w:rPr>
                <w:color w:val="000000"/>
                <w:sz w:val="20"/>
                <w:szCs w:val="20"/>
              </w:rPr>
            </w:pPr>
            <w:r>
              <w:rPr>
                <w:color w:val="000000"/>
                <w:sz w:val="20"/>
                <w:szCs w:val="20"/>
              </w:rPr>
              <w:t>2974</w:t>
            </w:r>
          </w:p>
        </w:tc>
      </w:tr>
      <w:tr w14:paraId="015CB742" w14:textId="77777777" w:rsidTr="0004769C">
        <w:tblPrEx>
          <w:tblW w:w="8800" w:type="dxa"/>
          <w:tblLook w:val="04A0"/>
        </w:tblPrEx>
        <w:trPr>
          <w:trHeight w:val="300"/>
        </w:trPr>
        <w:tc>
          <w:tcPr>
            <w:tcW w:w="500" w:type="dxa"/>
            <w:vMerge/>
            <w:tcBorders>
              <w:top w:val="single" w:sz="4" w:space="0" w:color="auto"/>
              <w:left w:val="nil"/>
              <w:bottom w:val="nil"/>
              <w:right w:val="single" w:sz="4" w:space="0" w:color="auto"/>
            </w:tcBorders>
            <w:vAlign w:val="center"/>
            <w:hideMark/>
          </w:tcPr>
          <w:p w:rsidR="001F67EA" w:rsidRPr="0004769C" w:rsidP="001F67EA" w14:paraId="3EC21FE9" w14:textId="77777777">
            <w:pPr>
              <w:rPr>
                <w:color w:val="000000"/>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rsidR="001F67EA" w:rsidRPr="0004769C" w:rsidP="001F67EA" w14:paraId="384EF80D" w14:textId="77777777">
            <w:pPr>
              <w:rPr>
                <w:color w:val="000000"/>
                <w:sz w:val="20"/>
                <w:szCs w:val="20"/>
              </w:rPr>
            </w:pPr>
            <w:r w:rsidRPr="0004769C">
              <w:rPr>
                <w:color w:val="000000"/>
                <w:sz w:val="20"/>
                <w:szCs w:val="20"/>
              </w:rPr>
              <w:t>Invazīvā</w:t>
            </w:r>
            <w:r w:rsidRPr="0004769C">
              <w:rPr>
                <w:color w:val="000000"/>
                <w:sz w:val="20"/>
                <w:szCs w:val="20"/>
              </w:rPr>
              <w:t xml:space="preserve"> kardioloģija dienas stacionārā</w:t>
            </w:r>
          </w:p>
        </w:tc>
        <w:tc>
          <w:tcPr>
            <w:tcW w:w="2620" w:type="dxa"/>
            <w:tcBorders>
              <w:top w:val="nil"/>
              <w:left w:val="nil"/>
              <w:bottom w:val="single" w:sz="4" w:space="0" w:color="auto"/>
              <w:right w:val="single" w:sz="4" w:space="0" w:color="auto"/>
            </w:tcBorders>
            <w:shd w:val="clear" w:color="auto" w:fill="auto"/>
            <w:noWrap/>
            <w:vAlign w:val="bottom"/>
            <w:hideMark/>
          </w:tcPr>
          <w:p w:rsidR="001F67EA" w:rsidRPr="0004769C" w:rsidP="001F67EA" w14:paraId="488ECC5C" w14:textId="10BDC2F0">
            <w:pPr>
              <w:jc w:val="center"/>
              <w:rPr>
                <w:color w:val="000000"/>
                <w:sz w:val="20"/>
                <w:szCs w:val="20"/>
              </w:rPr>
            </w:pPr>
            <w:r>
              <w:rPr>
                <w:color w:val="000000"/>
                <w:sz w:val="20"/>
                <w:szCs w:val="20"/>
              </w:rPr>
              <w:t>128420.38</w:t>
            </w:r>
          </w:p>
        </w:tc>
        <w:tc>
          <w:tcPr>
            <w:tcW w:w="1960" w:type="dxa"/>
            <w:tcBorders>
              <w:top w:val="nil"/>
              <w:left w:val="nil"/>
              <w:bottom w:val="single" w:sz="4" w:space="0" w:color="auto"/>
              <w:right w:val="single" w:sz="4" w:space="0" w:color="auto"/>
            </w:tcBorders>
            <w:shd w:val="clear" w:color="auto" w:fill="auto"/>
            <w:noWrap/>
            <w:vAlign w:val="bottom"/>
            <w:hideMark/>
          </w:tcPr>
          <w:p w:rsidR="001F67EA" w:rsidRPr="0004769C" w:rsidP="001F67EA" w14:paraId="2942C3C2" w14:textId="309D9B8D">
            <w:pPr>
              <w:jc w:val="center"/>
              <w:rPr>
                <w:color w:val="000000"/>
                <w:sz w:val="20"/>
                <w:szCs w:val="20"/>
              </w:rPr>
            </w:pPr>
            <w:r>
              <w:rPr>
                <w:color w:val="000000"/>
                <w:sz w:val="20"/>
                <w:szCs w:val="20"/>
              </w:rPr>
              <w:t>163</w:t>
            </w:r>
          </w:p>
        </w:tc>
      </w:tr>
      <w:tr w14:paraId="717F7853" w14:textId="77777777" w:rsidTr="0004769C">
        <w:tblPrEx>
          <w:tblW w:w="8800" w:type="dxa"/>
          <w:tblLook w:val="04A0"/>
        </w:tblPrEx>
        <w:trPr>
          <w:trHeight w:val="300"/>
        </w:trPr>
        <w:tc>
          <w:tcPr>
            <w:tcW w:w="500" w:type="dxa"/>
            <w:vMerge/>
            <w:tcBorders>
              <w:top w:val="single" w:sz="4" w:space="0" w:color="auto"/>
              <w:left w:val="nil"/>
              <w:bottom w:val="nil"/>
              <w:right w:val="single" w:sz="4" w:space="0" w:color="auto"/>
            </w:tcBorders>
            <w:vAlign w:val="center"/>
            <w:hideMark/>
          </w:tcPr>
          <w:p w:rsidR="001F67EA" w:rsidRPr="0004769C" w:rsidP="001F67EA" w14:paraId="5CEF00EB" w14:textId="77777777">
            <w:pPr>
              <w:rPr>
                <w:color w:val="000000"/>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rsidR="001F67EA" w:rsidRPr="0004769C" w:rsidP="001F67EA" w14:paraId="58031C13" w14:textId="77777777">
            <w:pPr>
              <w:jc w:val="right"/>
              <w:rPr>
                <w:b/>
                <w:color w:val="000000"/>
                <w:sz w:val="20"/>
                <w:szCs w:val="20"/>
              </w:rPr>
            </w:pPr>
            <w:r w:rsidRPr="0004769C">
              <w:rPr>
                <w:b/>
                <w:color w:val="000000"/>
                <w:sz w:val="20"/>
                <w:szCs w:val="20"/>
              </w:rPr>
              <w:t>Kopā:</w:t>
            </w:r>
          </w:p>
        </w:tc>
        <w:tc>
          <w:tcPr>
            <w:tcW w:w="2620" w:type="dxa"/>
            <w:tcBorders>
              <w:top w:val="nil"/>
              <w:left w:val="nil"/>
              <w:bottom w:val="single" w:sz="4" w:space="0" w:color="auto"/>
              <w:right w:val="single" w:sz="4" w:space="0" w:color="auto"/>
            </w:tcBorders>
            <w:shd w:val="clear" w:color="auto" w:fill="auto"/>
            <w:noWrap/>
            <w:vAlign w:val="bottom"/>
            <w:hideMark/>
          </w:tcPr>
          <w:p w:rsidR="001F67EA" w:rsidRPr="001F67EA" w:rsidP="001F67EA" w14:paraId="0A58EF01" w14:textId="2C7E2901">
            <w:pPr>
              <w:jc w:val="center"/>
              <w:rPr>
                <w:b/>
                <w:color w:val="000000"/>
                <w:sz w:val="20"/>
                <w:szCs w:val="20"/>
              </w:rPr>
            </w:pPr>
            <w:r w:rsidRPr="001F67EA">
              <w:rPr>
                <w:b/>
                <w:color w:val="000000"/>
                <w:sz w:val="20"/>
                <w:szCs w:val="20"/>
              </w:rPr>
              <w:t>5 177 349</w:t>
            </w:r>
          </w:p>
        </w:tc>
        <w:tc>
          <w:tcPr>
            <w:tcW w:w="1960" w:type="dxa"/>
            <w:tcBorders>
              <w:top w:val="nil"/>
              <w:left w:val="nil"/>
              <w:bottom w:val="single" w:sz="4" w:space="0" w:color="auto"/>
              <w:right w:val="single" w:sz="4" w:space="0" w:color="auto"/>
            </w:tcBorders>
            <w:shd w:val="clear" w:color="auto" w:fill="auto"/>
            <w:noWrap/>
            <w:vAlign w:val="bottom"/>
            <w:hideMark/>
          </w:tcPr>
          <w:p w:rsidR="001F67EA" w:rsidRPr="001F67EA" w:rsidP="001F67EA" w14:paraId="10D5B4A3" w14:textId="066E9596">
            <w:pPr>
              <w:jc w:val="center"/>
              <w:rPr>
                <w:b/>
                <w:color w:val="000000"/>
                <w:sz w:val="20"/>
                <w:szCs w:val="20"/>
              </w:rPr>
            </w:pPr>
            <w:r w:rsidRPr="001F67EA">
              <w:rPr>
                <w:b/>
                <w:color w:val="000000"/>
                <w:sz w:val="20"/>
                <w:szCs w:val="20"/>
              </w:rPr>
              <w:t>27 551</w:t>
            </w:r>
          </w:p>
        </w:tc>
      </w:tr>
    </w:tbl>
    <w:p w:rsidR="0002794C" w:rsidP="0002794C" w14:paraId="6C0A1282" w14:textId="77777777">
      <w:pPr>
        <w:autoSpaceDE w:val="0"/>
        <w:autoSpaceDN w:val="0"/>
        <w:adjustRightInd w:val="0"/>
        <w:spacing w:line="293" w:lineRule="atLeast"/>
        <w:jc w:val="both"/>
        <w:rPr>
          <w:i/>
          <w:sz w:val="20"/>
          <w:szCs w:val="20"/>
        </w:rPr>
      </w:pPr>
      <w:r w:rsidRPr="006E1FFA">
        <w:rPr>
          <w:i/>
          <w:sz w:val="20"/>
          <w:szCs w:val="20"/>
        </w:rPr>
        <w:t>Avots</w:t>
      </w:r>
      <w:r w:rsidRPr="008603A3">
        <w:rPr>
          <w:i/>
          <w:sz w:val="20"/>
          <w:szCs w:val="20"/>
        </w:rPr>
        <w:t>: NVD</w:t>
      </w:r>
    </w:p>
    <w:p w:rsidR="006069A1" w:rsidP="009B5CDC" w14:paraId="1CB8621E" w14:textId="55DC9F36">
      <w:pPr>
        <w:autoSpaceDE w:val="0"/>
        <w:autoSpaceDN w:val="0"/>
        <w:adjustRightInd w:val="0"/>
        <w:spacing w:line="293" w:lineRule="atLeast"/>
        <w:ind w:firstLine="720"/>
        <w:jc w:val="both"/>
      </w:pPr>
    </w:p>
    <w:p w:rsidR="002E35C4" w:rsidRPr="00212EB5" w:rsidP="009B5CDC" w14:paraId="0BD4C52B" w14:textId="4D7AB639">
      <w:pPr>
        <w:autoSpaceDE w:val="0"/>
        <w:autoSpaceDN w:val="0"/>
        <w:adjustRightInd w:val="0"/>
        <w:spacing w:line="293" w:lineRule="atLeast"/>
        <w:ind w:firstLine="720"/>
        <w:jc w:val="both"/>
      </w:pPr>
      <w:r>
        <w:t xml:space="preserve">Turpinot iesāktās intervences 2018.gadā samazināties rindas garums un pacienti, piemēram, oftalmoloģijas pakalpojumus dienas stacionārā saņems ātrāk, pacientiem godprātīgi iesaistoties savas veselības uzlabošanā un saglabāšanā, kā arī iesaistoties </w:t>
      </w:r>
      <w:r w:rsidR="00950A85">
        <w:t xml:space="preserve">un esot atsaucīgiem </w:t>
      </w:r>
      <w:r>
        <w:t>rindu mazināšanas pasākumu īstenošanā</w:t>
      </w:r>
      <w:r w:rsidR="00950A85">
        <w:t>, nepieciešamības gadījumā paziņojot, ja pakalpojums nav vairs nepieciešams, tādejādi dodot iespēju kādam citam saņemt nepieciešamo veselības aprūpes pakalpojumu</w:t>
      </w:r>
      <w:r>
        <w:t xml:space="preserve">. </w:t>
      </w:r>
    </w:p>
    <w:p w:rsidR="006069A1" w:rsidP="009C4BBD" w14:paraId="4528ED42" w14:textId="77777777">
      <w:pPr>
        <w:autoSpaceDE w:val="0"/>
        <w:autoSpaceDN w:val="0"/>
        <w:adjustRightInd w:val="0"/>
        <w:spacing w:line="293" w:lineRule="atLeast"/>
        <w:jc w:val="both"/>
        <w:rPr>
          <w:u w:val="single"/>
          <w:lang w:bidi="lo-LA"/>
        </w:rPr>
      </w:pPr>
    </w:p>
    <w:p w:rsidR="005C359C" w:rsidP="009C4BBD" w14:paraId="431D9A6E" w14:textId="77777777">
      <w:pPr>
        <w:autoSpaceDE w:val="0"/>
        <w:autoSpaceDN w:val="0"/>
        <w:adjustRightInd w:val="0"/>
        <w:spacing w:line="293" w:lineRule="atLeast"/>
        <w:jc w:val="both"/>
        <w:rPr>
          <w:u w:val="single"/>
          <w:lang w:bidi="lo-LA"/>
        </w:rPr>
      </w:pPr>
    </w:p>
    <w:p w:rsidR="005C359C" w:rsidP="009C4BBD" w14:paraId="4FD0D1A9" w14:textId="77777777">
      <w:pPr>
        <w:autoSpaceDE w:val="0"/>
        <w:autoSpaceDN w:val="0"/>
        <w:adjustRightInd w:val="0"/>
        <w:spacing w:line="293" w:lineRule="atLeast"/>
        <w:jc w:val="both"/>
        <w:rPr>
          <w:u w:val="single"/>
          <w:lang w:bidi="lo-LA"/>
        </w:rPr>
      </w:pPr>
    </w:p>
    <w:p w:rsidR="00212EB5" w:rsidP="009C4BBD" w14:paraId="191465DC" w14:textId="36AAC192">
      <w:pPr>
        <w:autoSpaceDE w:val="0"/>
        <w:autoSpaceDN w:val="0"/>
        <w:adjustRightInd w:val="0"/>
        <w:spacing w:line="293" w:lineRule="atLeast"/>
        <w:jc w:val="both"/>
        <w:rPr>
          <w:u w:val="single"/>
          <w:lang w:bidi="lo-LA"/>
        </w:rPr>
      </w:pPr>
      <w:r w:rsidRPr="006069A1">
        <w:rPr>
          <w:u w:val="single"/>
          <w:lang w:bidi="lo-LA"/>
        </w:rPr>
        <w:t>Ambulatorā rehabilitācija</w:t>
      </w:r>
    </w:p>
    <w:p w:rsidR="006069A1" w:rsidP="009C4BBD" w14:paraId="4B690C7B" w14:textId="04742C96">
      <w:pPr>
        <w:autoSpaceDE w:val="0"/>
        <w:autoSpaceDN w:val="0"/>
        <w:adjustRightInd w:val="0"/>
        <w:spacing w:line="293" w:lineRule="atLeast"/>
        <w:jc w:val="both"/>
        <w:rPr>
          <w:u w:val="single"/>
          <w:lang w:bidi="lo-LA"/>
        </w:rPr>
      </w:pPr>
    </w:p>
    <w:p w:rsidR="00574D96" w:rsidP="00574D96" w14:paraId="66CF288A" w14:textId="788477E9">
      <w:pPr>
        <w:pStyle w:val="NormalWeb"/>
        <w:shd w:val="clear" w:color="auto" w:fill="FFFFFF"/>
        <w:spacing w:before="0" w:beforeAutospacing="0" w:after="0" w:afterAutospacing="0" w:line="293" w:lineRule="atLeast"/>
        <w:ind w:firstLine="720"/>
        <w:jc w:val="both"/>
        <w:textAlignment w:val="baseline"/>
      </w:pPr>
      <w:r>
        <w:t>Ambulatorā rehabilitācija ir pakalpojumu kopums</w:t>
      </w:r>
      <w:r w:rsidR="00C72C7A">
        <w:t>, ko sniedz fizikālās un rehabili</w:t>
      </w:r>
      <w:r>
        <w:t xml:space="preserve">tācijas medicīnas ārsti, funkcionālie speciālisti konsultāciju, </w:t>
      </w:r>
      <w:r>
        <w:t>multiprofesionālu</w:t>
      </w:r>
      <w:r>
        <w:t xml:space="preserve"> vai </w:t>
      </w:r>
      <w:r>
        <w:t>monoprofesionālu</w:t>
      </w:r>
      <w:r>
        <w:t xml:space="preserve"> medic</w:t>
      </w:r>
      <w:r w:rsidR="00C72C7A">
        <w:t>īniskās rehabilitācijas pakalpo</w:t>
      </w:r>
      <w:r>
        <w:t xml:space="preserve">jumu veidā, piedaloties citām ārstniecības un ārstniecības atbalsta personām ambulatorā veidā. Ambulatorās rehabilitācijas mērķis ir nodrošināt personām ar noteiktiem funkcionāliem ierobežojumiem šo ierobežojumu mazināšanu vai novēršanu, kā arī komplikāciju riska novērtēšanu un mazināšanu. </w:t>
      </w:r>
    </w:p>
    <w:p w:rsidR="003A5035" w:rsidRPr="005C359C" w:rsidP="005C359C" w14:paraId="36789D0D" w14:textId="25EC1128">
      <w:pPr>
        <w:autoSpaceDE w:val="0"/>
        <w:autoSpaceDN w:val="0"/>
        <w:adjustRightInd w:val="0"/>
        <w:spacing w:line="293" w:lineRule="atLeast"/>
        <w:ind w:firstLine="720"/>
        <w:jc w:val="both"/>
        <w:rPr>
          <w:sz w:val="22"/>
          <w:szCs w:val="22"/>
        </w:rPr>
      </w:pPr>
      <w:r>
        <w:rPr>
          <w:sz w:val="22"/>
          <w:szCs w:val="22"/>
        </w:rPr>
        <w:t xml:space="preserve">Lai palielinātu pacientu pieejamību ambulatorajā rehabilitācijā 2017.gadā plānots pakalpojuma apjoma pieaugums par 70 tūkst. pakalpojumu. </w:t>
      </w:r>
    </w:p>
    <w:p w:rsidR="00574D96" w:rsidRPr="00F352AF" w:rsidP="00ED6116" w14:paraId="343E4D64" w14:textId="08C2DBD8">
      <w:pPr>
        <w:jc w:val="right"/>
        <w:rPr>
          <w:i/>
        </w:rPr>
      </w:pPr>
      <w:r>
        <w:rPr>
          <w:i/>
        </w:rPr>
        <w:t>1</w:t>
      </w:r>
      <w:r w:rsidR="0004769C">
        <w:rPr>
          <w:i/>
        </w:rPr>
        <w:t>3</w:t>
      </w:r>
      <w:r>
        <w:rPr>
          <w:i/>
        </w:rPr>
        <w:t xml:space="preserve">.tabula </w:t>
      </w:r>
    </w:p>
    <w:p w:rsidR="00574D96" w:rsidRPr="00084223" w:rsidP="00ED6116" w14:paraId="0A8F8F21" w14:textId="7765E023">
      <w:pPr>
        <w:jc w:val="center"/>
        <w:rPr>
          <w:color w:val="414142"/>
        </w:rPr>
      </w:pPr>
      <w:r>
        <w:rPr>
          <w:lang w:bidi="lo-LA"/>
        </w:rPr>
        <w:t>A</w:t>
      </w:r>
      <w:r w:rsidR="00AC1DFD">
        <w:rPr>
          <w:lang w:bidi="lo-LA"/>
        </w:rPr>
        <w:t>mbulator</w:t>
      </w:r>
      <w:r>
        <w:rPr>
          <w:lang w:bidi="lo-LA"/>
        </w:rPr>
        <w:t>ās</w:t>
      </w:r>
      <w:r w:rsidR="00AC1DFD">
        <w:rPr>
          <w:lang w:bidi="lo-LA"/>
        </w:rPr>
        <w:t xml:space="preserve"> rehabilitācij</w:t>
      </w:r>
      <w:r>
        <w:rPr>
          <w:lang w:bidi="lo-LA"/>
        </w:rPr>
        <w:t>as</w:t>
      </w:r>
      <w:r w:rsidR="00A33106">
        <w:rPr>
          <w:color w:val="414142"/>
        </w:rPr>
        <w:t xml:space="preserve"> </w:t>
      </w:r>
      <w:r>
        <w:rPr>
          <w:color w:val="414142"/>
        </w:rPr>
        <w:t xml:space="preserve">2017. </w:t>
      </w:r>
      <w:r w:rsidR="00AC1DFD">
        <w:rPr>
          <w:color w:val="414142"/>
        </w:rPr>
        <w:t>gada izpilde</w:t>
      </w:r>
    </w:p>
    <w:p w:rsidR="00574D96" w:rsidRPr="006069A1" w:rsidP="00ED6116" w14:paraId="45DE6503" w14:textId="77777777">
      <w:pPr>
        <w:autoSpaceDE w:val="0"/>
        <w:autoSpaceDN w:val="0"/>
        <w:adjustRightInd w:val="0"/>
        <w:jc w:val="both"/>
        <w:rPr>
          <w:lang w:bidi="lo-LA"/>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968"/>
        <w:gridCol w:w="1017"/>
        <w:gridCol w:w="850"/>
        <w:gridCol w:w="993"/>
        <w:gridCol w:w="992"/>
        <w:gridCol w:w="923"/>
        <w:gridCol w:w="897"/>
        <w:gridCol w:w="1015"/>
        <w:gridCol w:w="992"/>
        <w:gridCol w:w="992"/>
      </w:tblGrid>
      <w:tr w14:paraId="4AD7460C" w14:textId="1D1E6EE9" w:rsidTr="00EF6667">
        <w:tblPrEx>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
          <w:jc w:val="center"/>
        </w:trPr>
        <w:tc>
          <w:tcPr>
            <w:tcW w:w="1134" w:type="dxa"/>
            <w:vMerge w:val="restart"/>
            <w:shd w:val="clear" w:color="000000" w:fill="FCE4D6"/>
            <w:vAlign w:val="center"/>
            <w:hideMark/>
          </w:tcPr>
          <w:p w:rsidR="00EF6667" w:rsidRPr="00EF6667" w:rsidP="00C71BC0" w14:paraId="4F3C4481" w14:textId="77777777">
            <w:pPr>
              <w:jc w:val="center"/>
              <w:rPr>
                <w:color w:val="000000"/>
                <w:sz w:val="16"/>
                <w:szCs w:val="16"/>
              </w:rPr>
            </w:pPr>
            <w:r w:rsidRPr="00EF6667">
              <w:rPr>
                <w:color w:val="000000"/>
                <w:sz w:val="16"/>
                <w:szCs w:val="16"/>
              </w:rPr>
              <w:t>Ambulatorās rehabilitācijas pakalpojumi</w:t>
            </w:r>
          </w:p>
        </w:tc>
        <w:tc>
          <w:tcPr>
            <w:tcW w:w="968" w:type="dxa"/>
            <w:vMerge w:val="restart"/>
            <w:shd w:val="clear" w:color="000000" w:fill="FCE4D6"/>
            <w:vAlign w:val="center"/>
            <w:hideMark/>
          </w:tcPr>
          <w:p w:rsidR="00EF6667" w:rsidRPr="00EF6667" w:rsidP="00A33106" w14:paraId="561CED57" w14:textId="77777777">
            <w:pPr>
              <w:jc w:val="center"/>
              <w:rPr>
                <w:color w:val="000000"/>
                <w:sz w:val="16"/>
                <w:szCs w:val="16"/>
              </w:rPr>
            </w:pPr>
            <w:r w:rsidRPr="00EF6667">
              <w:rPr>
                <w:color w:val="000000"/>
                <w:sz w:val="16"/>
                <w:szCs w:val="16"/>
              </w:rPr>
              <w:t xml:space="preserve">Vidējais plānotais pakalpojumu skaits </w:t>
            </w:r>
          </w:p>
        </w:tc>
        <w:tc>
          <w:tcPr>
            <w:tcW w:w="1017" w:type="dxa"/>
            <w:vMerge w:val="restart"/>
            <w:shd w:val="clear" w:color="000000" w:fill="FCE4D6"/>
            <w:vAlign w:val="center"/>
          </w:tcPr>
          <w:p w:rsidR="00EF6667" w:rsidRPr="00EF6667" w14:paraId="444D381B" w14:textId="013019D8">
            <w:pPr>
              <w:jc w:val="center"/>
              <w:rPr>
                <w:color w:val="000000"/>
                <w:sz w:val="16"/>
                <w:szCs w:val="16"/>
              </w:rPr>
            </w:pPr>
            <w:r w:rsidRPr="00EF6667">
              <w:rPr>
                <w:color w:val="000000"/>
                <w:sz w:val="16"/>
                <w:szCs w:val="16"/>
              </w:rPr>
              <w:t>Faktiskais pakalpoju</w:t>
            </w:r>
            <w:r>
              <w:rPr>
                <w:color w:val="000000"/>
                <w:sz w:val="16"/>
                <w:szCs w:val="16"/>
              </w:rPr>
              <w:t>-</w:t>
            </w:r>
            <w:r w:rsidRPr="00EF6667">
              <w:rPr>
                <w:color w:val="000000"/>
                <w:sz w:val="16"/>
                <w:szCs w:val="16"/>
              </w:rPr>
              <w:t>mu</w:t>
            </w:r>
            <w:r w:rsidRPr="00EF6667">
              <w:rPr>
                <w:color w:val="000000"/>
                <w:sz w:val="16"/>
                <w:szCs w:val="16"/>
              </w:rPr>
              <w:t xml:space="preserve"> skaits 2017.gadā</w:t>
            </w:r>
          </w:p>
        </w:tc>
        <w:tc>
          <w:tcPr>
            <w:tcW w:w="850" w:type="dxa"/>
            <w:vMerge w:val="restart"/>
            <w:shd w:val="clear" w:color="000000" w:fill="FCE4D6"/>
            <w:vAlign w:val="center"/>
            <w:hideMark/>
          </w:tcPr>
          <w:p w:rsidR="00EF6667" w:rsidRPr="00EF6667" w:rsidP="00A33106" w14:paraId="2ECA12B3" w14:textId="76C16E1C">
            <w:pPr>
              <w:jc w:val="center"/>
              <w:rPr>
                <w:color w:val="000000"/>
                <w:sz w:val="16"/>
                <w:szCs w:val="16"/>
              </w:rPr>
            </w:pPr>
            <w:r w:rsidRPr="00EF6667">
              <w:rPr>
                <w:color w:val="000000"/>
                <w:sz w:val="16"/>
                <w:szCs w:val="16"/>
              </w:rPr>
              <w:t xml:space="preserve">Plānotais </w:t>
            </w:r>
            <w:r w:rsidRPr="00EF6667">
              <w:rPr>
                <w:color w:val="000000"/>
                <w:sz w:val="16"/>
                <w:szCs w:val="16"/>
              </w:rPr>
              <w:t>finansēj</w:t>
            </w:r>
            <w:r>
              <w:rPr>
                <w:color w:val="000000"/>
                <w:sz w:val="16"/>
                <w:szCs w:val="16"/>
              </w:rPr>
              <w:t>-</w:t>
            </w:r>
            <w:r w:rsidRPr="00EF6667">
              <w:rPr>
                <w:color w:val="000000"/>
                <w:sz w:val="16"/>
                <w:szCs w:val="16"/>
              </w:rPr>
              <w:t>ums</w:t>
            </w:r>
            <w:r w:rsidRPr="00EF6667">
              <w:rPr>
                <w:color w:val="000000"/>
                <w:sz w:val="16"/>
                <w:szCs w:val="16"/>
              </w:rPr>
              <w:t xml:space="preserve">  </w:t>
            </w:r>
            <w:r w:rsidRPr="00EF6667">
              <w:rPr>
                <w:i/>
                <w:iCs/>
                <w:color w:val="000000"/>
                <w:sz w:val="16"/>
                <w:szCs w:val="16"/>
              </w:rPr>
              <w:t>euro</w:t>
            </w:r>
          </w:p>
        </w:tc>
        <w:tc>
          <w:tcPr>
            <w:tcW w:w="993" w:type="dxa"/>
            <w:vMerge w:val="restart"/>
            <w:shd w:val="clear" w:color="000000" w:fill="FCE4D6"/>
            <w:vAlign w:val="center"/>
            <w:hideMark/>
          </w:tcPr>
          <w:p w:rsidR="00EF6667" w:rsidRPr="00EF6667" w:rsidP="00A33106" w14:paraId="193C2CAE" w14:textId="77777777">
            <w:pPr>
              <w:jc w:val="center"/>
              <w:rPr>
                <w:color w:val="000000"/>
                <w:sz w:val="16"/>
                <w:szCs w:val="16"/>
              </w:rPr>
            </w:pPr>
            <w:r w:rsidRPr="00EF6667">
              <w:rPr>
                <w:color w:val="000000"/>
                <w:sz w:val="16"/>
                <w:szCs w:val="16"/>
              </w:rPr>
              <w:t xml:space="preserve">Finanšu izlietojums 2017.gadā </w:t>
            </w:r>
            <w:r w:rsidRPr="00EF6667">
              <w:rPr>
                <w:i/>
                <w:iCs/>
                <w:color w:val="000000"/>
                <w:sz w:val="16"/>
                <w:szCs w:val="16"/>
              </w:rPr>
              <w:t>euro</w:t>
            </w:r>
          </w:p>
        </w:tc>
        <w:tc>
          <w:tcPr>
            <w:tcW w:w="2812" w:type="dxa"/>
            <w:gridSpan w:val="3"/>
            <w:shd w:val="clear" w:color="000000" w:fill="FCE4D6"/>
            <w:vAlign w:val="center"/>
            <w:hideMark/>
          </w:tcPr>
          <w:p w:rsidR="00EF6667" w:rsidRPr="00EF6667" w:rsidP="00A33106" w14:paraId="348AC5E9" w14:textId="77777777">
            <w:pPr>
              <w:jc w:val="center"/>
              <w:rPr>
                <w:color w:val="000000"/>
                <w:sz w:val="16"/>
                <w:szCs w:val="16"/>
              </w:rPr>
            </w:pPr>
            <w:r w:rsidRPr="00EF6667">
              <w:rPr>
                <w:color w:val="000000"/>
                <w:sz w:val="16"/>
                <w:szCs w:val="16"/>
              </w:rPr>
              <w:t>Vidējais rindu garums dienās</w:t>
            </w:r>
          </w:p>
        </w:tc>
        <w:tc>
          <w:tcPr>
            <w:tcW w:w="1015" w:type="dxa"/>
            <w:vMerge w:val="restart"/>
            <w:shd w:val="clear" w:color="000000" w:fill="FCE4D6"/>
            <w:vAlign w:val="center"/>
          </w:tcPr>
          <w:p w:rsidR="00EF6667" w:rsidRPr="00EF6667" w:rsidP="00A33106" w14:paraId="5E56528C" w14:textId="5470BFA0">
            <w:pPr>
              <w:jc w:val="center"/>
              <w:rPr>
                <w:color w:val="000000"/>
                <w:sz w:val="16"/>
                <w:szCs w:val="16"/>
              </w:rPr>
            </w:pPr>
            <w:r w:rsidRPr="00EF6667">
              <w:rPr>
                <w:color w:val="000000"/>
                <w:sz w:val="16"/>
                <w:szCs w:val="16"/>
              </w:rPr>
              <w:t xml:space="preserve">Rindu </w:t>
            </w:r>
            <w:r w:rsidRPr="00EF6667">
              <w:rPr>
                <w:color w:val="000000"/>
                <w:sz w:val="16"/>
                <w:szCs w:val="16"/>
              </w:rPr>
              <w:t>samazinā</w:t>
            </w:r>
            <w:r>
              <w:rPr>
                <w:color w:val="000000"/>
                <w:sz w:val="16"/>
                <w:szCs w:val="16"/>
              </w:rPr>
              <w:t>-</w:t>
            </w:r>
            <w:r w:rsidRPr="00EF6667">
              <w:rPr>
                <w:color w:val="000000"/>
                <w:sz w:val="16"/>
                <w:szCs w:val="16"/>
              </w:rPr>
              <w:t>jums 2017.gadā %</w:t>
            </w:r>
          </w:p>
        </w:tc>
        <w:tc>
          <w:tcPr>
            <w:tcW w:w="992" w:type="dxa"/>
            <w:vMerge w:val="restart"/>
            <w:shd w:val="clear" w:color="000000" w:fill="FCE4D6"/>
            <w:vAlign w:val="center"/>
          </w:tcPr>
          <w:p w:rsidR="00EF6667" w:rsidRPr="00EF6667" w:rsidP="00A33106" w14:paraId="72E4D9AB" w14:textId="593B9880">
            <w:pPr>
              <w:jc w:val="center"/>
              <w:rPr>
                <w:color w:val="000000"/>
                <w:sz w:val="16"/>
                <w:szCs w:val="16"/>
              </w:rPr>
            </w:pPr>
            <w:r w:rsidRPr="00EF6667">
              <w:rPr>
                <w:color w:val="000000"/>
                <w:sz w:val="16"/>
                <w:szCs w:val="16"/>
              </w:rPr>
              <w:t>Rindas garums  ar pacientu uzvedības maiņu 2017.gadā</w:t>
            </w:r>
          </w:p>
        </w:tc>
        <w:tc>
          <w:tcPr>
            <w:tcW w:w="992" w:type="dxa"/>
            <w:vMerge w:val="restart"/>
            <w:shd w:val="clear" w:color="000000" w:fill="FCE4D6"/>
            <w:vAlign w:val="center"/>
          </w:tcPr>
          <w:p w:rsidR="00EF6667" w:rsidRPr="00EF6667" w:rsidP="00A33106" w14:paraId="3391B16B" w14:textId="7D7310D8">
            <w:pPr>
              <w:jc w:val="center"/>
              <w:rPr>
                <w:color w:val="000000"/>
                <w:sz w:val="16"/>
                <w:szCs w:val="16"/>
              </w:rPr>
            </w:pPr>
            <w:r w:rsidRPr="00EF6667">
              <w:rPr>
                <w:color w:val="000000"/>
                <w:sz w:val="16"/>
                <w:szCs w:val="16"/>
              </w:rPr>
              <w:t>Rindu samazināju</w:t>
            </w:r>
            <w:r>
              <w:rPr>
                <w:color w:val="000000"/>
                <w:sz w:val="16"/>
                <w:szCs w:val="16"/>
              </w:rPr>
              <w:t>-</w:t>
            </w:r>
            <w:r w:rsidRPr="00EF6667">
              <w:rPr>
                <w:color w:val="000000"/>
                <w:sz w:val="16"/>
                <w:szCs w:val="16"/>
              </w:rPr>
              <w:t>ms ar pacientu uzvedības maiņu 2017.gadā</w:t>
            </w:r>
          </w:p>
        </w:tc>
      </w:tr>
      <w:tr w14:paraId="50F33D0E" w14:textId="7750285D" w:rsidTr="00EF6667">
        <w:tblPrEx>
          <w:tblW w:w="10773" w:type="dxa"/>
          <w:jc w:val="center"/>
          <w:tblLayout w:type="fixed"/>
          <w:tblLook w:val="04A0"/>
        </w:tblPrEx>
        <w:trPr>
          <w:trHeight w:val="1163"/>
          <w:jc w:val="center"/>
        </w:trPr>
        <w:tc>
          <w:tcPr>
            <w:tcW w:w="1134" w:type="dxa"/>
            <w:vMerge/>
            <w:vAlign w:val="center"/>
            <w:hideMark/>
          </w:tcPr>
          <w:p w:rsidR="00EF6667" w:rsidRPr="00EF6667" w:rsidP="00A97499" w14:paraId="3FA7225C" w14:textId="77777777">
            <w:pPr>
              <w:jc w:val="center"/>
              <w:rPr>
                <w:color w:val="000000"/>
                <w:sz w:val="16"/>
                <w:szCs w:val="16"/>
              </w:rPr>
            </w:pPr>
          </w:p>
        </w:tc>
        <w:tc>
          <w:tcPr>
            <w:tcW w:w="968" w:type="dxa"/>
            <w:vMerge/>
            <w:vAlign w:val="center"/>
            <w:hideMark/>
          </w:tcPr>
          <w:p w:rsidR="00EF6667" w:rsidRPr="00EF6667" w:rsidP="00A33106" w14:paraId="09DE01C3" w14:textId="77777777">
            <w:pPr>
              <w:rPr>
                <w:color w:val="000000"/>
                <w:sz w:val="16"/>
                <w:szCs w:val="16"/>
              </w:rPr>
            </w:pPr>
          </w:p>
        </w:tc>
        <w:tc>
          <w:tcPr>
            <w:tcW w:w="1017" w:type="dxa"/>
            <w:vMerge/>
          </w:tcPr>
          <w:p w:rsidR="00EF6667" w:rsidRPr="00EF6667" w:rsidP="00A33106" w14:paraId="5E94DF7C" w14:textId="77777777">
            <w:pPr>
              <w:rPr>
                <w:color w:val="000000"/>
                <w:sz w:val="16"/>
                <w:szCs w:val="16"/>
              </w:rPr>
            </w:pPr>
          </w:p>
        </w:tc>
        <w:tc>
          <w:tcPr>
            <w:tcW w:w="850" w:type="dxa"/>
            <w:vMerge/>
            <w:vAlign w:val="center"/>
            <w:hideMark/>
          </w:tcPr>
          <w:p w:rsidR="00EF6667" w:rsidRPr="00EF6667" w:rsidP="00A33106" w14:paraId="24F63D41" w14:textId="7E74B6C7">
            <w:pPr>
              <w:rPr>
                <w:color w:val="000000"/>
                <w:sz w:val="16"/>
                <w:szCs w:val="16"/>
              </w:rPr>
            </w:pPr>
          </w:p>
        </w:tc>
        <w:tc>
          <w:tcPr>
            <w:tcW w:w="993" w:type="dxa"/>
            <w:vMerge/>
            <w:vAlign w:val="center"/>
            <w:hideMark/>
          </w:tcPr>
          <w:p w:rsidR="00EF6667" w:rsidRPr="00EF6667" w:rsidP="00A33106" w14:paraId="1598AEEC" w14:textId="77777777">
            <w:pPr>
              <w:rPr>
                <w:color w:val="000000"/>
                <w:sz w:val="16"/>
                <w:szCs w:val="16"/>
              </w:rPr>
            </w:pPr>
          </w:p>
        </w:tc>
        <w:tc>
          <w:tcPr>
            <w:tcW w:w="992" w:type="dxa"/>
            <w:shd w:val="clear" w:color="000000" w:fill="FCE4D6"/>
            <w:vAlign w:val="center"/>
            <w:hideMark/>
          </w:tcPr>
          <w:p w:rsidR="00EF6667" w:rsidRPr="00EF6667" w:rsidP="00A33106" w14:paraId="1D7B5214" w14:textId="240C1456">
            <w:pPr>
              <w:jc w:val="center"/>
              <w:rPr>
                <w:color w:val="000000"/>
                <w:sz w:val="16"/>
                <w:szCs w:val="16"/>
              </w:rPr>
            </w:pPr>
            <w:r w:rsidRPr="00EF6667">
              <w:rPr>
                <w:color w:val="000000"/>
                <w:sz w:val="16"/>
                <w:szCs w:val="16"/>
              </w:rPr>
              <w:t>Pirms reformu īstenošanas</w:t>
            </w:r>
          </w:p>
        </w:tc>
        <w:tc>
          <w:tcPr>
            <w:tcW w:w="923" w:type="dxa"/>
            <w:shd w:val="clear" w:color="000000" w:fill="FCE4D6"/>
            <w:vAlign w:val="center"/>
            <w:hideMark/>
          </w:tcPr>
          <w:p w:rsidR="00EF6667" w:rsidRPr="00EF6667" w:rsidP="00A33106" w14:paraId="1F08818A" w14:textId="77777777">
            <w:pPr>
              <w:jc w:val="center"/>
              <w:rPr>
                <w:color w:val="000000"/>
                <w:sz w:val="16"/>
                <w:szCs w:val="16"/>
              </w:rPr>
            </w:pPr>
            <w:r w:rsidRPr="00EF6667">
              <w:rPr>
                <w:color w:val="000000"/>
                <w:sz w:val="16"/>
                <w:szCs w:val="16"/>
              </w:rPr>
              <w:t>Uz 2018.gada 1.janvāri</w:t>
            </w:r>
          </w:p>
        </w:tc>
        <w:tc>
          <w:tcPr>
            <w:tcW w:w="897" w:type="dxa"/>
            <w:shd w:val="clear" w:color="000000" w:fill="FCE4D6"/>
            <w:vAlign w:val="center"/>
            <w:hideMark/>
          </w:tcPr>
          <w:p w:rsidR="00EF6667" w:rsidRPr="00EF6667" w:rsidP="00A33106" w14:paraId="245E4E6C" w14:textId="48DB309E">
            <w:pPr>
              <w:jc w:val="center"/>
              <w:rPr>
                <w:color w:val="000000"/>
                <w:sz w:val="16"/>
                <w:szCs w:val="16"/>
              </w:rPr>
            </w:pPr>
            <w:r w:rsidRPr="00EF6667">
              <w:rPr>
                <w:color w:val="000000"/>
                <w:sz w:val="16"/>
                <w:szCs w:val="16"/>
              </w:rPr>
              <w:t xml:space="preserve">Rindu </w:t>
            </w:r>
            <w:r w:rsidRPr="00EF6667">
              <w:rPr>
                <w:color w:val="000000"/>
                <w:sz w:val="16"/>
                <w:szCs w:val="16"/>
              </w:rPr>
              <w:t>samazi</w:t>
            </w:r>
            <w:r>
              <w:rPr>
                <w:color w:val="000000"/>
                <w:sz w:val="16"/>
                <w:szCs w:val="16"/>
              </w:rPr>
              <w:t>-nā</w:t>
            </w:r>
            <w:r w:rsidRPr="00EF6667">
              <w:rPr>
                <w:color w:val="000000"/>
                <w:sz w:val="16"/>
                <w:szCs w:val="16"/>
              </w:rPr>
              <w:t>jums</w:t>
            </w:r>
            <w:r w:rsidRPr="00EF6667">
              <w:rPr>
                <w:color w:val="000000"/>
                <w:sz w:val="16"/>
                <w:szCs w:val="16"/>
              </w:rPr>
              <w:t xml:space="preserve"> 2017.gadā</w:t>
            </w:r>
          </w:p>
        </w:tc>
        <w:tc>
          <w:tcPr>
            <w:tcW w:w="1015" w:type="dxa"/>
            <w:vMerge/>
            <w:shd w:val="clear" w:color="000000" w:fill="FCE4D6"/>
          </w:tcPr>
          <w:p w:rsidR="00EF6667" w:rsidRPr="00EF6667" w:rsidP="00A33106" w14:paraId="75CCCF9C" w14:textId="4D726EA4">
            <w:pPr>
              <w:jc w:val="center"/>
              <w:rPr>
                <w:color w:val="000000"/>
                <w:sz w:val="16"/>
                <w:szCs w:val="16"/>
              </w:rPr>
            </w:pPr>
          </w:p>
        </w:tc>
        <w:tc>
          <w:tcPr>
            <w:tcW w:w="992" w:type="dxa"/>
            <w:vMerge/>
            <w:shd w:val="clear" w:color="000000" w:fill="FCE4D6"/>
          </w:tcPr>
          <w:p w:rsidR="00EF6667" w:rsidRPr="00EF6667" w:rsidP="00A33106" w14:paraId="4324011E" w14:textId="30A99BDA">
            <w:pPr>
              <w:jc w:val="center"/>
              <w:rPr>
                <w:color w:val="000000"/>
                <w:sz w:val="16"/>
                <w:szCs w:val="16"/>
              </w:rPr>
            </w:pPr>
          </w:p>
        </w:tc>
        <w:tc>
          <w:tcPr>
            <w:tcW w:w="992" w:type="dxa"/>
            <w:vMerge/>
            <w:shd w:val="clear" w:color="000000" w:fill="FCE4D6"/>
            <w:vAlign w:val="center"/>
          </w:tcPr>
          <w:p w:rsidR="00EF6667" w:rsidRPr="00EF6667" w:rsidP="00A33106" w14:paraId="59297776" w14:textId="219EB651">
            <w:pPr>
              <w:jc w:val="center"/>
              <w:rPr>
                <w:color w:val="000000"/>
                <w:sz w:val="16"/>
                <w:szCs w:val="16"/>
              </w:rPr>
            </w:pPr>
          </w:p>
        </w:tc>
      </w:tr>
      <w:tr w14:paraId="58795F5C" w14:textId="26D8D77D" w:rsidTr="00EF6667">
        <w:tblPrEx>
          <w:tblW w:w="10773" w:type="dxa"/>
          <w:jc w:val="center"/>
          <w:tblLayout w:type="fixed"/>
          <w:tblLook w:val="04A0"/>
        </w:tblPrEx>
        <w:trPr>
          <w:trHeight w:val="61"/>
          <w:jc w:val="center"/>
        </w:trPr>
        <w:tc>
          <w:tcPr>
            <w:tcW w:w="1134" w:type="dxa"/>
            <w:shd w:val="clear" w:color="000000" w:fill="92D050"/>
            <w:noWrap/>
            <w:vAlign w:val="bottom"/>
            <w:hideMark/>
          </w:tcPr>
          <w:p w:rsidR="00EF6667" w:rsidRPr="00EF6667" w:rsidP="00C71BC0" w14:paraId="1E7A284A" w14:textId="77777777">
            <w:pPr>
              <w:jc w:val="center"/>
              <w:rPr>
                <w:color w:val="000000"/>
                <w:sz w:val="16"/>
                <w:szCs w:val="16"/>
              </w:rPr>
            </w:pPr>
            <w:r w:rsidRPr="00EF6667">
              <w:rPr>
                <w:color w:val="000000"/>
                <w:sz w:val="16"/>
                <w:szCs w:val="16"/>
              </w:rPr>
              <w:t>252 ārstniecības iestādes</w:t>
            </w:r>
          </w:p>
        </w:tc>
        <w:tc>
          <w:tcPr>
            <w:tcW w:w="968" w:type="dxa"/>
            <w:shd w:val="clear" w:color="000000" w:fill="92D050"/>
            <w:noWrap/>
            <w:vAlign w:val="center"/>
            <w:hideMark/>
          </w:tcPr>
          <w:p w:rsidR="00EF6667" w:rsidRPr="00EF6667" w:rsidP="00A33106" w14:paraId="4F686F6E" w14:textId="58ED0246">
            <w:pPr>
              <w:jc w:val="center"/>
              <w:rPr>
                <w:sz w:val="16"/>
                <w:szCs w:val="16"/>
              </w:rPr>
            </w:pPr>
            <w:r w:rsidRPr="00EF6667">
              <w:rPr>
                <w:sz w:val="16"/>
                <w:szCs w:val="16"/>
              </w:rPr>
              <w:t>70 028</w:t>
            </w:r>
          </w:p>
        </w:tc>
        <w:tc>
          <w:tcPr>
            <w:tcW w:w="1017" w:type="dxa"/>
            <w:shd w:val="clear" w:color="000000" w:fill="92D050"/>
            <w:vAlign w:val="center"/>
          </w:tcPr>
          <w:p w:rsidR="00EF6667" w:rsidRPr="00EF6667" w:rsidP="00C71BC0" w14:paraId="2FA43E69" w14:textId="244E5819">
            <w:pPr>
              <w:jc w:val="center"/>
              <w:rPr>
                <w:color w:val="000000"/>
                <w:sz w:val="16"/>
                <w:szCs w:val="16"/>
              </w:rPr>
            </w:pPr>
            <w:r w:rsidRPr="00EF6667">
              <w:rPr>
                <w:color w:val="000000"/>
                <w:sz w:val="16"/>
                <w:szCs w:val="16"/>
              </w:rPr>
              <w:t>58 356</w:t>
            </w:r>
          </w:p>
        </w:tc>
        <w:tc>
          <w:tcPr>
            <w:tcW w:w="850" w:type="dxa"/>
            <w:shd w:val="clear" w:color="000000" w:fill="92D050"/>
            <w:noWrap/>
            <w:vAlign w:val="center"/>
            <w:hideMark/>
          </w:tcPr>
          <w:p w:rsidR="00EF6667" w:rsidRPr="00EF6667" w:rsidP="00A33106" w14:paraId="7487B2EA" w14:textId="104E872B">
            <w:pPr>
              <w:jc w:val="center"/>
              <w:rPr>
                <w:color w:val="000000"/>
                <w:sz w:val="16"/>
                <w:szCs w:val="16"/>
              </w:rPr>
            </w:pPr>
            <w:r w:rsidRPr="00EF6667">
              <w:rPr>
                <w:color w:val="000000"/>
                <w:sz w:val="16"/>
                <w:szCs w:val="16"/>
              </w:rPr>
              <w:t>508 470</w:t>
            </w:r>
          </w:p>
        </w:tc>
        <w:tc>
          <w:tcPr>
            <w:tcW w:w="993" w:type="dxa"/>
            <w:shd w:val="clear" w:color="000000" w:fill="92D050"/>
            <w:noWrap/>
            <w:vAlign w:val="center"/>
            <w:hideMark/>
          </w:tcPr>
          <w:p w:rsidR="00EF6667" w:rsidRPr="00EF6667" w:rsidP="00A33106" w14:paraId="14E7A0B0" w14:textId="1D3D81E3">
            <w:pPr>
              <w:jc w:val="center"/>
              <w:rPr>
                <w:color w:val="000000"/>
                <w:sz w:val="16"/>
                <w:szCs w:val="16"/>
              </w:rPr>
            </w:pPr>
            <w:r w:rsidRPr="00EF6667">
              <w:rPr>
                <w:b/>
                <w:color w:val="000000"/>
                <w:sz w:val="16"/>
                <w:szCs w:val="16"/>
              </w:rPr>
              <w:t>541 225</w:t>
            </w:r>
          </w:p>
        </w:tc>
        <w:tc>
          <w:tcPr>
            <w:tcW w:w="992" w:type="dxa"/>
            <w:shd w:val="clear" w:color="000000" w:fill="92D050"/>
            <w:vAlign w:val="center"/>
            <w:hideMark/>
          </w:tcPr>
          <w:p w:rsidR="00EF6667" w:rsidRPr="00EF6667" w:rsidP="00A33106" w14:paraId="150C4626" w14:textId="77777777">
            <w:pPr>
              <w:jc w:val="center"/>
              <w:rPr>
                <w:color w:val="000000"/>
                <w:sz w:val="16"/>
                <w:szCs w:val="16"/>
              </w:rPr>
            </w:pPr>
            <w:r w:rsidRPr="00EF6667">
              <w:rPr>
                <w:color w:val="000000"/>
                <w:sz w:val="16"/>
                <w:szCs w:val="16"/>
              </w:rPr>
              <w:t>500,20</w:t>
            </w:r>
          </w:p>
        </w:tc>
        <w:tc>
          <w:tcPr>
            <w:tcW w:w="923" w:type="dxa"/>
            <w:shd w:val="clear" w:color="000000" w:fill="92D050"/>
            <w:vAlign w:val="center"/>
            <w:hideMark/>
          </w:tcPr>
          <w:p w:rsidR="00EF6667" w:rsidRPr="00EF6667" w:rsidP="00A33106" w14:paraId="12EBDADA" w14:textId="77777777">
            <w:pPr>
              <w:jc w:val="center"/>
              <w:rPr>
                <w:color w:val="000000"/>
                <w:sz w:val="16"/>
                <w:szCs w:val="16"/>
              </w:rPr>
            </w:pPr>
            <w:r w:rsidRPr="00EF6667">
              <w:rPr>
                <w:color w:val="000000"/>
                <w:sz w:val="16"/>
                <w:szCs w:val="16"/>
              </w:rPr>
              <w:t>471,80</w:t>
            </w:r>
          </w:p>
        </w:tc>
        <w:tc>
          <w:tcPr>
            <w:tcW w:w="897" w:type="dxa"/>
            <w:shd w:val="clear" w:color="000000" w:fill="92D050"/>
            <w:vAlign w:val="center"/>
            <w:hideMark/>
          </w:tcPr>
          <w:p w:rsidR="00EF6667" w:rsidRPr="00EF6667" w:rsidP="00A33106" w14:paraId="7D3795C3" w14:textId="77777777">
            <w:pPr>
              <w:jc w:val="center"/>
              <w:rPr>
                <w:color w:val="000000"/>
                <w:sz w:val="16"/>
                <w:szCs w:val="16"/>
              </w:rPr>
            </w:pPr>
            <w:r w:rsidRPr="00EF6667">
              <w:rPr>
                <w:color w:val="000000"/>
                <w:sz w:val="16"/>
                <w:szCs w:val="16"/>
              </w:rPr>
              <w:t>28,40</w:t>
            </w:r>
          </w:p>
        </w:tc>
        <w:tc>
          <w:tcPr>
            <w:tcW w:w="1015" w:type="dxa"/>
            <w:shd w:val="clear" w:color="000000" w:fill="92D050"/>
            <w:vAlign w:val="center"/>
          </w:tcPr>
          <w:p w:rsidR="00EF6667" w:rsidRPr="00EF6667" w:rsidP="00B051FF" w14:paraId="01AE4578" w14:textId="7A074CC3">
            <w:pPr>
              <w:jc w:val="center"/>
              <w:rPr>
                <w:color w:val="000000"/>
                <w:sz w:val="16"/>
                <w:szCs w:val="16"/>
              </w:rPr>
            </w:pPr>
            <w:r w:rsidRPr="00EF6667">
              <w:rPr>
                <w:color w:val="000000"/>
                <w:sz w:val="16"/>
                <w:szCs w:val="16"/>
              </w:rPr>
              <w:t>5,68</w:t>
            </w:r>
          </w:p>
        </w:tc>
        <w:tc>
          <w:tcPr>
            <w:tcW w:w="992" w:type="dxa"/>
            <w:shd w:val="clear" w:color="000000" w:fill="92D050"/>
            <w:vAlign w:val="center"/>
          </w:tcPr>
          <w:p w:rsidR="00EF6667" w:rsidRPr="00EF6667" w:rsidP="00B051FF" w14:paraId="0BDEA3FC" w14:textId="4D459692">
            <w:pPr>
              <w:jc w:val="center"/>
              <w:rPr>
                <w:color w:val="000000"/>
                <w:sz w:val="16"/>
                <w:szCs w:val="16"/>
              </w:rPr>
            </w:pPr>
            <w:r w:rsidRPr="00EF6667">
              <w:rPr>
                <w:color w:val="000000"/>
                <w:sz w:val="16"/>
                <w:szCs w:val="16"/>
              </w:rPr>
              <w:t>406,16</w:t>
            </w:r>
          </w:p>
        </w:tc>
        <w:tc>
          <w:tcPr>
            <w:tcW w:w="992" w:type="dxa"/>
            <w:shd w:val="clear" w:color="000000" w:fill="92D050"/>
            <w:vAlign w:val="center"/>
          </w:tcPr>
          <w:p w:rsidR="00EF6667" w:rsidRPr="00EF6667" w:rsidP="00A33106" w14:paraId="67CFA648" w14:textId="7FCB99AC">
            <w:pPr>
              <w:jc w:val="center"/>
              <w:rPr>
                <w:color w:val="000000"/>
                <w:sz w:val="16"/>
                <w:szCs w:val="16"/>
              </w:rPr>
            </w:pPr>
            <w:r w:rsidRPr="00EF6667">
              <w:rPr>
                <w:color w:val="000000"/>
                <w:sz w:val="16"/>
                <w:szCs w:val="16"/>
              </w:rPr>
              <w:t>94,04</w:t>
            </w:r>
          </w:p>
        </w:tc>
      </w:tr>
    </w:tbl>
    <w:p w:rsidR="00212EB5" w:rsidRPr="00A97499" w:rsidP="009C4BBD" w14:paraId="55092BC5" w14:textId="2AC780D8">
      <w:pPr>
        <w:autoSpaceDE w:val="0"/>
        <w:autoSpaceDN w:val="0"/>
        <w:adjustRightInd w:val="0"/>
        <w:spacing w:line="293" w:lineRule="atLeast"/>
        <w:jc w:val="both"/>
        <w:rPr>
          <w:sz w:val="22"/>
          <w:szCs w:val="22"/>
          <w:u w:val="single"/>
          <w:lang w:bidi="lo-LA"/>
        </w:rPr>
      </w:pPr>
    </w:p>
    <w:p w:rsidR="00610EA2" w:rsidP="00A97499" w14:paraId="0F40DF40" w14:textId="26203F63">
      <w:pPr>
        <w:autoSpaceDE w:val="0"/>
        <w:autoSpaceDN w:val="0"/>
        <w:adjustRightInd w:val="0"/>
        <w:spacing w:line="293" w:lineRule="atLeast"/>
        <w:ind w:firstLine="720"/>
        <w:jc w:val="both"/>
      </w:pPr>
      <w:r w:rsidRPr="00212EB5">
        <w:t xml:space="preserve">Atbilstoši 2017.gada gada faktiskajai izpildei </w:t>
      </w:r>
      <w:r>
        <w:rPr>
          <w:lang w:bidi="lo-LA"/>
        </w:rPr>
        <w:t xml:space="preserve">ambulatorās rehabilitācijas </w:t>
      </w:r>
      <w:r w:rsidRPr="00212EB5">
        <w:rPr>
          <w:lang w:bidi="lo-LA"/>
        </w:rPr>
        <w:t xml:space="preserve"> </w:t>
      </w:r>
      <w:r w:rsidRPr="00212EB5">
        <w:t xml:space="preserve">pieaugums īstenots </w:t>
      </w:r>
      <w:r w:rsidR="002500D3">
        <w:t>83,33</w:t>
      </w:r>
      <w:r w:rsidRPr="00212EB5">
        <w:t xml:space="preserve"> % apmērā no gada plānotā pieauguma apjoma</w:t>
      </w:r>
      <w:r>
        <w:t xml:space="preserve"> rehabilitācijā</w:t>
      </w:r>
      <w:r w:rsidRPr="00212EB5">
        <w:t xml:space="preserve">. Līdz ar minēto secināms, ka laika periodā no š.g. marta līdz </w:t>
      </w:r>
      <w:r w:rsidR="006D20B6">
        <w:t xml:space="preserve">decembrim </w:t>
      </w:r>
      <w:r w:rsidRPr="00212EB5">
        <w:t>rindu samazinājums nodrošināts ārstniecības iestāžu iespēju</w:t>
      </w:r>
      <w:r w:rsidR="001F6C62">
        <w:t xml:space="preserve"> un pieejamā finansējuma</w:t>
      </w:r>
      <w:r w:rsidRPr="00212EB5">
        <w:t xml:space="preserve"> robežās, vidēji samazinot rindu garumu uz </w:t>
      </w:r>
      <w:r w:rsidR="001F6C62">
        <w:t>rehabilitācijas</w:t>
      </w:r>
      <w:r w:rsidRPr="00212EB5">
        <w:t xml:space="preserve"> </w:t>
      </w:r>
      <w:r w:rsidRPr="004A415A">
        <w:t xml:space="preserve">pakalpojumiem par </w:t>
      </w:r>
      <w:r w:rsidR="005E1261">
        <w:t>5,68</w:t>
      </w:r>
      <w:r w:rsidRPr="004A415A">
        <w:t xml:space="preserve"> %</w:t>
      </w:r>
      <w:r w:rsidR="005A2BDC">
        <w:t xml:space="preserve">. </w:t>
      </w:r>
      <w:r w:rsidRPr="003855C9">
        <w:t>Papildus atzīmējam, ka ne visas ārstniecības iestādes nodrošina ambulator</w:t>
      </w:r>
      <w:r w:rsidRPr="006B453F">
        <w:t xml:space="preserve">o rehabilitāciju, kā rezultātā rindu samazinājums par 6 % vidēji ir būtisks, piemēram, </w:t>
      </w:r>
      <w:r w:rsidRPr="005C3B86" w:rsidR="00117CC6">
        <w:t xml:space="preserve">"Rīgas Austrumu klīniskā universitātes slimnīcas" stacionārā ''Biķernieki" ambulatoro </w:t>
      </w:r>
      <w:r w:rsidRPr="005C3B86" w:rsidR="00117CC6">
        <w:t>rehabilitologa</w:t>
      </w:r>
      <w:r w:rsidRPr="005C3B86" w:rsidR="00117CC6">
        <w:t xml:space="preserve"> pakalpojumu pieejamība pieaugusi līdz </w:t>
      </w:r>
      <w:r w:rsidRPr="00EA62A4" w:rsidR="00A21B6E">
        <w:t>44</w:t>
      </w:r>
      <w:r w:rsidRPr="00EA62A4" w:rsidR="00117CC6">
        <w:t xml:space="preserve"> dienām salīdzinoši ar pirms reformu perioda 181 dienu. Tāpat ambulatoro </w:t>
      </w:r>
      <w:r w:rsidRPr="00EA62A4" w:rsidR="00117CC6">
        <w:t>ergoterapeita</w:t>
      </w:r>
      <w:r w:rsidRPr="00EA62A4" w:rsidR="00117CC6">
        <w:t xml:space="preserve"> pakalpojumu pieejamība </w:t>
      </w:r>
      <w:r w:rsidRPr="00EA62A4" w:rsidR="00570FF2">
        <w:t>uzlabojusies par 100 dienām</w:t>
      </w:r>
      <w:r w:rsidRPr="00EA62A4">
        <w:t>.</w:t>
      </w:r>
      <w:r>
        <w:t xml:space="preserve"> </w:t>
      </w:r>
    </w:p>
    <w:p w:rsidR="00F0379C" w:rsidRPr="005C359C" w:rsidP="005C359C" w14:paraId="58A2131C" w14:textId="3BAD8F19">
      <w:pPr>
        <w:autoSpaceDE w:val="0"/>
        <w:autoSpaceDN w:val="0"/>
        <w:adjustRightInd w:val="0"/>
        <w:spacing w:line="293" w:lineRule="atLeast"/>
        <w:ind w:firstLine="720"/>
        <w:jc w:val="both"/>
      </w:pPr>
      <w:r>
        <w:t>Ambulatorās rehabilitācijas pakalpojumu izpilde un rindu samazinājums vērtējams pozitīvi, kopumā nodrošinot sākotnēji plānoto kopējo rindu samazinājumu 28,40% apmērā. Turklāt papildus intervenču rezultātā ir vairāki pakalpojumi, t.sk. rentgenoloģijā, kuros pakalpojumu var saņemt tajā pašā dienā, kad tas ir nepieciešams, faktiski tajos likvidējot rindas</w:t>
      </w:r>
      <w:r w:rsidR="001C6A8C">
        <w:t>. 2017.gadā  tika sniegti 58 356</w:t>
      </w:r>
      <w:r>
        <w:t xml:space="preserve"> ambulatorās rehabilitācijas pakalpojumi.</w:t>
      </w:r>
    </w:p>
    <w:p w:rsidR="0004769C" w:rsidP="005C359C" w14:paraId="6DB7E0AA" w14:textId="1F63F45B">
      <w:pPr>
        <w:jc w:val="right"/>
        <w:rPr>
          <w:i/>
        </w:rPr>
      </w:pPr>
      <w:r>
        <w:rPr>
          <w:i/>
        </w:rPr>
        <w:t xml:space="preserve">14.tabula </w:t>
      </w:r>
    </w:p>
    <w:p w:rsidR="005C359C" w:rsidRPr="003A5035" w:rsidP="005C359C" w14:paraId="4575182F" w14:textId="7EC6FE30">
      <w:pPr>
        <w:jc w:val="center"/>
      </w:pPr>
      <w:r>
        <w:t>Sniegtie ambulatorās rehabilitācijas pakalpojumi 2017.gadā</w:t>
      </w:r>
    </w:p>
    <w:tbl>
      <w:tblPr>
        <w:tblW w:w="8222" w:type="dxa"/>
        <w:jc w:val="center"/>
        <w:tblLook w:val="04A0"/>
      </w:tblPr>
      <w:tblGrid>
        <w:gridCol w:w="796"/>
        <w:gridCol w:w="2813"/>
        <w:gridCol w:w="2864"/>
        <w:gridCol w:w="1749"/>
      </w:tblGrid>
      <w:tr w14:paraId="1BF41ABC" w14:textId="77777777" w:rsidTr="0004769C">
        <w:tblPrEx>
          <w:tblW w:w="8222" w:type="dxa"/>
          <w:jc w:val="center"/>
          <w:tblLook w:val="04A0"/>
        </w:tblPrEx>
        <w:trPr>
          <w:trHeight w:val="1405"/>
          <w:jc w:val="center"/>
        </w:trPr>
        <w:tc>
          <w:tcPr>
            <w:tcW w:w="796" w:type="dxa"/>
            <w:vMerge w:val="restart"/>
            <w:tcBorders>
              <w:top w:val="single" w:sz="4" w:space="0" w:color="auto"/>
              <w:left w:val="nil"/>
              <w:bottom w:val="nil"/>
              <w:right w:val="single" w:sz="4" w:space="0" w:color="auto"/>
            </w:tcBorders>
            <w:shd w:val="clear" w:color="000000" w:fill="92D050"/>
            <w:textDirection w:val="btLr"/>
            <w:vAlign w:val="center"/>
            <w:hideMark/>
          </w:tcPr>
          <w:p w:rsidR="0004769C" w:rsidRPr="0004769C" w:rsidP="0004769C" w14:paraId="567085F2" w14:textId="77777777">
            <w:pPr>
              <w:jc w:val="center"/>
              <w:rPr>
                <w:color w:val="000000"/>
                <w:sz w:val="20"/>
                <w:szCs w:val="20"/>
              </w:rPr>
            </w:pPr>
            <w:r w:rsidRPr="0004769C">
              <w:rPr>
                <w:color w:val="000000"/>
                <w:sz w:val="20"/>
                <w:szCs w:val="20"/>
              </w:rPr>
              <w:t>Ambulatorās rehabilitācijas pakalpojumi</w:t>
            </w:r>
          </w:p>
        </w:tc>
        <w:tc>
          <w:tcPr>
            <w:tcW w:w="2813" w:type="dxa"/>
            <w:tcBorders>
              <w:top w:val="single" w:sz="4" w:space="0" w:color="auto"/>
              <w:left w:val="nil"/>
              <w:bottom w:val="single" w:sz="4" w:space="0" w:color="auto"/>
              <w:right w:val="single" w:sz="4" w:space="0" w:color="auto"/>
            </w:tcBorders>
            <w:shd w:val="clear" w:color="000000" w:fill="92D050"/>
            <w:vAlign w:val="center"/>
            <w:hideMark/>
          </w:tcPr>
          <w:p w:rsidR="0004769C" w:rsidRPr="0004769C" w:rsidP="0004769C" w14:paraId="35CF6DC8" w14:textId="77777777">
            <w:pPr>
              <w:jc w:val="center"/>
              <w:rPr>
                <w:b/>
                <w:bCs/>
                <w:color w:val="000000"/>
                <w:sz w:val="20"/>
                <w:szCs w:val="20"/>
              </w:rPr>
            </w:pPr>
            <w:r w:rsidRPr="0004769C">
              <w:rPr>
                <w:b/>
                <w:bCs/>
                <w:color w:val="000000"/>
                <w:sz w:val="20"/>
                <w:szCs w:val="20"/>
              </w:rPr>
              <w:t>Pakalpojumu veida nosaukums</w:t>
            </w:r>
          </w:p>
        </w:tc>
        <w:tc>
          <w:tcPr>
            <w:tcW w:w="2864" w:type="dxa"/>
            <w:tcBorders>
              <w:top w:val="single" w:sz="4" w:space="0" w:color="auto"/>
              <w:left w:val="nil"/>
              <w:bottom w:val="single" w:sz="4" w:space="0" w:color="auto"/>
              <w:right w:val="single" w:sz="4" w:space="0" w:color="auto"/>
            </w:tcBorders>
            <w:shd w:val="clear" w:color="000000" w:fill="92D050"/>
            <w:vAlign w:val="center"/>
            <w:hideMark/>
          </w:tcPr>
          <w:p w:rsidR="0004769C" w:rsidRPr="0004769C" w:rsidP="0004769C" w14:paraId="71B35577" w14:textId="77777777">
            <w:pPr>
              <w:jc w:val="center"/>
              <w:rPr>
                <w:b/>
                <w:bCs/>
                <w:color w:val="000000"/>
                <w:sz w:val="20"/>
                <w:szCs w:val="20"/>
              </w:rPr>
            </w:pPr>
            <w:r w:rsidRPr="0004769C">
              <w:rPr>
                <w:b/>
                <w:bCs/>
                <w:color w:val="000000"/>
                <w:sz w:val="20"/>
                <w:szCs w:val="20"/>
              </w:rPr>
              <w:t>Faktiski veiktais darbs 2017.gadā (t.sk. pacienta iemaksas kompensācija), gaidīšanas rindu mazināšanas finansējums, EUR</w:t>
            </w:r>
          </w:p>
        </w:tc>
        <w:tc>
          <w:tcPr>
            <w:tcW w:w="1749" w:type="dxa"/>
            <w:tcBorders>
              <w:top w:val="single" w:sz="4" w:space="0" w:color="auto"/>
              <w:left w:val="nil"/>
              <w:bottom w:val="single" w:sz="4" w:space="0" w:color="auto"/>
              <w:right w:val="single" w:sz="4" w:space="0" w:color="auto"/>
            </w:tcBorders>
            <w:shd w:val="clear" w:color="000000" w:fill="92D050"/>
            <w:vAlign w:val="center"/>
            <w:hideMark/>
          </w:tcPr>
          <w:p w:rsidR="0004769C" w:rsidRPr="0004769C" w:rsidP="0004769C" w14:paraId="07E29ED6" w14:textId="77777777">
            <w:pPr>
              <w:jc w:val="center"/>
              <w:rPr>
                <w:b/>
                <w:bCs/>
                <w:color w:val="000000"/>
                <w:sz w:val="20"/>
                <w:szCs w:val="20"/>
              </w:rPr>
            </w:pPr>
            <w:r w:rsidRPr="0004769C">
              <w:rPr>
                <w:b/>
                <w:bCs/>
                <w:color w:val="000000"/>
                <w:sz w:val="20"/>
                <w:szCs w:val="20"/>
              </w:rPr>
              <w:t>Faktiski veiktais izmeklējumu skaits 2017.gadā</w:t>
            </w:r>
          </w:p>
        </w:tc>
      </w:tr>
      <w:tr w14:paraId="5C9A0252" w14:textId="77777777" w:rsidTr="0004769C">
        <w:tblPrEx>
          <w:tblW w:w="8222" w:type="dxa"/>
          <w:jc w:val="center"/>
          <w:tblLook w:val="04A0"/>
        </w:tblPrEx>
        <w:trPr>
          <w:trHeight w:val="300"/>
          <w:jc w:val="center"/>
        </w:trPr>
        <w:tc>
          <w:tcPr>
            <w:tcW w:w="796" w:type="dxa"/>
            <w:vMerge/>
            <w:tcBorders>
              <w:top w:val="single" w:sz="4" w:space="0" w:color="auto"/>
              <w:left w:val="nil"/>
              <w:bottom w:val="nil"/>
              <w:right w:val="single" w:sz="4" w:space="0" w:color="auto"/>
            </w:tcBorders>
            <w:vAlign w:val="center"/>
            <w:hideMark/>
          </w:tcPr>
          <w:p w:rsidR="00FB1202" w:rsidRPr="0004769C" w:rsidP="00FB1202" w14:paraId="7EB27177" w14:textId="77777777">
            <w:pPr>
              <w:rPr>
                <w:color w:val="000000"/>
                <w:sz w:val="20"/>
                <w:szCs w:val="20"/>
              </w:rPr>
            </w:pPr>
          </w:p>
        </w:tc>
        <w:tc>
          <w:tcPr>
            <w:tcW w:w="2813" w:type="dxa"/>
            <w:tcBorders>
              <w:top w:val="nil"/>
              <w:left w:val="nil"/>
              <w:bottom w:val="single" w:sz="4" w:space="0" w:color="auto"/>
              <w:right w:val="single" w:sz="4" w:space="0" w:color="auto"/>
            </w:tcBorders>
            <w:shd w:val="clear" w:color="auto" w:fill="auto"/>
            <w:hideMark/>
          </w:tcPr>
          <w:p w:rsidR="00FB1202" w:rsidRPr="0004769C" w:rsidP="00FB1202" w14:paraId="1EB7D3E6" w14:textId="77777777">
            <w:pPr>
              <w:rPr>
                <w:color w:val="000000"/>
                <w:sz w:val="20"/>
                <w:szCs w:val="20"/>
              </w:rPr>
            </w:pPr>
            <w:r w:rsidRPr="0004769C">
              <w:rPr>
                <w:color w:val="000000"/>
                <w:sz w:val="20"/>
                <w:szCs w:val="20"/>
              </w:rPr>
              <w:t>Rehabilitācija dienas stacionārā</w:t>
            </w:r>
          </w:p>
        </w:tc>
        <w:tc>
          <w:tcPr>
            <w:tcW w:w="2864" w:type="dxa"/>
            <w:tcBorders>
              <w:top w:val="nil"/>
              <w:left w:val="nil"/>
              <w:bottom w:val="single" w:sz="4" w:space="0" w:color="auto"/>
              <w:right w:val="single" w:sz="4" w:space="0" w:color="auto"/>
            </w:tcBorders>
            <w:shd w:val="clear" w:color="auto" w:fill="auto"/>
            <w:noWrap/>
            <w:vAlign w:val="center"/>
            <w:hideMark/>
          </w:tcPr>
          <w:p w:rsidR="00FB1202" w:rsidRPr="0004769C" w:rsidP="00FB1202" w14:paraId="0D48E72A" w14:textId="49B792B5">
            <w:pPr>
              <w:jc w:val="center"/>
              <w:rPr>
                <w:color w:val="000000"/>
                <w:sz w:val="20"/>
                <w:szCs w:val="20"/>
              </w:rPr>
            </w:pPr>
            <w:r>
              <w:rPr>
                <w:color w:val="000000"/>
                <w:sz w:val="20"/>
                <w:szCs w:val="20"/>
              </w:rPr>
              <w:t>199 014</w:t>
            </w:r>
          </w:p>
        </w:tc>
        <w:tc>
          <w:tcPr>
            <w:tcW w:w="1749" w:type="dxa"/>
            <w:tcBorders>
              <w:top w:val="nil"/>
              <w:left w:val="nil"/>
              <w:bottom w:val="single" w:sz="4" w:space="0" w:color="auto"/>
              <w:right w:val="single" w:sz="4" w:space="0" w:color="auto"/>
            </w:tcBorders>
            <w:shd w:val="clear" w:color="auto" w:fill="auto"/>
            <w:noWrap/>
            <w:vAlign w:val="center"/>
            <w:hideMark/>
          </w:tcPr>
          <w:p w:rsidR="00FB1202" w:rsidRPr="0004769C" w:rsidP="00FB1202" w14:paraId="40D8EA1C" w14:textId="3F455BFA">
            <w:pPr>
              <w:jc w:val="center"/>
              <w:rPr>
                <w:color w:val="000000"/>
                <w:sz w:val="20"/>
                <w:szCs w:val="20"/>
              </w:rPr>
            </w:pPr>
            <w:r>
              <w:rPr>
                <w:color w:val="000000"/>
                <w:sz w:val="20"/>
                <w:szCs w:val="20"/>
              </w:rPr>
              <w:t>4 399</w:t>
            </w:r>
          </w:p>
        </w:tc>
      </w:tr>
      <w:tr w14:paraId="64FE5C60" w14:textId="77777777" w:rsidTr="0004769C">
        <w:tblPrEx>
          <w:tblW w:w="8222" w:type="dxa"/>
          <w:jc w:val="center"/>
          <w:tblLook w:val="04A0"/>
        </w:tblPrEx>
        <w:trPr>
          <w:trHeight w:val="285"/>
          <w:jc w:val="center"/>
        </w:trPr>
        <w:tc>
          <w:tcPr>
            <w:tcW w:w="796" w:type="dxa"/>
            <w:vMerge/>
            <w:tcBorders>
              <w:top w:val="single" w:sz="4" w:space="0" w:color="auto"/>
              <w:left w:val="nil"/>
              <w:bottom w:val="nil"/>
              <w:right w:val="single" w:sz="4" w:space="0" w:color="auto"/>
            </w:tcBorders>
            <w:vAlign w:val="center"/>
            <w:hideMark/>
          </w:tcPr>
          <w:p w:rsidR="00FB1202" w:rsidRPr="0004769C" w:rsidP="00FB1202" w14:paraId="1B57EEF0" w14:textId="77777777">
            <w:pPr>
              <w:rPr>
                <w:color w:val="000000"/>
                <w:sz w:val="20"/>
                <w:szCs w:val="20"/>
              </w:rPr>
            </w:pPr>
          </w:p>
        </w:tc>
        <w:tc>
          <w:tcPr>
            <w:tcW w:w="2813" w:type="dxa"/>
            <w:tcBorders>
              <w:top w:val="nil"/>
              <w:left w:val="nil"/>
              <w:bottom w:val="single" w:sz="4" w:space="0" w:color="auto"/>
              <w:right w:val="single" w:sz="4" w:space="0" w:color="auto"/>
            </w:tcBorders>
            <w:shd w:val="clear" w:color="auto" w:fill="auto"/>
            <w:vAlign w:val="bottom"/>
            <w:hideMark/>
          </w:tcPr>
          <w:p w:rsidR="00FB1202" w:rsidRPr="0004769C" w:rsidP="00FB1202" w14:paraId="17763D4A" w14:textId="77777777">
            <w:pPr>
              <w:rPr>
                <w:color w:val="000000"/>
                <w:sz w:val="20"/>
                <w:szCs w:val="20"/>
              </w:rPr>
            </w:pPr>
            <w:r w:rsidRPr="0004769C">
              <w:rPr>
                <w:color w:val="000000"/>
                <w:sz w:val="20"/>
                <w:szCs w:val="20"/>
              </w:rPr>
              <w:t>Fizikālās medicīnas pakalpojumi</w:t>
            </w:r>
          </w:p>
        </w:tc>
        <w:tc>
          <w:tcPr>
            <w:tcW w:w="2864" w:type="dxa"/>
            <w:tcBorders>
              <w:top w:val="nil"/>
              <w:left w:val="nil"/>
              <w:bottom w:val="single" w:sz="4" w:space="0" w:color="auto"/>
              <w:right w:val="single" w:sz="4" w:space="0" w:color="auto"/>
            </w:tcBorders>
            <w:shd w:val="clear" w:color="auto" w:fill="auto"/>
            <w:noWrap/>
            <w:vAlign w:val="center"/>
            <w:hideMark/>
          </w:tcPr>
          <w:p w:rsidR="00FB1202" w:rsidRPr="0004769C" w:rsidP="00FB1202" w14:paraId="2E19FA07" w14:textId="37C04CCC">
            <w:pPr>
              <w:jc w:val="center"/>
              <w:rPr>
                <w:color w:val="000000"/>
                <w:sz w:val="20"/>
                <w:szCs w:val="20"/>
              </w:rPr>
            </w:pPr>
            <w:r>
              <w:rPr>
                <w:color w:val="000000"/>
                <w:sz w:val="20"/>
                <w:szCs w:val="20"/>
              </w:rPr>
              <w:t>34 160</w:t>
            </w:r>
          </w:p>
        </w:tc>
        <w:tc>
          <w:tcPr>
            <w:tcW w:w="1749" w:type="dxa"/>
            <w:tcBorders>
              <w:top w:val="nil"/>
              <w:left w:val="nil"/>
              <w:bottom w:val="single" w:sz="4" w:space="0" w:color="auto"/>
              <w:right w:val="single" w:sz="4" w:space="0" w:color="auto"/>
            </w:tcBorders>
            <w:shd w:val="clear" w:color="auto" w:fill="auto"/>
            <w:noWrap/>
            <w:vAlign w:val="center"/>
            <w:hideMark/>
          </w:tcPr>
          <w:p w:rsidR="00FB1202" w:rsidRPr="0004769C" w:rsidP="00FB1202" w14:paraId="3599B696" w14:textId="5B0B2850">
            <w:pPr>
              <w:jc w:val="center"/>
              <w:rPr>
                <w:color w:val="000000"/>
                <w:sz w:val="20"/>
                <w:szCs w:val="20"/>
              </w:rPr>
            </w:pPr>
            <w:r>
              <w:rPr>
                <w:color w:val="000000"/>
                <w:sz w:val="20"/>
                <w:szCs w:val="20"/>
              </w:rPr>
              <w:t>10 410</w:t>
            </w:r>
          </w:p>
        </w:tc>
      </w:tr>
      <w:tr w14:paraId="269DA61C" w14:textId="77777777" w:rsidTr="0004769C">
        <w:tblPrEx>
          <w:tblW w:w="8222" w:type="dxa"/>
          <w:jc w:val="center"/>
          <w:tblLook w:val="04A0"/>
        </w:tblPrEx>
        <w:trPr>
          <w:trHeight w:val="285"/>
          <w:jc w:val="center"/>
        </w:trPr>
        <w:tc>
          <w:tcPr>
            <w:tcW w:w="796" w:type="dxa"/>
            <w:vMerge/>
            <w:tcBorders>
              <w:top w:val="single" w:sz="4" w:space="0" w:color="auto"/>
              <w:left w:val="nil"/>
              <w:bottom w:val="nil"/>
              <w:right w:val="single" w:sz="4" w:space="0" w:color="auto"/>
            </w:tcBorders>
            <w:vAlign w:val="center"/>
            <w:hideMark/>
          </w:tcPr>
          <w:p w:rsidR="00FB1202" w:rsidRPr="0004769C" w:rsidP="00FB1202" w14:paraId="0D2ABE72" w14:textId="77777777">
            <w:pPr>
              <w:rPr>
                <w:color w:val="000000"/>
                <w:sz w:val="20"/>
                <w:szCs w:val="20"/>
              </w:rPr>
            </w:pPr>
          </w:p>
        </w:tc>
        <w:tc>
          <w:tcPr>
            <w:tcW w:w="2813" w:type="dxa"/>
            <w:tcBorders>
              <w:top w:val="nil"/>
              <w:left w:val="nil"/>
              <w:bottom w:val="single" w:sz="4" w:space="0" w:color="auto"/>
              <w:right w:val="single" w:sz="4" w:space="0" w:color="auto"/>
            </w:tcBorders>
            <w:shd w:val="clear" w:color="auto" w:fill="auto"/>
            <w:vAlign w:val="bottom"/>
            <w:hideMark/>
          </w:tcPr>
          <w:p w:rsidR="00FB1202" w:rsidRPr="0004769C" w:rsidP="00FB1202" w14:paraId="3BD8E0A6" w14:textId="77777777">
            <w:pPr>
              <w:rPr>
                <w:color w:val="000000"/>
                <w:sz w:val="20"/>
                <w:szCs w:val="20"/>
              </w:rPr>
            </w:pPr>
            <w:r w:rsidRPr="0004769C">
              <w:rPr>
                <w:color w:val="000000"/>
                <w:sz w:val="20"/>
                <w:szCs w:val="20"/>
              </w:rPr>
              <w:t>Rehabilitācijas pakalpojumi</w:t>
            </w:r>
          </w:p>
        </w:tc>
        <w:tc>
          <w:tcPr>
            <w:tcW w:w="2864" w:type="dxa"/>
            <w:tcBorders>
              <w:top w:val="nil"/>
              <w:left w:val="nil"/>
              <w:bottom w:val="single" w:sz="4" w:space="0" w:color="auto"/>
              <w:right w:val="single" w:sz="4" w:space="0" w:color="auto"/>
            </w:tcBorders>
            <w:shd w:val="clear" w:color="auto" w:fill="auto"/>
            <w:noWrap/>
            <w:vAlign w:val="center"/>
            <w:hideMark/>
          </w:tcPr>
          <w:p w:rsidR="00FB1202" w:rsidRPr="0004769C" w:rsidP="00FB1202" w14:paraId="0A2F13DA" w14:textId="374E6709">
            <w:pPr>
              <w:jc w:val="center"/>
              <w:rPr>
                <w:color w:val="000000"/>
                <w:sz w:val="20"/>
                <w:szCs w:val="20"/>
              </w:rPr>
            </w:pPr>
            <w:r>
              <w:rPr>
                <w:color w:val="000000"/>
                <w:sz w:val="20"/>
                <w:szCs w:val="20"/>
              </w:rPr>
              <w:t>308 051</w:t>
            </w:r>
          </w:p>
        </w:tc>
        <w:tc>
          <w:tcPr>
            <w:tcW w:w="1749" w:type="dxa"/>
            <w:tcBorders>
              <w:top w:val="nil"/>
              <w:left w:val="nil"/>
              <w:bottom w:val="single" w:sz="4" w:space="0" w:color="auto"/>
              <w:right w:val="single" w:sz="4" w:space="0" w:color="auto"/>
            </w:tcBorders>
            <w:shd w:val="clear" w:color="auto" w:fill="auto"/>
            <w:noWrap/>
            <w:vAlign w:val="center"/>
            <w:hideMark/>
          </w:tcPr>
          <w:p w:rsidR="00FB1202" w:rsidRPr="0004769C" w:rsidP="00FB1202" w14:paraId="4B1959FA" w14:textId="2E77571C">
            <w:pPr>
              <w:jc w:val="center"/>
              <w:rPr>
                <w:color w:val="000000"/>
                <w:sz w:val="20"/>
                <w:szCs w:val="20"/>
              </w:rPr>
            </w:pPr>
            <w:r>
              <w:rPr>
                <w:color w:val="000000"/>
                <w:sz w:val="20"/>
                <w:szCs w:val="20"/>
              </w:rPr>
              <w:t>43 547</w:t>
            </w:r>
          </w:p>
        </w:tc>
      </w:tr>
      <w:tr w14:paraId="1739FFE7" w14:textId="77777777" w:rsidTr="0004769C">
        <w:tblPrEx>
          <w:tblW w:w="8222" w:type="dxa"/>
          <w:jc w:val="center"/>
          <w:tblLook w:val="04A0"/>
        </w:tblPrEx>
        <w:trPr>
          <w:trHeight w:val="300"/>
          <w:jc w:val="center"/>
        </w:trPr>
        <w:tc>
          <w:tcPr>
            <w:tcW w:w="796" w:type="dxa"/>
            <w:vMerge/>
            <w:tcBorders>
              <w:top w:val="single" w:sz="4" w:space="0" w:color="auto"/>
              <w:left w:val="nil"/>
              <w:bottom w:val="nil"/>
              <w:right w:val="single" w:sz="4" w:space="0" w:color="auto"/>
            </w:tcBorders>
            <w:vAlign w:val="center"/>
            <w:hideMark/>
          </w:tcPr>
          <w:p w:rsidR="00FB1202" w:rsidRPr="0004769C" w:rsidP="00FB1202" w14:paraId="08FA554B" w14:textId="77777777">
            <w:pPr>
              <w:rPr>
                <w:color w:val="000000"/>
                <w:sz w:val="20"/>
                <w:szCs w:val="20"/>
              </w:rPr>
            </w:pPr>
          </w:p>
        </w:tc>
        <w:tc>
          <w:tcPr>
            <w:tcW w:w="2813" w:type="dxa"/>
            <w:tcBorders>
              <w:top w:val="nil"/>
              <w:left w:val="nil"/>
              <w:bottom w:val="single" w:sz="4" w:space="0" w:color="auto"/>
              <w:right w:val="single" w:sz="4" w:space="0" w:color="auto"/>
            </w:tcBorders>
            <w:shd w:val="clear" w:color="auto" w:fill="auto"/>
            <w:vAlign w:val="bottom"/>
            <w:hideMark/>
          </w:tcPr>
          <w:p w:rsidR="00FB1202" w:rsidRPr="0004769C" w:rsidP="00FB1202" w14:paraId="06A6DEEA" w14:textId="77777777">
            <w:pPr>
              <w:jc w:val="right"/>
              <w:rPr>
                <w:b/>
                <w:color w:val="000000"/>
                <w:sz w:val="20"/>
                <w:szCs w:val="20"/>
              </w:rPr>
            </w:pPr>
            <w:r w:rsidRPr="0004769C">
              <w:rPr>
                <w:b/>
                <w:color w:val="000000"/>
                <w:sz w:val="20"/>
                <w:szCs w:val="20"/>
              </w:rPr>
              <w:t>Kopā:</w:t>
            </w:r>
          </w:p>
        </w:tc>
        <w:tc>
          <w:tcPr>
            <w:tcW w:w="2864" w:type="dxa"/>
            <w:tcBorders>
              <w:top w:val="nil"/>
              <w:left w:val="nil"/>
              <w:bottom w:val="single" w:sz="4" w:space="0" w:color="auto"/>
              <w:right w:val="single" w:sz="4" w:space="0" w:color="auto"/>
            </w:tcBorders>
            <w:shd w:val="clear" w:color="auto" w:fill="auto"/>
            <w:noWrap/>
            <w:vAlign w:val="bottom"/>
            <w:hideMark/>
          </w:tcPr>
          <w:p w:rsidR="00FB1202" w:rsidRPr="00FB1202" w:rsidP="00FB1202" w14:paraId="4AC2611E" w14:textId="75938B2D">
            <w:pPr>
              <w:jc w:val="center"/>
              <w:rPr>
                <w:b/>
                <w:color w:val="000000"/>
                <w:sz w:val="20"/>
                <w:szCs w:val="20"/>
              </w:rPr>
            </w:pPr>
            <w:r w:rsidRPr="00FB1202">
              <w:rPr>
                <w:b/>
                <w:color w:val="000000"/>
                <w:sz w:val="20"/>
                <w:szCs w:val="20"/>
              </w:rPr>
              <w:t>541 225</w:t>
            </w:r>
          </w:p>
        </w:tc>
        <w:tc>
          <w:tcPr>
            <w:tcW w:w="1749" w:type="dxa"/>
            <w:tcBorders>
              <w:top w:val="nil"/>
              <w:left w:val="nil"/>
              <w:bottom w:val="single" w:sz="4" w:space="0" w:color="auto"/>
              <w:right w:val="single" w:sz="4" w:space="0" w:color="auto"/>
            </w:tcBorders>
            <w:shd w:val="clear" w:color="auto" w:fill="auto"/>
            <w:noWrap/>
            <w:vAlign w:val="bottom"/>
            <w:hideMark/>
          </w:tcPr>
          <w:p w:rsidR="00FB1202" w:rsidRPr="00FB1202" w:rsidP="00FB1202" w14:paraId="1E1498E3" w14:textId="519A6BBF">
            <w:pPr>
              <w:jc w:val="center"/>
              <w:rPr>
                <w:b/>
                <w:color w:val="000000"/>
                <w:sz w:val="20"/>
                <w:szCs w:val="20"/>
              </w:rPr>
            </w:pPr>
            <w:r w:rsidRPr="00FB1202">
              <w:rPr>
                <w:b/>
                <w:color w:val="000000"/>
                <w:sz w:val="20"/>
                <w:szCs w:val="20"/>
              </w:rPr>
              <w:t>58 356</w:t>
            </w:r>
          </w:p>
        </w:tc>
      </w:tr>
    </w:tbl>
    <w:p w:rsidR="0002794C" w:rsidP="0002794C" w14:paraId="53FA8FAA" w14:textId="77777777">
      <w:pPr>
        <w:autoSpaceDE w:val="0"/>
        <w:autoSpaceDN w:val="0"/>
        <w:adjustRightInd w:val="0"/>
        <w:spacing w:line="293" w:lineRule="atLeast"/>
        <w:jc w:val="both"/>
        <w:rPr>
          <w:i/>
          <w:sz w:val="20"/>
          <w:szCs w:val="20"/>
        </w:rPr>
      </w:pPr>
      <w:r w:rsidRPr="006E1FFA">
        <w:rPr>
          <w:i/>
          <w:sz w:val="20"/>
          <w:szCs w:val="20"/>
        </w:rPr>
        <w:t>Avots</w:t>
      </w:r>
      <w:r w:rsidRPr="008603A3">
        <w:rPr>
          <w:i/>
          <w:sz w:val="20"/>
          <w:szCs w:val="20"/>
        </w:rPr>
        <w:t>: NVD</w:t>
      </w:r>
    </w:p>
    <w:p w:rsidR="0004769C" w:rsidP="0004769C" w14:paraId="32304BA4" w14:textId="3CCEED32">
      <w:pPr>
        <w:autoSpaceDE w:val="0"/>
        <w:autoSpaceDN w:val="0"/>
        <w:adjustRightInd w:val="0"/>
        <w:spacing w:line="293" w:lineRule="atLeast"/>
        <w:jc w:val="both"/>
      </w:pPr>
    </w:p>
    <w:p w:rsidR="00956C9D" w:rsidP="009B5CDC" w14:paraId="17CE555A" w14:textId="56CEC245">
      <w:pPr>
        <w:autoSpaceDE w:val="0"/>
        <w:autoSpaceDN w:val="0"/>
        <w:adjustRightInd w:val="0"/>
        <w:spacing w:line="293" w:lineRule="atLeast"/>
        <w:ind w:firstLine="425"/>
        <w:jc w:val="both"/>
      </w:pPr>
      <w:r>
        <w:t>Ņ</w:t>
      </w:r>
      <w:r w:rsidR="00A21B6E">
        <w:t>emot vērā to, ka pacienti ārstniecības iestādēs nonākuši sarežģītāku diagnožu dēļ</w:t>
      </w:r>
      <w:r w:rsidR="00DE08B1">
        <w:t>, kam atbilstoši bija nepieciešams ilgāks rehabilitācijas process</w:t>
      </w:r>
      <w:r w:rsidR="006F1A16">
        <w:t xml:space="preserve"> ar izmaksu ietilpīgākiem pakalpojumiem</w:t>
      </w:r>
      <w:r w:rsidR="00DE08B1">
        <w:t xml:space="preserve">, </w:t>
      </w:r>
      <w:r w:rsidR="00A52636">
        <w:t>t</w:t>
      </w:r>
      <w:r w:rsidR="006F1A16">
        <w:t>ā rezultātā</w:t>
      </w:r>
      <w:r w:rsidR="00DE08B1">
        <w:t xml:space="preserve"> </w:t>
      </w:r>
      <w:r w:rsidR="00A21B6E">
        <w:t>faktiski realizētais pakalpojumu apjoms</w:t>
      </w:r>
      <w:r w:rsidR="00DE08B1">
        <w:t xml:space="preserve"> ir mazāks nekā sākotnēji tika plānots. </w:t>
      </w:r>
      <w:r w:rsidR="00AC1DFD">
        <w:t xml:space="preserve">Turklāt salīdzinoši ar situāciju pirms papildus finansējuma piesaistes, vēl septembrī </w:t>
      </w:r>
      <w:r w:rsidR="00A21B6E">
        <w:t>bija</w:t>
      </w:r>
      <w:r w:rsidR="00AC1DFD">
        <w:t xml:space="preserve"> pieejamas “kvotas” uz lielāko daļu valsts apmaksātajiem pakalpojumiem un b</w:t>
      </w:r>
      <w:r w:rsidR="00DE08B1">
        <w:t>ija</w:t>
      </w:r>
      <w:r w:rsidR="00AC1DFD">
        <w:t xml:space="preserve"> pieejamas arī līdz gada beigām, būtiskākās rindas veidojot pakalpojumos kuros pieejamība ir atkarīga no ārstniecības iestāžu un speciālistu kapacitātes. Līdz ar to</w:t>
      </w:r>
      <w:r w:rsidR="00570FF2">
        <w:t>,</w:t>
      </w:r>
      <w:r w:rsidR="00AC1DFD">
        <w:t xml:space="preserve"> iesāktās reformas veselības aprūpes pakalpojumu pieejamības nodrošināšanā </w:t>
      </w:r>
      <w:r w:rsidR="00C25B97">
        <w:t>tiks</w:t>
      </w:r>
      <w:r w:rsidR="00AC1DFD">
        <w:t xml:space="preserve"> </w:t>
      </w:r>
      <w:r w:rsidR="00C25B97">
        <w:t>t</w:t>
      </w:r>
      <w:r w:rsidR="00AC1DFD">
        <w:t>urpin</w:t>
      </w:r>
      <w:r w:rsidR="00C25B97">
        <w:t>ātas</w:t>
      </w:r>
      <w:r w:rsidR="00AC1DFD">
        <w:t>, samazinot rindu apjomus.</w:t>
      </w:r>
    </w:p>
    <w:p w:rsidR="00117CC6" w:rsidRPr="00212EB5" w:rsidP="00B710F0" w14:paraId="625AB519" w14:textId="77777777">
      <w:pPr>
        <w:autoSpaceDE w:val="0"/>
        <w:autoSpaceDN w:val="0"/>
        <w:adjustRightInd w:val="0"/>
        <w:spacing w:line="293" w:lineRule="atLeast"/>
        <w:ind w:firstLine="720"/>
        <w:jc w:val="both"/>
      </w:pPr>
    </w:p>
    <w:p w:rsidR="00117CC6" w:rsidRPr="00117CC6" w:rsidP="00117CC6" w14:paraId="3AFD084B" w14:textId="2415E7D5">
      <w:pPr>
        <w:pStyle w:val="Heading2"/>
        <w:spacing w:before="0" w:after="200"/>
        <w:ind w:left="850" w:hanging="425"/>
        <w:jc w:val="center"/>
        <w:rPr>
          <w:rFonts w:ascii="Times New Roman" w:eastAsia="Times New Roman" w:hAnsi="Times New Roman" w:cs="Times New Roman"/>
          <w:sz w:val="24"/>
          <w:szCs w:val="24"/>
          <w:lang w:eastAsia="lv-LV"/>
        </w:rPr>
      </w:pPr>
      <w:r w:rsidRPr="00015FDB">
        <w:rPr>
          <w:rFonts w:ascii="Times New Roman" w:hAnsi="Times New Roman" w:cs="Times New Roman"/>
          <w:b/>
          <w:color w:val="auto"/>
          <w:sz w:val="24"/>
          <w:szCs w:val="24"/>
          <w:lang w:bidi="lo-LA"/>
        </w:rPr>
        <w:t>2.3.</w:t>
      </w:r>
      <w:r w:rsidRPr="00117CC6">
        <w:rPr>
          <w:rFonts w:ascii="Times New Roman" w:hAnsi="Times New Roman" w:cs="Times New Roman"/>
          <w:color w:val="auto"/>
          <w:sz w:val="24"/>
          <w:szCs w:val="24"/>
          <w:lang w:bidi="lo-LA"/>
        </w:rPr>
        <w:t xml:space="preserve"> </w:t>
      </w:r>
      <w:r>
        <w:rPr>
          <w:rFonts w:ascii="Times New Roman" w:eastAsia="Times New Roman" w:hAnsi="Times New Roman" w:cs="Times New Roman"/>
          <w:b/>
          <w:color w:val="auto"/>
          <w:sz w:val="24"/>
          <w:szCs w:val="24"/>
          <w:lang w:eastAsia="lv-LV"/>
        </w:rPr>
        <w:t>V</w:t>
      </w:r>
      <w:r w:rsidRPr="00117CC6">
        <w:rPr>
          <w:rFonts w:ascii="Times New Roman" w:eastAsia="Times New Roman" w:hAnsi="Times New Roman" w:cs="Times New Roman"/>
          <w:b/>
          <w:color w:val="auto"/>
          <w:sz w:val="24"/>
          <w:szCs w:val="24"/>
          <w:lang w:eastAsia="lv-LV"/>
        </w:rPr>
        <w:t>alsts kompensējamo medikamentu</w:t>
      </w:r>
      <w:r>
        <w:rPr>
          <w:rFonts w:ascii="Times New Roman" w:eastAsia="Times New Roman" w:hAnsi="Times New Roman" w:cs="Times New Roman"/>
          <w:b/>
          <w:color w:val="auto"/>
          <w:sz w:val="24"/>
          <w:szCs w:val="24"/>
          <w:lang w:eastAsia="lv-LV"/>
        </w:rPr>
        <w:t xml:space="preserve"> nodrošinājums</w:t>
      </w:r>
      <w:r w:rsidRPr="00117CC6">
        <w:rPr>
          <w:rFonts w:ascii="Times New Roman" w:eastAsia="Times New Roman" w:hAnsi="Times New Roman" w:cs="Times New Roman"/>
          <w:b/>
          <w:color w:val="auto"/>
          <w:sz w:val="24"/>
          <w:szCs w:val="24"/>
          <w:lang w:eastAsia="lv-LV"/>
        </w:rPr>
        <w:t xml:space="preserve"> VHC pacientiem F3-F4 stadijā</w:t>
      </w:r>
    </w:p>
    <w:p w:rsidR="00E8769A" w:rsidRPr="00E8769A" w:rsidP="00025E7E" w14:paraId="6DB0BC9F" w14:textId="18F5B959">
      <w:pPr>
        <w:pStyle w:val="Heading1"/>
        <w:shd w:val="clear" w:color="auto" w:fill="FFFFFF"/>
        <w:spacing w:before="0" w:line="240" w:lineRule="auto"/>
        <w:ind w:firstLine="720"/>
        <w:jc w:val="both"/>
        <w:textAlignment w:val="baseline"/>
        <w:rPr>
          <w:rFonts w:ascii="Times New Roman" w:hAnsi="Times New Roman" w:cs="Times New Roman"/>
          <w:color w:val="auto"/>
          <w:sz w:val="24"/>
          <w:szCs w:val="24"/>
        </w:rPr>
      </w:pPr>
      <w:r w:rsidRPr="00E8769A">
        <w:rPr>
          <w:rFonts w:ascii="Times New Roman" w:hAnsi="Times New Roman" w:cs="Times New Roman"/>
          <w:color w:val="auto"/>
          <w:sz w:val="24"/>
          <w:szCs w:val="24"/>
        </w:rPr>
        <w:t xml:space="preserve">Izvērtējot ārstēšanas ietekmi uz VHC izplatību, tajā skaitā ar tiešās iedarbības jaunajiem medikamentiem pētījumi tika veikti riska uzvedības grupās (narkotiku lietotāji; vīrieši, kuriem ir dzimumsakari ar vīriešiem; pacienti ar HIV un VHC </w:t>
      </w:r>
      <w:r w:rsidRPr="00E8769A">
        <w:rPr>
          <w:rFonts w:ascii="Times New Roman" w:hAnsi="Times New Roman" w:cs="Times New Roman"/>
          <w:color w:val="auto"/>
          <w:sz w:val="24"/>
          <w:szCs w:val="24"/>
        </w:rPr>
        <w:t>koinfekciju</w:t>
      </w:r>
      <w:r w:rsidRPr="00E8769A">
        <w:rPr>
          <w:rFonts w:ascii="Times New Roman" w:hAnsi="Times New Roman" w:cs="Times New Roman"/>
          <w:color w:val="auto"/>
          <w:sz w:val="24"/>
          <w:szCs w:val="24"/>
        </w:rPr>
        <w:t>)</w:t>
      </w:r>
      <w:r>
        <w:rPr>
          <w:rStyle w:val="FootnoteReference"/>
          <w:rFonts w:ascii="Times New Roman" w:hAnsi="Times New Roman" w:cs="Times New Roman"/>
          <w:color w:val="auto"/>
          <w:sz w:val="24"/>
          <w:szCs w:val="24"/>
        </w:rPr>
        <w:footnoteReference w:id="4"/>
      </w:r>
      <w:r w:rsidRPr="00E8769A">
        <w:rPr>
          <w:rFonts w:ascii="Times New Roman" w:hAnsi="Times New Roman" w:cs="Times New Roman"/>
          <w:color w:val="auto"/>
          <w:sz w:val="24"/>
          <w:szCs w:val="24"/>
        </w:rPr>
        <w:t xml:space="preserve">. </w:t>
      </w:r>
      <w:r w:rsidRPr="00E8769A">
        <w:rPr>
          <w:rFonts w:ascii="Times New Roman" w:hAnsi="Times New Roman" w:cs="Times New Roman"/>
          <w:color w:val="auto"/>
          <w:sz w:val="24"/>
          <w:szCs w:val="24"/>
        </w:rPr>
        <w:t>Pasaules Veselības organizācijas</w:t>
      </w:r>
      <w:r>
        <w:rPr>
          <w:rFonts w:ascii="Times New Roman" w:hAnsi="Times New Roman" w:cs="Times New Roman"/>
          <w:color w:val="auto"/>
          <w:sz w:val="24"/>
          <w:szCs w:val="24"/>
        </w:rPr>
        <w:t xml:space="preserve"> (PVO)</w:t>
      </w:r>
      <w:r w:rsidRPr="00E8769A">
        <w:rPr>
          <w:rFonts w:ascii="Times New Roman" w:hAnsi="Times New Roman" w:cs="Times New Roman"/>
          <w:color w:val="auto"/>
          <w:sz w:val="24"/>
          <w:szCs w:val="24"/>
        </w:rPr>
        <w:t xml:space="preserve"> ziņojumā par progresu C hepatīta ārstēšanas pieejamības nodrošināšanā (</w:t>
      </w:r>
      <w:r>
        <w:rPr>
          <w:rFonts w:ascii="Times New Roman" w:hAnsi="Times New Roman" w:cs="Times New Roman"/>
          <w:color w:val="auto"/>
          <w:sz w:val="24"/>
          <w:szCs w:val="24"/>
        </w:rPr>
        <w:t>“</w:t>
      </w:r>
      <w:r w:rsidRPr="00E8769A">
        <w:rPr>
          <w:rFonts w:ascii="Times New Roman" w:hAnsi="Times New Roman" w:cs="Times New Roman"/>
          <w:color w:val="auto"/>
          <w:sz w:val="24"/>
          <w:szCs w:val="24"/>
        </w:rPr>
        <w:t xml:space="preserve">Progress </w:t>
      </w:r>
      <w:r w:rsidRPr="00E8769A">
        <w:rPr>
          <w:rFonts w:ascii="Times New Roman" w:hAnsi="Times New Roman" w:cs="Times New Roman"/>
          <w:color w:val="auto"/>
          <w:sz w:val="24"/>
          <w:szCs w:val="24"/>
        </w:rPr>
        <w:t>report</w:t>
      </w:r>
      <w:r w:rsidRPr="00E8769A">
        <w:rPr>
          <w:rFonts w:ascii="Times New Roman" w:hAnsi="Times New Roman" w:cs="Times New Roman"/>
          <w:color w:val="auto"/>
          <w:sz w:val="24"/>
          <w:szCs w:val="24"/>
        </w:rPr>
        <w:t xml:space="preserve"> </w:t>
      </w:r>
      <w:r w:rsidRPr="00E8769A">
        <w:rPr>
          <w:rFonts w:ascii="Times New Roman" w:hAnsi="Times New Roman" w:cs="Times New Roman"/>
          <w:color w:val="auto"/>
          <w:sz w:val="24"/>
          <w:szCs w:val="24"/>
        </w:rPr>
        <w:t>on</w:t>
      </w:r>
      <w:r w:rsidRPr="00E8769A">
        <w:rPr>
          <w:rFonts w:ascii="Times New Roman" w:hAnsi="Times New Roman" w:cs="Times New Roman"/>
          <w:color w:val="auto"/>
          <w:sz w:val="24"/>
          <w:szCs w:val="24"/>
        </w:rPr>
        <w:t xml:space="preserve"> </w:t>
      </w:r>
      <w:r w:rsidRPr="00E8769A">
        <w:rPr>
          <w:rFonts w:ascii="Times New Roman" w:hAnsi="Times New Roman" w:cs="Times New Roman"/>
          <w:color w:val="auto"/>
          <w:sz w:val="24"/>
          <w:szCs w:val="24"/>
        </w:rPr>
        <w:t>access</w:t>
      </w:r>
      <w:r w:rsidRPr="00E8769A">
        <w:rPr>
          <w:rFonts w:ascii="Times New Roman" w:hAnsi="Times New Roman" w:cs="Times New Roman"/>
          <w:color w:val="auto"/>
          <w:sz w:val="24"/>
          <w:szCs w:val="24"/>
        </w:rPr>
        <w:t xml:space="preserve"> to </w:t>
      </w:r>
      <w:r w:rsidRPr="00E8769A">
        <w:rPr>
          <w:rFonts w:ascii="Times New Roman" w:hAnsi="Times New Roman" w:cs="Times New Roman"/>
          <w:color w:val="auto"/>
          <w:sz w:val="24"/>
          <w:szCs w:val="24"/>
        </w:rPr>
        <w:t>hepatitis</w:t>
      </w:r>
      <w:r w:rsidRPr="00E8769A">
        <w:rPr>
          <w:rFonts w:ascii="Times New Roman" w:hAnsi="Times New Roman" w:cs="Times New Roman"/>
          <w:color w:val="auto"/>
          <w:sz w:val="24"/>
          <w:szCs w:val="24"/>
        </w:rPr>
        <w:t xml:space="preserve"> C </w:t>
      </w:r>
      <w:r w:rsidRPr="00E8769A">
        <w:rPr>
          <w:rFonts w:ascii="Times New Roman" w:hAnsi="Times New Roman" w:cs="Times New Roman"/>
          <w:color w:val="auto"/>
          <w:sz w:val="24"/>
          <w:szCs w:val="24"/>
        </w:rPr>
        <w:t>treatment</w:t>
      </w:r>
      <w:r>
        <w:rPr>
          <w:rFonts w:ascii="Times New Roman" w:hAnsi="Times New Roman" w:cs="Times New Roman"/>
          <w:color w:val="auto"/>
          <w:sz w:val="24"/>
          <w:szCs w:val="24"/>
        </w:rPr>
        <w:t xml:space="preserve"> </w:t>
      </w:r>
      <w:r w:rsidRPr="00E8769A">
        <w:rPr>
          <w:rFonts w:ascii="Times New Roman" w:hAnsi="Times New Roman" w:cs="Times New Roman"/>
          <w:bCs/>
          <w:color w:val="auto"/>
          <w:sz w:val="24"/>
          <w:szCs w:val="24"/>
        </w:rPr>
        <w:t>Focus</w:t>
      </w:r>
      <w:r w:rsidRPr="00E8769A">
        <w:rPr>
          <w:rFonts w:ascii="Times New Roman" w:hAnsi="Times New Roman" w:cs="Times New Roman"/>
          <w:bCs/>
          <w:color w:val="auto"/>
          <w:sz w:val="24"/>
          <w:szCs w:val="24"/>
        </w:rPr>
        <w:t xml:space="preserve"> </w:t>
      </w:r>
      <w:r w:rsidRPr="00E8769A">
        <w:rPr>
          <w:rFonts w:ascii="Times New Roman" w:hAnsi="Times New Roman" w:cs="Times New Roman"/>
          <w:bCs/>
          <w:color w:val="auto"/>
          <w:sz w:val="24"/>
          <w:szCs w:val="24"/>
        </w:rPr>
        <w:t>on</w:t>
      </w:r>
      <w:r w:rsidRPr="00E8769A">
        <w:rPr>
          <w:rFonts w:ascii="Times New Roman" w:hAnsi="Times New Roman" w:cs="Times New Roman"/>
          <w:bCs/>
          <w:color w:val="auto"/>
          <w:sz w:val="24"/>
          <w:szCs w:val="24"/>
        </w:rPr>
        <w:t xml:space="preserve"> </w:t>
      </w:r>
      <w:r w:rsidRPr="00E8769A">
        <w:rPr>
          <w:rFonts w:ascii="Times New Roman" w:hAnsi="Times New Roman" w:cs="Times New Roman"/>
          <w:bCs/>
          <w:color w:val="auto"/>
          <w:sz w:val="24"/>
          <w:szCs w:val="24"/>
        </w:rPr>
        <w:t>overcoming</w:t>
      </w:r>
      <w:r w:rsidRPr="00E8769A">
        <w:rPr>
          <w:rFonts w:ascii="Times New Roman" w:hAnsi="Times New Roman" w:cs="Times New Roman"/>
          <w:bCs/>
          <w:color w:val="auto"/>
          <w:sz w:val="24"/>
          <w:szCs w:val="24"/>
        </w:rPr>
        <w:t xml:space="preserve"> </w:t>
      </w:r>
      <w:r w:rsidRPr="00E8769A">
        <w:rPr>
          <w:rFonts w:ascii="Times New Roman" w:hAnsi="Times New Roman" w:cs="Times New Roman"/>
          <w:bCs/>
          <w:color w:val="auto"/>
          <w:sz w:val="24"/>
          <w:szCs w:val="24"/>
        </w:rPr>
        <w:t>barriers</w:t>
      </w:r>
      <w:r w:rsidRPr="00E8769A">
        <w:rPr>
          <w:rFonts w:ascii="Times New Roman" w:hAnsi="Times New Roman" w:cs="Times New Roman"/>
          <w:bCs/>
          <w:color w:val="auto"/>
          <w:sz w:val="24"/>
          <w:szCs w:val="24"/>
        </w:rPr>
        <w:t xml:space="preserve"> </w:t>
      </w:r>
      <w:r w:rsidRPr="00E8769A">
        <w:rPr>
          <w:rFonts w:ascii="Times New Roman" w:hAnsi="Times New Roman" w:cs="Times New Roman"/>
          <w:bCs/>
          <w:color w:val="auto"/>
          <w:sz w:val="24"/>
          <w:szCs w:val="24"/>
        </w:rPr>
        <w:t>in</w:t>
      </w:r>
      <w:r w:rsidRPr="00E8769A">
        <w:rPr>
          <w:rFonts w:ascii="Times New Roman" w:hAnsi="Times New Roman" w:cs="Times New Roman"/>
          <w:bCs/>
          <w:color w:val="auto"/>
          <w:sz w:val="24"/>
          <w:szCs w:val="24"/>
        </w:rPr>
        <w:t xml:space="preserve"> </w:t>
      </w:r>
      <w:r w:rsidRPr="00E8769A">
        <w:rPr>
          <w:rFonts w:ascii="Times New Roman" w:hAnsi="Times New Roman" w:cs="Times New Roman"/>
          <w:bCs/>
          <w:color w:val="auto"/>
          <w:sz w:val="24"/>
          <w:szCs w:val="24"/>
        </w:rPr>
        <w:t>low</w:t>
      </w:r>
      <w:r w:rsidRPr="00E8769A">
        <w:rPr>
          <w:rFonts w:ascii="Times New Roman" w:hAnsi="Times New Roman" w:cs="Times New Roman"/>
          <w:bCs/>
          <w:color w:val="auto"/>
          <w:sz w:val="24"/>
          <w:szCs w:val="24"/>
        </w:rPr>
        <w:t xml:space="preserve">- </w:t>
      </w:r>
      <w:r w:rsidRPr="00E8769A">
        <w:rPr>
          <w:rFonts w:ascii="Times New Roman" w:hAnsi="Times New Roman" w:cs="Times New Roman"/>
          <w:bCs/>
          <w:color w:val="auto"/>
          <w:sz w:val="24"/>
          <w:szCs w:val="24"/>
        </w:rPr>
        <w:t>and</w:t>
      </w:r>
      <w:r w:rsidRPr="00E8769A">
        <w:rPr>
          <w:rFonts w:ascii="Times New Roman" w:hAnsi="Times New Roman" w:cs="Times New Roman"/>
          <w:bCs/>
          <w:color w:val="auto"/>
          <w:sz w:val="24"/>
          <w:szCs w:val="24"/>
        </w:rPr>
        <w:t xml:space="preserve"> </w:t>
      </w:r>
      <w:r w:rsidRPr="00E8769A">
        <w:rPr>
          <w:rFonts w:ascii="Times New Roman" w:hAnsi="Times New Roman" w:cs="Times New Roman"/>
          <w:bCs/>
          <w:color w:val="auto"/>
          <w:sz w:val="24"/>
          <w:szCs w:val="24"/>
        </w:rPr>
        <w:t>middle-income</w:t>
      </w:r>
      <w:r w:rsidRPr="00E8769A">
        <w:rPr>
          <w:rFonts w:ascii="Times New Roman" w:hAnsi="Times New Roman" w:cs="Times New Roman"/>
          <w:bCs/>
          <w:color w:val="auto"/>
          <w:sz w:val="24"/>
          <w:szCs w:val="24"/>
        </w:rPr>
        <w:t xml:space="preserve"> </w:t>
      </w:r>
      <w:r w:rsidRPr="00E8769A">
        <w:rPr>
          <w:rFonts w:ascii="Times New Roman" w:hAnsi="Times New Roman" w:cs="Times New Roman"/>
          <w:bCs/>
          <w:color w:val="auto"/>
          <w:sz w:val="24"/>
          <w:szCs w:val="24"/>
        </w:rPr>
        <w:t>countries</w:t>
      </w:r>
      <w:r>
        <w:rPr>
          <w:rFonts w:ascii="Times New Roman" w:hAnsi="Times New Roman" w:cs="Times New Roman"/>
          <w:bCs/>
          <w:color w:val="auto"/>
          <w:sz w:val="24"/>
          <w:szCs w:val="24"/>
        </w:rPr>
        <w:t xml:space="preserve">”), kas izdota 2018.gada martā ir apliecināta tiešās iedarbības pretvīrusu līdzekļu, kas tiek lietoti C hepatīta ārstēšanai efektivitāte atbrīvojot organismu no vīrusa klātbūtnes, kas novērš vīrusa savairošanos. Pasaules mērogā 85% ārstēto personu ir atbrīvoti no vīrusa klātbūtnes 8-12 nedēļu laikā. PVO ziņojumā ir uzsvērts, ka šis ir nozīmīgs apstāklis, lai apturēto C hepatīta izplatību. </w:t>
      </w:r>
      <w:r w:rsidR="00B72A14">
        <w:rPr>
          <w:rFonts w:ascii="Times New Roman" w:hAnsi="Times New Roman" w:cs="Times New Roman"/>
          <w:bCs/>
          <w:color w:val="auto"/>
          <w:sz w:val="24"/>
          <w:szCs w:val="24"/>
        </w:rPr>
        <w:t>Tādēļ PVO ir izvirzījusi mērķi, lai 2030.gadam 80% C hepatīta inficēto personu tiktu izārstētas.</w:t>
      </w:r>
      <w:r>
        <w:rPr>
          <w:rStyle w:val="FootnoteReference"/>
          <w:rFonts w:ascii="Times New Roman" w:hAnsi="Times New Roman" w:cs="Times New Roman"/>
          <w:bCs/>
          <w:color w:val="auto"/>
          <w:sz w:val="24"/>
          <w:szCs w:val="24"/>
        </w:rPr>
        <w:footnoteReference w:id="5"/>
      </w:r>
    </w:p>
    <w:p w:rsidR="00B73965" w:rsidRPr="00761DAE" w:rsidP="00761DAE" w14:paraId="76485656" w14:textId="5F7A039D">
      <w:pPr>
        <w:autoSpaceDE w:val="0"/>
        <w:autoSpaceDN w:val="0"/>
        <w:adjustRightInd w:val="0"/>
        <w:spacing w:line="293" w:lineRule="atLeast"/>
        <w:ind w:firstLine="425"/>
        <w:jc w:val="both"/>
      </w:pPr>
      <w:r>
        <w:t xml:space="preserve"> </w:t>
      </w:r>
      <w:r w:rsidRPr="00570FF2" w:rsidR="00AC1DFD">
        <w:t xml:space="preserve">Tamdēļ </w:t>
      </w:r>
      <w:r w:rsidRPr="009B5CDC" w:rsidR="00AC1DFD">
        <w:t xml:space="preserve">2017.gadā plānots kompensējamo medikamenti C hepatīta ārstēšanai F3-F4 </w:t>
      </w:r>
      <w:r w:rsidR="00570FF2">
        <w:t xml:space="preserve">aknu bojājuma </w:t>
      </w:r>
      <w:r w:rsidRPr="009B5CDC" w:rsidR="00AC1DFD">
        <w:t>stadijā pakalpojuma apjoma pieaugums.</w:t>
      </w:r>
    </w:p>
    <w:p w:rsidR="00B73965" w:rsidP="00761DAE" w14:paraId="684B64E6" w14:textId="3D4E5062">
      <w:pPr>
        <w:rPr>
          <w:i/>
        </w:rPr>
      </w:pPr>
    </w:p>
    <w:p w:rsidR="00746DD6" w:rsidRPr="00F352AF" w:rsidP="00746DD6" w14:paraId="107B48C6" w14:textId="67F95B06">
      <w:pPr>
        <w:ind w:firstLine="720"/>
        <w:jc w:val="right"/>
        <w:rPr>
          <w:i/>
        </w:rPr>
      </w:pPr>
      <w:r>
        <w:rPr>
          <w:i/>
        </w:rPr>
        <w:t xml:space="preserve">11.tabula </w:t>
      </w:r>
    </w:p>
    <w:p w:rsidR="00746DD6" w:rsidRPr="00746DD6" w:rsidP="00746DD6" w14:paraId="64A38861" w14:textId="29C63E6B">
      <w:pPr>
        <w:jc w:val="center"/>
        <w:rPr>
          <w:color w:val="414142"/>
        </w:rPr>
      </w:pPr>
      <w:r w:rsidRPr="00746DD6">
        <w:t>VHC pacientiem F3-F4 stadijā</w:t>
      </w:r>
    </w:p>
    <w:p w:rsidR="00746DD6" w:rsidRPr="00084223" w:rsidP="00746DD6" w14:paraId="70B3D0C5" w14:textId="355546EB">
      <w:pPr>
        <w:jc w:val="center"/>
        <w:rPr>
          <w:color w:val="414142"/>
        </w:rPr>
      </w:pPr>
      <w:r>
        <w:rPr>
          <w:color w:val="414142"/>
        </w:rPr>
        <w:t xml:space="preserve">2017. </w:t>
      </w:r>
      <w:r w:rsidR="00AC1DFD">
        <w:rPr>
          <w:color w:val="414142"/>
        </w:rPr>
        <w:t>gada izpilde</w:t>
      </w:r>
    </w:p>
    <w:p w:rsidR="00746DD6" w:rsidP="00746DD6" w14:paraId="03D908B5" w14:textId="00F43600">
      <w:pPr>
        <w:autoSpaceDE w:val="0"/>
        <w:autoSpaceDN w:val="0"/>
        <w:adjustRightInd w:val="0"/>
        <w:spacing w:line="293" w:lineRule="atLeast"/>
        <w:rPr>
          <w:sz w:val="22"/>
          <w:szCs w:val="22"/>
        </w:rPr>
      </w:pPr>
    </w:p>
    <w:tbl>
      <w:tblPr>
        <w:tblW w:w="9290" w:type="dxa"/>
        <w:jc w:val="center"/>
        <w:tblLook w:val="04A0"/>
      </w:tblPr>
      <w:tblGrid>
        <w:gridCol w:w="3681"/>
        <w:gridCol w:w="1365"/>
        <w:gridCol w:w="1470"/>
        <w:gridCol w:w="1365"/>
        <w:gridCol w:w="1409"/>
      </w:tblGrid>
      <w:tr w14:paraId="23E1F96F" w14:textId="77777777" w:rsidTr="00A97499">
        <w:tblPrEx>
          <w:tblW w:w="9290" w:type="dxa"/>
          <w:jc w:val="center"/>
          <w:tblLook w:val="04A0"/>
        </w:tblPrEx>
        <w:trPr>
          <w:trHeight w:val="300"/>
          <w:jc w:val="center"/>
        </w:trPr>
        <w:tc>
          <w:tcPr>
            <w:tcW w:w="3681"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rsidR="00746DD6" w14:paraId="08977E8F" w14:textId="3D0CEBE5">
            <w:pPr>
              <w:jc w:val="center"/>
              <w:rPr>
                <w:color w:val="000000"/>
                <w:sz w:val="22"/>
                <w:szCs w:val="22"/>
              </w:rPr>
            </w:pPr>
            <w:r>
              <w:rPr>
                <w:color w:val="000000"/>
                <w:sz w:val="22"/>
                <w:szCs w:val="22"/>
              </w:rPr>
              <w:t xml:space="preserve">Kompensējamie medikamenti </w:t>
            </w:r>
            <w:r w:rsidR="004462A9">
              <w:rPr>
                <w:color w:val="000000"/>
                <w:sz w:val="22"/>
                <w:szCs w:val="22"/>
              </w:rPr>
              <w:t>VHC</w:t>
            </w:r>
            <w:r>
              <w:rPr>
                <w:color w:val="000000"/>
                <w:sz w:val="22"/>
                <w:szCs w:val="22"/>
              </w:rPr>
              <w:t xml:space="preserve"> ārstēšanai F3-F4 stadijā </w:t>
            </w:r>
          </w:p>
        </w:tc>
        <w:tc>
          <w:tcPr>
            <w:tcW w:w="1365"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rsidR="00746DD6" w14:paraId="36DEE960" w14:textId="77777777">
            <w:pPr>
              <w:jc w:val="center"/>
              <w:rPr>
                <w:color w:val="000000"/>
                <w:sz w:val="22"/>
                <w:szCs w:val="22"/>
              </w:rPr>
            </w:pPr>
            <w:r>
              <w:rPr>
                <w:color w:val="000000"/>
                <w:sz w:val="22"/>
                <w:szCs w:val="22"/>
              </w:rPr>
              <w:t xml:space="preserve">Plānotais pakalpojumu skaits </w:t>
            </w:r>
          </w:p>
        </w:tc>
        <w:tc>
          <w:tcPr>
            <w:tcW w:w="1470"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rsidR="00746DD6" w14:paraId="20ABCEE9" w14:textId="77777777">
            <w:pPr>
              <w:jc w:val="center"/>
              <w:rPr>
                <w:color w:val="000000"/>
                <w:sz w:val="22"/>
                <w:szCs w:val="22"/>
              </w:rPr>
            </w:pPr>
            <w:r>
              <w:rPr>
                <w:color w:val="000000"/>
                <w:sz w:val="22"/>
                <w:szCs w:val="22"/>
              </w:rPr>
              <w:t xml:space="preserve">Plānotais finansējums  </w:t>
            </w:r>
            <w:r>
              <w:rPr>
                <w:i/>
                <w:iCs/>
                <w:color w:val="000000"/>
                <w:sz w:val="22"/>
                <w:szCs w:val="22"/>
              </w:rPr>
              <w:t>euro</w:t>
            </w:r>
          </w:p>
        </w:tc>
        <w:tc>
          <w:tcPr>
            <w:tcW w:w="1365"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rsidR="00746DD6" w14:paraId="7A2D7B9C" w14:textId="77777777">
            <w:pPr>
              <w:jc w:val="center"/>
              <w:rPr>
                <w:color w:val="000000"/>
                <w:sz w:val="22"/>
                <w:szCs w:val="22"/>
              </w:rPr>
            </w:pPr>
            <w:r>
              <w:rPr>
                <w:color w:val="000000"/>
                <w:sz w:val="22"/>
                <w:szCs w:val="22"/>
              </w:rPr>
              <w:t>Faktiskais pakalpojumu skaits</w:t>
            </w:r>
          </w:p>
        </w:tc>
        <w:tc>
          <w:tcPr>
            <w:tcW w:w="1409"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rsidR="00746DD6" w14:paraId="3DEC0E00" w14:textId="77777777">
            <w:pPr>
              <w:jc w:val="center"/>
              <w:rPr>
                <w:color w:val="000000"/>
                <w:sz w:val="22"/>
                <w:szCs w:val="22"/>
              </w:rPr>
            </w:pPr>
            <w:r>
              <w:rPr>
                <w:color w:val="000000"/>
                <w:sz w:val="22"/>
                <w:szCs w:val="22"/>
              </w:rPr>
              <w:t xml:space="preserve">Finanšu izlietojums  </w:t>
            </w:r>
            <w:r>
              <w:rPr>
                <w:i/>
                <w:iCs/>
                <w:color w:val="000000"/>
                <w:sz w:val="22"/>
                <w:szCs w:val="22"/>
              </w:rPr>
              <w:t>euro</w:t>
            </w:r>
          </w:p>
        </w:tc>
      </w:tr>
      <w:tr w14:paraId="38D817E2" w14:textId="77777777" w:rsidTr="00A97499">
        <w:tblPrEx>
          <w:tblW w:w="9290" w:type="dxa"/>
          <w:jc w:val="center"/>
          <w:tblLook w:val="04A0"/>
        </w:tblPrEx>
        <w:trPr>
          <w:trHeight w:val="645"/>
          <w:jc w:val="center"/>
        </w:trPr>
        <w:tc>
          <w:tcPr>
            <w:tcW w:w="3681" w:type="dxa"/>
            <w:vMerge/>
            <w:tcBorders>
              <w:top w:val="single" w:sz="4" w:space="0" w:color="auto"/>
              <w:left w:val="single" w:sz="4" w:space="0" w:color="auto"/>
              <w:bottom w:val="single" w:sz="4" w:space="0" w:color="000000"/>
              <w:right w:val="single" w:sz="4" w:space="0" w:color="auto"/>
            </w:tcBorders>
            <w:vAlign w:val="center"/>
            <w:hideMark/>
          </w:tcPr>
          <w:p w:rsidR="00746DD6" w14:paraId="2F2ACC3A" w14:textId="77777777">
            <w:pPr>
              <w:rPr>
                <w:color w:val="000000"/>
                <w:sz w:val="22"/>
                <w:szCs w:val="22"/>
              </w:rPr>
            </w:pPr>
          </w:p>
        </w:tc>
        <w:tc>
          <w:tcPr>
            <w:tcW w:w="1365" w:type="dxa"/>
            <w:vMerge/>
            <w:tcBorders>
              <w:top w:val="single" w:sz="4" w:space="0" w:color="auto"/>
              <w:left w:val="single" w:sz="4" w:space="0" w:color="auto"/>
              <w:bottom w:val="single" w:sz="4" w:space="0" w:color="000000"/>
              <w:right w:val="single" w:sz="4" w:space="0" w:color="auto"/>
            </w:tcBorders>
            <w:vAlign w:val="center"/>
            <w:hideMark/>
          </w:tcPr>
          <w:p w:rsidR="00746DD6" w14:paraId="17E989B1" w14:textId="77777777">
            <w:pPr>
              <w:rPr>
                <w:color w:val="000000"/>
                <w:sz w:val="22"/>
                <w:szCs w:val="22"/>
              </w:rPr>
            </w:pPr>
          </w:p>
        </w:tc>
        <w:tc>
          <w:tcPr>
            <w:tcW w:w="1470" w:type="dxa"/>
            <w:vMerge/>
            <w:tcBorders>
              <w:top w:val="single" w:sz="4" w:space="0" w:color="auto"/>
              <w:left w:val="single" w:sz="4" w:space="0" w:color="auto"/>
              <w:bottom w:val="single" w:sz="4" w:space="0" w:color="000000"/>
              <w:right w:val="single" w:sz="4" w:space="0" w:color="auto"/>
            </w:tcBorders>
            <w:vAlign w:val="center"/>
            <w:hideMark/>
          </w:tcPr>
          <w:p w:rsidR="00746DD6" w14:paraId="7553FCC0" w14:textId="77777777">
            <w:pPr>
              <w:rPr>
                <w:color w:val="000000"/>
                <w:sz w:val="22"/>
                <w:szCs w:val="22"/>
              </w:rPr>
            </w:pPr>
          </w:p>
        </w:tc>
        <w:tc>
          <w:tcPr>
            <w:tcW w:w="1365" w:type="dxa"/>
            <w:vMerge/>
            <w:tcBorders>
              <w:top w:val="single" w:sz="4" w:space="0" w:color="auto"/>
              <w:left w:val="single" w:sz="4" w:space="0" w:color="auto"/>
              <w:bottom w:val="single" w:sz="4" w:space="0" w:color="000000"/>
              <w:right w:val="single" w:sz="4" w:space="0" w:color="auto"/>
            </w:tcBorders>
            <w:vAlign w:val="center"/>
            <w:hideMark/>
          </w:tcPr>
          <w:p w:rsidR="00746DD6" w14:paraId="32144D75" w14:textId="77777777">
            <w:pPr>
              <w:rPr>
                <w:color w:val="000000"/>
                <w:sz w:val="22"/>
                <w:szCs w:val="22"/>
              </w:rPr>
            </w:pPr>
          </w:p>
        </w:tc>
        <w:tc>
          <w:tcPr>
            <w:tcW w:w="1409" w:type="dxa"/>
            <w:vMerge/>
            <w:tcBorders>
              <w:top w:val="single" w:sz="4" w:space="0" w:color="auto"/>
              <w:left w:val="single" w:sz="4" w:space="0" w:color="auto"/>
              <w:bottom w:val="single" w:sz="4" w:space="0" w:color="000000"/>
              <w:right w:val="single" w:sz="4" w:space="0" w:color="auto"/>
            </w:tcBorders>
            <w:vAlign w:val="center"/>
            <w:hideMark/>
          </w:tcPr>
          <w:p w:rsidR="00746DD6" w14:paraId="4FEC5725" w14:textId="77777777">
            <w:pPr>
              <w:rPr>
                <w:color w:val="000000"/>
                <w:sz w:val="22"/>
                <w:szCs w:val="22"/>
              </w:rPr>
            </w:pPr>
          </w:p>
        </w:tc>
      </w:tr>
      <w:tr w14:paraId="02A085D2" w14:textId="77777777" w:rsidTr="00A97499">
        <w:tblPrEx>
          <w:tblW w:w="9290" w:type="dxa"/>
          <w:jc w:val="center"/>
          <w:tblLook w:val="04A0"/>
        </w:tblPrEx>
        <w:trPr>
          <w:trHeight w:val="300"/>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746DD6" w14:paraId="34083217" w14:textId="77777777">
            <w:pPr>
              <w:rPr>
                <w:color w:val="000000"/>
                <w:sz w:val="22"/>
                <w:szCs w:val="22"/>
              </w:rPr>
            </w:pPr>
            <w:r>
              <w:rPr>
                <w:color w:val="000000"/>
                <w:sz w:val="22"/>
                <w:szCs w:val="22"/>
              </w:rPr>
              <w:t>Ārstniecības iestādes</w:t>
            </w:r>
          </w:p>
        </w:tc>
        <w:tc>
          <w:tcPr>
            <w:tcW w:w="1365" w:type="dxa"/>
            <w:tcBorders>
              <w:top w:val="nil"/>
              <w:left w:val="nil"/>
              <w:bottom w:val="single" w:sz="4" w:space="0" w:color="auto"/>
              <w:right w:val="single" w:sz="4" w:space="0" w:color="auto"/>
            </w:tcBorders>
            <w:shd w:val="clear" w:color="auto" w:fill="auto"/>
            <w:noWrap/>
            <w:vAlign w:val="bottom"/>
            <w:hideMark/>
          </w:tcPr>
          <w:p w:rsidR="00746DD6" w:rsidP="006A07A3" w14:paraId="39767406" w14:textId="77777777">
            <w:pPr>
              <w:jc w:val="center"/>
              <w:rPr>
                <w:sz w:val="22"/>
                <w:szCs w:val="22"/>
              </w:rPr>
            </w:pPr>
            <w:r>
              <w:rPr>
                <w:sz w:val="22"/>
                <w:szCs w:val="22"/>
              </w:rPr>
              <w:t>203</w:t>
            </w:r>
          </w:p>
        </w:tc>
        <w:tc>
          <w:tcPr>
            <w:tcW w:w="1470" w:type="dxa"/>
            <w:tcBorders>
              <w:top w:val="nil"/>
              <w:left w:val="nil"/>
              <w:bottom w:val="single" w:sz="4" w:space="0" w:color="auto"/>
              <w:right w:val="single" w:sz="4" w:space="0" w:color="auto"/>
            </w:tcBorders>
            <w:shd w:val="clear" w:color="auto" w:fill="auto"/>
            <w:noWrap/>
            <w:vAlign w:val="bottom"/>
            <w:hideMark/>
          </w:tcPr>
          <w:p w:rsidR="00746DD6" w:rsidP="006A07A3" w14:paraId="104DD197" w14:textId="30041A44">
            <w:pPr>
              <w:jc w:val="center"/>
              <w:rPr>
                <w:color w:val="000000"/>
                <w:sz w:val="22"/>
                <w:szCs w:val="22"/>
              </w:rPr>
            </w:pPr>
            <w:r>
              <w:rPr>
                <w:color w:val="000000"/>
                <w:sz w:val="22"/>
                <w:szCs w:val="22"/>
              </w:rPr>
              <w:t>5 462 883</w:t>
            </w:r>
          </w:p>
        </w:tc>
        <w:tc>
          <w:tcPr>
            <w:tcW w:w="1365" w:type="dxa"/>
            <w:tcBorders>
              <w:top w:val="nil"/>
              <w:left w:val="nil"/>
              <w:bottom w:val="single" w:sz="4" w:space="0" w:color="auto"/>
              <w:right w:val="single" w:sz="4" w:space="0" w:color="auto"/>
            </w:tcBorders>
            <w:shd w:val="clear" w:color="auto" w:fill="auto"/>
            <w:noWrap/>
            <w:vAlign w:val="bottom"/>
            <w:hideMark/>
          </w:tcPr>
          <w:p w:rsidR="00746DD6" w:rsidP="006A07A3" w14:paraId="146E454E" w14:textId="2BEF9516">
            <w:pPr>
              <w:jc w:val="center"/>
              <w:rPr>
                <w:color w:val="000000"/>
                <w:sz w:val="22"/>
                <w:szCs w:val="22"/>
              </w:rPr>
            </w:pPr>
            <w:r>
              <w:rPr>
                <w:color w:val="000000"/>
                <w:sz w:val="22"/>
                <w:szCs w:val="22"/>
              </w:rPr>
              <w:t>40</w:t>
            </w:r>
            <w:r w:rsidR="00A33106">
              <w:rPr>
                <w:color w:val="000000"/>
                <w:sz w:val="22"/>
                <w:szCs w:val="22"/>
              </w:rPr>
              <w:t>0</w:t>
            </w:r>
          </w:p>
        </w:tc>
        <w:tc>
          <w:tcPr>
            <w:tcW w:w="1409" w:type="dxa"/>
            <w:tcBorders>
              <w:top w:val="nil"/>
              <w:left w:val="nil"/>
              <w:bottom w:val="single" w:sz="4" w:space="0" w:color="auto"/>
              <w:right w:val="single" w:sz="4" w:space="0" w:color="auto"/>
            </w:tcBorders>
            <w:shd w:val="clear" w:color="auto" w:fill="auto"/>
            <w:noWrap/>
            <w:vAlign w:val="bottom"/>
            <w:hideMark/>
          </w:tcPr>
          <w:p w:rsidR="00746DD6" w:rsidP="006A07A3" w14:paraId="656584B2" w14:textId="21372BB6">
            <w:pPr>
              <w:jc w:val="center"/>
              <w:rPr>
                <w:color w:val="000000"/>
                <w:sz w:val="22"/>
                <w:szCs w:val="22"/>
              </w:rPr>
            </w:pPr>
            <w:r>
              <w:rPr>
                <w:color w:val="000000"/>
                <w:sz w:val="22"/>
                <w:szCs w:val="22"/>
              </w:rPr>
              <w:t>5 462 883</w:t>
            </w:r>
          </w:p>
        </w:tc>
      </w:tr>
    </w:tbl>
    <w:p w:rsidR="00746DD6" w:rsidRPr="009C4BBD" w:rsidP="00746DD6" w14:paraId="33C84497" w14:textId="77777777">
      <w:pPr>
        <w:autoSpaceDE w:val="0"/>
        <w:autoSpaceDN w:val="0"/>
        <w:adjustRightInd w:val="0"/>
        <w:spacing w:line="293" w:lineRule="atLeast"/>
        <w:rPr>
          <w:u w:val="single"/>
          <w:lang w:bidi="lo-LA"/>
        </w:rPr>
      </w:pPr>
    </w:p>
    <w:p w:rsidR="00746DD6" w:rsidRPr="00212EB5" w:rsidP="009B5CDC" w14:paraId="46BC8B13" w14:textId="75CC5A43">
      <w:pPr>
        <w:autoSpaceDE w:val="0"/>
        <w:autoSpaceDN w:val="0"/>
        <w:adjustRightInd w:val="0"/>
        <w:spacing w:line="293" w:lineRule="atLeast"/>
        <w:ind w:firstLine="720"/>
        <w:jc w:val="both"/>
      </w:pPr>
      <w:r w:rsidRPr="00212EB5">
        <w:t>Atbilstoši 2017.gada faktiskajai izpildei</w:t>
      </w:r>
      <w:r w:rsidR="00570FF2">
        <w:t>,</w:t>
      </w:r>
      <w:r w:rsidRPr="00212EB5">
        <w:t xml:space="preserve"> </w:t>
      </w:r>
      <w:r w:rsidR="00570FF2">
        <w:t xml:space="preserve">nodrošinājums ar jaunās paaudzes medikamentiem un atbilstoša ārstēšana </w:t>
      </w:r>
      <w:r w:rsidRPr="00746DD6" w:rsidR="00570FF2">
        <w:t>VHC pacientiem F3-F4 stadijā</w:t>
      </w:r>
      <w:r w:rsidR="00570FF2">
        <w:t xml:space="preserve"> </w:t>
      </w:r>
      <w:r w:rsidR="006A07A3">
        <w:t>īstenot</w:t>
      </w:r>
      <w:r w:rsidR="00570FF2">
        <w:t>a</w:t>
      </w:r>
      <w:r w:rsidR="006A07A3">
        <w:t xml:space="preserve"> </w:t>
      </w:r>
      <w:r w:rsidR="00072B12">
        <w:t>1</w:t>
      </w:r>
      <w:r w:rsidR="0051411A">
        <w:t>97</w:t>
      </w:r>
      <w:r w:rsidRPr="00212EB5">
        <w:t xml:space="preserve"> % apmērā no gada plānotā </w:t>
      </w:r>
      <w:r w:rsidR="006A07A3">
        <w:t xml:space="preserve">pieejamības </w:t>
      </w:r>
      <w:r w:rsidRPr="00212EB5">
        <w:t xml:space="preserve">pieauguma </w:t>
      </w:r>
      <w:r>
        <w:t>apjoma</w:t>
      </w:r>
      <w:r w:rsidR="006C2BDD">
        <w:t>. M</w:t>
      </w:r>
      <w:r>
        <w:t>inēt</w:t>
      </w:r>
      <w:r w:rsidR="00570FF2">
        <w:t>ais</w:t>
      </w:r>
      <w:r>
        <w:t xml:space="preserve"> pieaugum</w:t>
      </w:r>
      <w:r w:rsidR="00570FF2">
        <w:t>s</w:t>
      </w:r>
      <w:r>
        <w:t xml:space="preserve"> nodrošin</w:t>
      </w:r>
      <w:r w:rsidR="00570FF2">
        <w:t>āts</w:t>
      </w:r>
      <w:r>
        <w:t xml:space="preserve"> </w:t>
      </w:r>
      <w:r w:rsidRPr="00212EB5">
        <w:t xml:space="preserve">no </w:t>
      </w:r>
      <w:r w:rsidR="00E17D1F">
        <w:t xml:space="preserve">2017.gada </w:t>
      </w:r>
      <w:r w:rsidRPr="00212EB5">
        <w:t xml:space="preserve">marta līdz </w:t>
      </w:r>
      <w:r w:rsidR="00072B12">
        <w:t>decembrim</w:t>
      </w:r>
      <w:r w:rsidRPr="00212EB5">
        <w:t xml:space="preserve">. </w:t>
      </w:r>
    </w:p>
    <w:p w:rsidR="00746DD6" w:rsidP="0062591B" w14:paraId="4A304273" w14:textId="0AD8E227">
      <w:pPr>
        <w:autoSpaceDE w:val="0"/>
        <w:autoSpaceDN w:val="0"/>
        <w:adjustRightInd w:val="0"/>
        <w:spacing w:line="293" w:lineRule="atLeast"/>
        <w:ind w:firstLine="720"/>
        <w:jc w:val="both"/>
      </w:pPr>
      <w:r w:rsidRPr="00212EB5">
        <w:t>Līdz ar minēto</w:t>
      </w:r>
      <w:r w:rsidR="006A07A3">
        <w:t xml:space="preserve">, ievērojot finanšu līdzekļu izlietojumu </w:t>
      </w:r>
      <w:r w:rsidRPr="00212EB5">
        <w:t xml:space="preserve">laika periodā no </w:t>
      </w:r>
      <w:r w:rsidRPr="00212EB5">
        <w:t>š,g</w:t>
      </w:r>
      <w:r w:rsidRPr="00212EB5">
        <w:t xml:space="preserve">. 1.jūlija līdz 31.decembrim </w:t>
      </w:r>
      <w:r w:rsidR="001A19E3">
        <w:t>ir rasta iespēja</w:t>
      </w:r>
      <w:r w:rsidR="006A07A3">
        <w:t xml:space="preserve"> palielināt pacientu pieejamību kompensējamiem medikamentiem virs sākotnēji </w:t>
      </w:r>
      <w:r w:rsidRPr="002B089F" w:rsidR="006A07A3">
        <w:t xml:space="preserve">ieplānotā apjoma, attiecīgi īstenojot finanšu līdzekļu </w:t>
      </w:r>
      <w:r w:rsidR="00570FF2">
        <w:t>izlietojumu</w:t>
      </w:r>
      <w:r w:rsidRPr="002B089F" w:rsidR="00570FF2">
        <w:t xml:space="preserve"> </w:t>
      </w:r>
      <w:r w:rsidRPr="002B089F" w:rsidR="006A07A3">
        <w:t xml:space="preserve">pilnā apmērā atbilstoši </w:t>
      </w:r>
      <w:r w:rsidRPr="002B089F" w:rsidR="00B61C0C">
        <w:t>noteiktajam mērķim.</w:t>
      </w:r>
      <w:r w:rsidRPr="002B089F" w:rsidR="006A07A3">
        <w:t xml:space="preserve"> </w:t>
      </w:r>
    </w:p>
    <w:p w:rsidR="00457481" w:rsidRPr="00457481" w:rsidP="00457481" w14:paraId="17F40E28" w14:textId="5101B519">
      <w:pPr>
        <w:ind w:firstLine="567"/>
        <w:jc w:val="both"/>
      </w:pPr>
      <w:r w:rsidRPr="00457481">
        <w:t>Veselības reformas pasā</w:t>
      </w:r>
      <w:r w:rsidR="00D152B8">
        <w:t>kumu ietvarā 2017.gadā valsts zā</w:t>
      </w:r>
      <w:r w:rsidRPr="00457481">
        <w:t>ļu kompensācijas sistēmas ietvarā ambulatorajai ārstēšanai nepieciešamās zāles papildus saņēma 400 personas  ar C hepatītu – lielākā daļa no šīm personām ir ar 2017.gadā pirmreizēji reģistrētu C hepatītu, kā arī 2016. gadā fiksētie pacienti F3-F4 stadijā,  kas saņēma tiešās darbības pretvīrusu preparātus</w:t>
      </w:r>
      <w:r w:rsidR="006F213A">
        <w:t>.</w:t>
      </w:r>
    </w:p>
    <w:p w:rsidR="00457481" w:rsidRPr="00457481" w:rsidP="00457481" w14:paraId="6B13FF4F" w14:textId="7B064F27">
      <w:pPr>
        <w:autoSpaceDE w:val="0"/>
        <w:autoSpaceDN w:val="0"/>
        <w:adjustRightInd w:val="0"/>
        <w:spacing w:line="293" w:lineRule="atLeast"/>
        <w:ind w:firstLine="720"/>
        <w:jc w:val="both"/>
        <w:rPr>
          <w:color w:val="FF0000"/>
        </w:rPr>
      </w:pPr>
      <w:r>
        <w:t xml:space="preserve">2017.gadā </w:t>
      </w:r>
      <w:r w:rsidRPr="00457481">
        <w:t xml:space="preserve">395 personas ir pabeigušas ārstēšanas kursu un uzsākušas dinamisko novērošanu. Saskaņā ar Eiropas </w:t>
      </w:r>
      <w:r w:rsidRPr="00457481">
        <w:t>hepatologu</w:t>
      </w:r>
      <w:r w:rsidRPr="00457481">
        <w:t xml:space="preserve"> asociācijas vadlīnijām</w:t>
      </w:r>
      <w:r>
        <w:rPr>
          <w:rStyle w:val="FootnoteReference"/>
        </w:rPr>
        <w:footnoteReference w:id="6"/>
      </w:r>
      <w:r w:rsidRPr="00457481">
        <w:t xml:space="preserve"> un zāļu lietošanas instrukcijām atkarībā no zāļu shēmas dinamisko novērošanu uzsāk nekavējoties pēc ārstēšanas kursa uzsākšanas un turpina 3 mēnešus, 6 mēnešus un 12 mēnešus pēc ārstēšanas pabeigšanas.  Objektīvi par tiešā darbība pretvīrusu zāļu efektivitāti liecina dinamiskās novērošanas rezultāti pēc 3 mēnešiem. Kopumā 3 mēnešu dinamisko novērošanu ir pabeigušas 217 personas un 88% no ārstēšanu saņēmušajiem ir atbrīvoti no C hepatīta vīrusa. Tajā skaitā 3 mēnešu dinamisko novērošanu ir pabeigušas 143 personas, kas saņēma tiešās darbības pretvīrusu preparātus, un 140 personas ir atbrīvotas no vīrusa, kas liecina, ka ārstēšanas efektivitāte ir 98%, kas atbilst 2016.gadā novērotajai C hepatīta ārstēšanas no valsts budžeta līdzekļiem apmaksāto zāļu efektivitātei, tādēļ varam secināt, ka pabeidzot dinamisko novērošanu personām, kas C hepatīta ārstēšanu uzsāka 2017.gadā ar tiešās darbības pretvīrusa preparātiem ārstēšanas efektivitāte būs ap 98%</w:t>
      </w:r>
      <w:r>
        <w:t>.</w:t>
      </w:r>
    </w:p>
    <w:p w:rsidR="00751686" w:rsidRPr="004F44A7" w:rsidP="0062591B" w14:paraId="21BBF86D" w14:textId="5853C8F1">
      <w:pPr>
        <w:widowControl w:val="0"/>
        <w:ind w:firstLine="709"/>
        <w:jc w:val="both"/>
        <w:rPr>
          <w:rFonts w:eastAsia="Calibri"/>
        </w:rPr>
      </w:pPr>
      <w:r>
        <w:rPr>
          <w:rFonts w:eastAsia="Calibri"/>
        </w:rPr>
        <w:t xml:space="preserve">Tāpat vēršam uzmanību, ka 2008. gadā veiktais </w:t>
      </w:r>
      <w:r>
        <w:rPr>
          <w:rFonts w:eastAsia="Calibri"/>
        </w:rPr>
        <w:t>prevalences</w:t>
      </w:r>
      <w:r>
        <w:rPr>
          <w:rFonts w:eastAsia="Calibri"/>
        </w:rPr>
        <w:t xml:space="preserve"> pētījums par</w:t>
      </w:r>
      <w:r w:rsidR="00570FF2">
        <w:rPr>
          <w:rFonts w:eastAsia="Calibri"/>
        </w:rPr>
        <w:t xml:space="preserve"> VHC</w:t>
      </w:r>
      <w:r>
        <w:rPr>
          <w:rFonts w:eastAsia="Calibri"/>
        </w:rPr>
        <w:t xml:space="preserve"> izplatību</w:t>
      </w:r>
      <w:r w:rsidRPr="00474B99">
        <w:rPr>
          <w:rFonts w:eastAsia="Calibri"/>
        </w:rPr>
        <w:t xml:space="preserve"> </w:t>
      </w:r>
      <w:r>
        <w:rPr>
          <w:rFonts w:eastAsia="Calibri"/>
        </w:rPr>
        <w:t>Latvijā</w:t>
      </w:r>
      <w:r>
        <w:rPr>
          <w:rStyle w:val="FootnoteReference"/>
          <w:rFonts w:eastAsia="Calibri"/>
        </w:rPr>
        <w:footnoteReference w:id="7"/>
      </w:r>
      <w:r>
        <w:rPr>
          <w:rFonts w:eastAsia="Calibri"/>
        </w:rPr>
        <w:t xml:space="preserve"> liecina, ka 2,4 % pieaugušo iedzīvotāju ir bijuši anti-</w:t>
      </w:r>
      <w:r w:rsidR="00570FF2">
        <w:rPr>
          <w:rFonts w:eastAsia="Calibri"/>
        </w:rPr>
        <w:t>VHC</w:t>
      </w:r>
      <w:r>
        <w:rPr>
          <w:rFonts w:eastAsia="Calibri"/>
        </w:rPr>
        <w:t xml:space="preserve"> pozitīvi un 1,7% iedzīvotāju ir bijuši </w:t>
      </w:r>
      <w:r w:rsidR="00570FF2">
        <w:rPr>
          <w:rFonts w:eastAsia="Calibri"/>
        </w:rPr>
        <w:t>VHC</w:t>
      </w:r>
      <w:r>
        <w:rPr>
          <w:rFonts w:eastAsia="Calibri"/>
        </w:rPr>
        <w:t xml:space="preserve">-RNS pozitīvi. </w:t>
      </w:r>
      <w:r w:rsidRPr="00211CAD">
        <w:rPr>
          <w:rFonts w:eastAsia="Calibri"/>
        </w:rPr>
        <w:t>Attiecinot pētījuma rezultātus uz pašreizējo Latvijas populāciju</w:t>
      </w:r>
      <w:r>
        <w:rPr>
          <w:rFonts w:eastAsia="Calibri"/>
        </w:rPr>
        <w:t>,</w:t>
      </w:r>
      <w:r w:rsidRPr="00211CAD">
        <w:rPr>
          <w:rFonts w:eastAsia="Calibri"/>
        </w:rPr>
        <w:t xml:space="preserve"> var secināt, ka vismaz 38</w:t>
      </w:r>
      <w:r>
        <w:rPr>
          <w:rFonts w:eastAsia="Calibri"/>
        </w:rPr>
        <w:t xml:space="preserve"> </w:t>
      </w:r>
      <w:r w:rsidRPr="00211CAD">
        <w:rPr>
          <w:rFonts w:eastAsia="Calibri"/>
        </w:rPr>
        <w:t>000 pieaugušo savā dzīvē sastapušies ar C hepatīta vīrusu, par</w:t>
      </w:r>
      <w:r>
        <w:rPr>
          <w:rFonts w:eastAsia="Calibri"/>
        </w:rPr>
        <w:t xml:space="preserve"> ko liecina antivielu </w:t>
      </w:r>
      <w:r w:rsidRPr="004F44A7">
        <w:rPr>
          <w:rFonts w:eastAsia="Calibri"/>
        </w:rPr>
        <w:t>klātbūtne un 27</w:t>
      </w:r>
      <w:r>
        <w:rPr>
          <w:rFonts w:eastAsia="Calibri"/>
        </w:rPr>
        <w:t xml:space="preserve"> </w:t>
      </w:r>
      <w:r w:rsidRPr="004F44A7">
        <w:rPr>
          <w:rFonts w:eastAsia="Calibri"/>
        </w:rPr>
        <w:t>000 pieauguš</w:t>
      </w:r>
      <w:r>
        <w:rPr>
          <w:rFonts w:eastAsia="Calibri"/>
        </w:rPr>
        <w:t>ajiem</w:t>
      </w:r>
      <w:r w:rsidRPr="004F44A7">
        <w:rPr>
          <w:rFonts w:eastAsia="Calibri"/>
        </w:rPr>
        <w:t xml:space="preserve"> organismā joprojām ir bijis C hepatīta vīruss (hroniska infekcija).</w:t>
      </w:r>
      <w:r w:rsidRPr="004F44A7">
        <w:t xml:space="preserve"> </w:t>
      </w:r>
      <w:r w:rsidRPr="004F44A7">
        <w:rPr>
          <w:rFonts w:eastAsia="Calibri"/>
        </w:rPr>
        <w:t>Laik</w:t>
      </w:r>
      <w:r>
        <w:rPr>
          <w:rFonts w:eastAsia="Calibri"/>
        </w:rPr>
        <w:t>a</w:t>
      </w:r>
      <w:r w:rsidRPr="004F44A7">
        <w:rPr>
          <w:rFonts w:eastAsia="Calibri"/>
        </w:rPr>
        <w:t xml:space="preserve"> posmā no 2007. gada </w:t>
      </w:r>
      <w:r>
        <w:rPr>
          <w:rFonts w:eastAsia="Calibri"/>
        </w:rPr>
        <w:t xml:space="preserve">līdz šim </w:t>
      </w:r>
      <w:r w:rsidR="00570FF2">
        <w:rPr>
          <w:rFonts w:eastAsia="Calibri"/>
        </w:rPr>
        <w:t xml:space="preserve">Slimību profilakses un kontroles centra datu bāzē </w:t>
      </w:r>
      <w:r w:rsidRPr="004F44A7">
        <w:rPr>
          <w:rFonts w:eastAsia="Calibri"/>
        </w:rPr>
        <w:t xml:space="preserve"> tika reģistrēti 15 500 </w:t>
      </w:r>
      <w:r w:rsidR="00570FF2">
        <w:rPr>
          <w:rFonts w:eastAsia="Calibri"/>
        </w:rPr>
        <w:t>VHC</w:t>
      </w:r>
      <w:r w:rsidRPr="004F44A7">
        <w:rPr>
          <w:rFonts w:eastAsia="Calibri"/>
        </w:rPr>
        <w:t xml:space="preserve"> gadījumi, kas veido </w:t>
      </w:r>
      <w:r>
        <w:rPr>
          <w:rFonts w:eastAsia="Calibri"/>
        </w:rPr>
        <w:t xml:space="preserve">nedaudz vairāk kā </w:t>
      </w:r>
      <w:r w:rsidRPr="004F44A7">
        <w:rPr>
          <w:rFonts w:eastAsia="Calibri"/>
        </w:rPr>
        <w:t xml:space="preserve">pusi no </w:t>
      </w:r>
      <w:r>
        <w:rPr>
          <w:rFonts w:eastAsia="Calibri"/>
        </w:rPr>
        <w:t xml:space="preserve">iespējamā (matemātiski aprēķinātā) </w:t>
      </w:r>
      <w:r w:rsidRPr="004F44A7">
        <w:rPr>
          <w:rFonts w:eastAsia="Calibri"/>
        </w:rPr>
        <w:t>kopējā inficēto pacientu skaita valstī.</w:t>
      </w:r>
    </w:p>
    <w:p w:rsidR="00751686" w:rsidP="0062591B" w14:paraId="7E6B53D2" w14:textId="109D5677">
      <w:pPr>
        <w:autoSpaceDE w:val="0"/>
        <w:autoSpaceDN w:val="0"/>
        <w:adjustRightInd w:val="0"/>
        <w:spacing w:line="293" w:lineRule="atLeast"/>
        <w:ind w:firstLine="720"/>
        <w:jc w:val="both"/>
        <w:rPr>
          <w:rFonts w:eastAsia="Calibri"/>
        </w:rPr>
      </w:pPr>
      <w:r>
        <w:rPr>
          <w:rFonts w:eastAsia="Calibri"/>
        </w:rPr>
        <w:t xml:space="preserve">Pēdējos </w:t>
      </w:r>
      <w:r w:rsidRPr="004F44A7">
        <w:rPr>
          <w:rFonts w:eastAsia="Calibri"/>
        </w:rPr>
        <w:t xml:space="preserve">gados jaunatklāto hroniska </w:t>
      </w:r>
      <w:r w:rsidR="002D6520">
        <w:rPr>
          <w:rFonts w:eastAsia="Calibri"/>
        </w:rPr>
        <w:t>VHC</w:t>
      </w:r>
      <w:r w:rsidRPr="004F44A7">
        <w:rPr>
          <w:rFonts w:eastAsia="Calibri"/>
        </w:rPr>
        <w:t xml:space="preserve"> gadījumu skaits pieaug (no 1221 gadījuma 2013. gadā līdz </w:t>
      </w:r>
      <w:r w:rsidR="00177DE1">
        <w:rPr>
          <w:rFonts w:eastAsia="Calibri"/>
        </w:rPr>
        <w:t>1860</w:t>
      </w:r>
      <w:r w:rsidRPr="004F44A7" w:rsidR="00177DE1">
        <w:rPr>
          <w:rFonts w:eastAsia="Calibri"/>
        </w:rPr>
        <w:t xml:space="preserve"> </w:t>
      </w:r>
      <w:r w:rsidRPr="004F44A7">
        <w:rPr>
          <w:rFonts w:eastAsia="Calibri"/>
        </w:rPr>
        <w:t xml:space="preserve">gadījumiem </w:t>
      </w:r>
      <w:r w:rsidRPr="004F44A7" w:rsidR="00177DE1">
        <w:rPr>
          <w:rFonts w:eastAsia="Calibri"/>
        </w:rPr>
        <w:t>201</w:t>
      </w:r>
      <w:r w:rsidR="00177DE1">
        <w:rPr>
          <w:rFonts w:eastAsia="Calibri"/>
        </w:rPr>
        <w:t>7</w:t>
      </w:r>
      <w:r w:rsidRPr="004F44A7">
        <w:rPr>
          <w:rFonts w:eastAsia="Calibri"/>
        </w:rPr>
        <w:t>. gadā) un š</w:t>
      </w:r>
      <w:r>
        <w:rPr>
          <w:rFonts w:eastAsia="Calibri"/>
        </w:rPr>
        <w:t>i</w:t>
      </w:r>
      <w:r w:rsidRPr="004F44A7">
        <w:rPr>
          <w:rFonts w:eastAsia="Calibri"/>
        </w:rPr>
        <w:t>s skaits ievērojami pā</w:t>
      </w:r>
      <w:r>
        <w:rPr>
          <w:rFonts w:eastAsia="Calibri"/>
        </w:rPr>
        <w:t>rsniedz ārstēto pacientu skaitu.</w:t>
      </w:r>
      <w:r w:rsidRPr="004F44A7">
        <w:rPr>
          <w:rFonts w:eastAsia="Calibri"/>
        </w:rPr>
        <w:t xml:space="preserve"> Šis pieaugums </w:t>
      </w:r>
      <w:r>
        <w:rPr>
          <w:rFonts w:eastAsia="Calibri"/>
        </w:rPr>
        <w:t xml:space="preserve">galvenokārt </w:t>
      </w:r>
      <w:r w:rsidRPr="004F44A7">
        <w:rPr>
          <w:rFonts w:eastAsia="Calibri"/>
        </w:rPr>
        <w:t xml:space="preserve">ir saistīts ar </w:t>
      </w:r>
      <w:r w:rsidR="002D6520">
        <w:rPr>
          <w:rFonts w:eastAsia="Calibri"/>
        </w:rPr>
        <w:t>VHC</w:t>
      </w:r>
      <w:r>
        <w:rPr>
          <w:rFonts w:eastAsia="Calibri"/>
        </w:rPr>
        <w:t xml:space="preserve"> </w:t>
      </w:r>
      <w:r w:rsidRPr="004F44A7">
        <w:rPr>
          <w:rFonts w:eastAsia="Calibri"/>
        </w:rPr>
        <w:t>problēmas aktualizāciju</w:t>
      </w:r>
      <w:r>
        <w:rPr>
          <w:rFonts w:eastAsia="Calibri"/>
        </w:rPr>
        <w:t>,</w:t>
      </w:r>
      <w:r w:rsidRPr="004F44A7">
        <w:rPr>
          <w:rFonts w:eastAsia="Calibri"/>
        </w:rPr>
        <w:t xml:space="preserve"> valsts apmaksātās ārstēšanas</w:t>
      </w:r>
      <w:r>
        <w:rPr>
          <w:rFonts w:eastAsia="Calibri"/>
        </w:rPr>
        <w:t xml:space="preserve"> </w:t>
      </w:r>
      <w:r w:rsidRPr="004F44A7">
        <w:rPr>
          <w:rFonts w:eastAsia="Calibri"/>
        </w:rPr>
        <w:t>un diagnostikas pieejamības uzlabošanu</w:t>
      </w:r>
      <w:r>
        <w:rPr>
          <w:rFonts w:eastAsia="Calibri"/>
        </w:rPr>
        <w:t>, un</w:t>
      </w:r>
      <w:r w:rsidRPr="004F44A7">
        <w:rPr>
          <w:rFonts w:eastAsia="Calibri"/>
        </w:rPr>
        <w:t xml:space="preserve"> </w:t>
      </w:r>
      <w:r>
        <w:rPr>
          <w:rFonts w:eastAsia="Calibri"/>
        </w:rPr>
        <w:t xml:space="preserve">līdz ar to </w:t>
      </w:r>
      <w:r w:rsidRPr="004F44A7">
        <w:rPr>
          <w:rFonts w:eastAsia="Calibri"/>
        </w:rPr>
        <w:t xml:space="preserve">lielāku iedzīvotāju ieinteresētību </w:t>
      </w:r>
      <w:r>
        <w:rPr>
          <w:rFonts w:eastAsia="Calibri"/>
        </w:rPr>
        <w:t>pārbaudīt</w:t>
      </w:r>
      <w:r w:rsidRPr="004F44A7">
        <w:rPr>
          <w:rFonts w:eastAsia="Calibri"/>
        </w:rPr>
        <w:t xml:space="preserve"> savu </w:t>
      </w:r>
      <w:r w:rsidR="002D6520">
        <w:rPr>
          <w:rFonts w:eastAsia="Calibri"/>
        </w:rPr>
        <w:t>VHC</w:t>
      </w:r>
      <w:r w:rsidRPr="004F44A7">
        <w:rPr>
          <w:rFonts w:eastAsia="Calibri"/>
        </w:rPr>
        <w:t xml:space="preserve"> statusu</w:t>
      </w:r>
      <w:r>
        <w:rPr>
          <w:rFonts w:eastAsia="Calibri"/>
        </w:rPr>
        <w:t>. K</w:t>
      </w:r>
      <w:r w:rsidRPr="004F44A7">
        <w:rPr>
          <w:rFonts w:eastAsia="Calibri"/>
        </w:rPr>
        <w:t xml:space="preserve">opumā </w:t>
      </w:r>
      <w:r>
        <w:rPr>
          <w:rFonts w:eastAsia="Calibri"/>
        </w:rPr>
        <w:t>minētā tendence vērtējama pozitīvi, jo atbilst</w:t>
      </w:r>
      <w:r w:rsidRPr="004F44A7">
        <w:rPr>
          <w:rFonts w:eastAsia="Calibri"/>
        </w:rPr>
        <w:t xml:space="preserve"> </w:t>
      </w:r>
      <w:r w:rsidR="00177DE1">
        <w:rPr>
          <w:rFonts w:eastAsia="Calibri"/>
        </w:rPr>
        <w:t>Ilgtspējīgas attīstības mērķim līdz</w:t>
      </w:r>
      <w:r w:rsidRPr="004F44A7">
        <w:rPr>
          <w:rFonts w:eastAsia="Calibri"/>
        </w:rPr>
        <w:t xml:space="preserve"> 2030.</w:t>
      </w:r>
      <w:r w:rsidR="00177DE1">
        <w:rPr>
          <w:rFonts w:eastAsia="Calibri"/>
        </w:rPr>
        <w:t>gadam apkarot hepatītu. Kā liecina PVO, ja tiek nodrošināta atbilstoša hepat</w:t>
      </w:r>
      <w:r w:rsidR="00457AC2">
        <w:rPr>
          <w:rFonts w:eastAsia="Calibri"/>
        </w:rPr>
        <w:t>ī</w:t>
      </w:r>
      <w:r w:rsidR="00177DE1">
        <w:rPr>
          <w:rFonts w:eastAsia="Calibri"/>
        </w:rPr>
        <w:t>ta profilakse un ārstēšana,</w:t>
      </w:r>
      <w:r w:rsidRPr="004F44A7">
        <w:rPr>
          <w:rFonts w:eastAsia="Calibri"/>
        </w:rPr>
        <w:t xml:space="preserve"> </w:t>
      </w:r>
      <w:r w:rsidR="00CD5E7B">
        <w:rPr>
          <w:rFonts w:eastAsia="Calibri"/>
        </w:rPr>
        <w:t>jauno hroniska C hepatīta gadījumu skaitu</w:t>
      </w:r>
      <w:r w:rsidR="00177DE1">
        <w:rPr>
          <w:rFonts w:eastAsia="Calibri"/>
        </w:rPr>
        <w:t xml:space="preserve"> var samazināt</w:t>
      </w:r>
      <w:r w:rsidR="00CD5E7B">
        <w:rPr>
          <w:rFonts w:eastAsia="Calibri"/>
        </w:rPr>
        <w:t xml:space="preserve"> par</w:t>
      </w:r>
      <w:r w:rsidRPr="004F44A7">
        <w:rPr>
          <w:rFonts w:eastAsia="Calibri"/>
        </w:rPr>
        <w:t xml:space="preserve"> 90%</w:t>
      </w:r>
      <w:r w:rsidR="00CD5E7B">
        <w:rPr>
          <w:rFonts w:eastAsia="Calibri"/>
        </w:rPr>
        <w:t xml:space="preserve"> un samazināt mirstību par 65%</w:t>
      </w:r>
      <w:r w:rsidR="00177DE1">
        <w:rPr>
          <w:rFonts w:eastAsia="Calibri"/>
        </w:rPr>
        <w:t>.</w:t>
      </w:r>
      <w:r>
        <w:rPr>
          <w:rStyle w:val="FootnoteReference"/>
          <w:rFonts w:eastAsia="Calibri"/>
        </w:rPr>
        <w:footnoteReference w:id="8"/>
      </w:r>
      <w:r>
        <w:rPr>
          <w:rFonts w:eastAsia="Calibri"/>
        </w:rPr>
        <w:t xml:space="preserve"> </w:t>
      </w:r>
    </w:p>
    <w:p w:rsidR="006B592C" w:rsidRPr="007530BC" w:rsidP="0062591B" w14:paraId="4A1788A6" w14:textId="2698F0C9">
      <w:pPr>
        <w:autoSpaceDE w:val="0"/>
        <w:autoSpaceDN w:val="0"/>
        <w:adjustRightInd w:val="0"/>
        <w:spacing w:line="293" w:lineRule="atLeast"/>
        <w:ind w:firstLine="720"/>
        <w:jc w:val="both"/>
        <w:rPr>
          <w:rFonts w:eastAsia="Calibri"/>
        </w:rPr>
      </w:pPr>
      <w:r w:rsidRPr="00847710">
        <w:t xml:space="preserve">50% no VHC pacientiem ir F3-F4 stadijā, kas potenciāli ir darbnespējīgi iedzīvotāji. Tādējādi, veicot ārstēšanu F3-F4 stadijas pacientiem, tie tiek atgriezti darba tirgū, sniedzot ieguldījumu kopējā </w:t>
      </w:r>
      <w:r w:rsidR="00D330D7">
        <w:t xml:space="preserve">valsts tautsaimniecībā. </w:t>
      </w:r>
      <w:r w:rsidRPr="00847710">
        <w:t>VHC pacientu ārstēšanai</w:t>
      </w:r>
      <w:r w:rsidRPr="007530BC">
        <w:rPr>
          <w:bCs/>
        </w:rPr>
        <w:t xml:space="preserve"> </w:t>
      </w:r>
      <w:r w:rsidR="000D53EA">
        <w:rPr>
          <w:bCs/>
        </w:rPr>
        <w:t>tiks turpināta 2017.</w:t>
      </w:r>
      <w:r w:rsidRPr="007530BC">
        <w:rPr>
          <w:bCs/>
        </w:rPr>
        <w:t xml:space="preserve">gadā uzsāktā reforma ar jaunākās paaudzes ārstēšanu un laboratorisko diagnostiku nodrošinot to papildus </w:t>
      </w:r>
      <w:r w:rsidRPr="007530BC">
        <w:t>vēl</w:t>
      </w:r>
      <w:r w:rsidRPr="007530BC">
        <w:rPr>
          <w:bCs/>
        </w:rPr>
        <w:t xml:space="preserve"> 204 VHC pacientiem, </w:t>
      </w:r>
      <w:r w:rsidRPr="007530BC" w:rsidR="00177DE1">
        <w:rPr>
          <w:bCs/>
        </w:rPr>
        <w:t>tād</w:t>
      </w:r>
      <w:r w:rsidR="00457AC2">
        <w:rPr>
          <w:bCs/>
        </w:rPr>
        <w:t>e</w:t>
      </w:r>
      <w:r w:rsidRPr="007530BC" w:rsidR="00177DE1">
        <w:rPr>
          <w:bCs/>
        </w:rPr>
        <w:t xml:space="preserve">jādi </w:t>
      </w:r>
      <w:r w:rsidRPr="007530BC">
        <w:rPr>
          <w:bCs/>
        </w:rPr>
        <w:t>samazinot saslimšanas radītos epidemioloģiskos draudus valstī un pakāpeniski paplašinot pacientu aptveri uzsākot ārstēšanu jau F2 aknu bojājuma stadijā, kas nodrošina pamatā darbaspējīgā vecuma cilvēku pilnīgu izveseļošanos un atgriešanos sabiedrībā un darba tirgū.</w:t>
      </w:r>
      <w:r w:rsidR="00177DE1">
        <w:rPr>
          <w:bCs/>
        </w:rPr>
        <w:t xml:space="preserve"> Vienlaicīgi palielinot no C hepatīta vīrusa atbrīvoto cilvēku skaitu, tiek samazināti inficēšanās riski citiem sabiedrības locekļiem un i</w:t>
      </w:r>
      <w:r w:rsidR="00C46E10">
        <w:rPr>
          <w:bCs/>
        </w:rPr>
        <w:t>erobežota infekcijas izplatība.</w:t>
      </w:r>
    </w:p>
    <w:p w:rsidR="004C62DC" w:rsidP="0062591B" w14:paraId="22366F46" w14:textId="77777777">
      <w:pPr>
        <w:autoSpaceDE w:val="0"/>
        <w:autoSpaceDN w:val="0"/>
        <w:adjustRightInd w:val="0"/>
        <w:spacing w:line="293" w:lineRule="atLeast"/>
        <w:ind w:firstLine="720"/>
        <w:jc w:val="both"/>
      </w:pPr>
    </w:p>
    <w:p w:rsidR="00503B59" w:rsidRPr="00503B59" w:rsidP="00D6632E" w14:paraId="305F47D3" w14:textId="77777777">
      <w:pPr>
        <w:pStyle w:val="Heading1"/>
        <w:numPr>
          <w:ilvl w:val="0"/>
          <w:numId w:val="2"/>
        </w:numPr>
        <w:spacing w:before="0" w:after="200"/>
        <w:ind w:left="357" w:hanging="357"/>
        <w:jc w:val="center"/>
        <w:rPr>
          <w:rFonts w:ascii="Times New Roman" w:hAnsi="Times New Roman" w:cs="Times New Roman"/>
          <w:b/>
          <w:color w:val="auto"/>
          <w:sz w:val="28"/>
          <w:szCs w:val="28"/>
        </w:rPr>
      </w:pPr>
      <w:r>
        <w:rPr>
          <w:rFonts w:ascii="Times New Roman" w:hAnsi="Times New Roman" w:cs="Times New Roman"/>
          <w:b/>
          <w:color w:val="auto"/>
          <w:sz w:val="28"/>
          <w:szCs w:val="28"/>
        </w:rPr>
        <w:t>Secinājumi un priekšlikumi</w:t>
      </w:r>
    </w:p>
    <w:p w:rsidR="009F0158" w:rsidP="00FD04DD" w14:paraId="12B8AEDA" w14:textId="3D6FB460">
      <w:pPr>
        <w:ind w:firstLine="709"/>
        <w:jc w:val="both"/>
      </w:pPr>
      <w:r>
        <w:t>I</w:t>
      </w:r>
      <w:r w:rsidRPr="00187AA4" w:rsidR="00AC1DFD">
        <w:t>evērojot reformu uzsākšanai nepieciešamo</w:t>
      </w:r>
      <w:r>
        <w:t xml:space="preserve"> laiku</w:t>
      </w:r>
      <w:r w:rsidRPr="00187AA4" w:rsidR="00AC1DFD">
        <w:t xml:space="preserve"> dar</w:t>
      </w:r>
      <w:r w:rsidR="00D152B8">
        <w:t>ba organizatorisko procesu maiņai</w:t>
      </w:r>
      <w:r w:rsidRPr="00187AA4" w:rsidR="00AC1DFD">
        <w:t xml:space="preserve"> ārstniecības iestādēs, kā arī daļēju finanšu līdzekļu piešķīrumu tikai</w:t>
      </w:r>
      <w:r w:rsidR="00EF6667">
        <w:t xml:space="preserve"> 2017.gada</w:t>
      </w:r>
      <w:r w:rsidRPr="00187AA4" w:rsidR="007922B3">
        <w:t xml:space="preserve"> februāra beigās</w:t>
      </w:r>
      <w:r>
        <w:t>, līdz ar ko</w:t>
      </w:r>
      <w:r w:rsidR="00846670">
        <w:t xml:space="preserve"> </w:t>
      </w:r>
      <w:r w:rsidRPr="00187AA4" w:rsidR="007922B3">
        <w:t>apguve</w:t>
      </w:r>
      <w:r w:rsidR="00EF6667">
        <w:t xml:space="preserve"> uzsākta 2017.gada</w:t>
      </w:r>
      <w:r w:rsidRPr="00187AA4" w:rsidR="00AC1DFD">
        <w:t xml:space="preserve"> martā, reformu īstenošana </w:t>
      </w:r>
      <w:r w:rsidRPr="00187AA4" w:rsidR="007922B3">
        <w:t xml:space="preserve">vērtējama kā </w:t>
      </w:r>
      <w:r w:rsidR="0009144E">
        <w:t>veiksmīga</w:t>
      </w:r>
      <w:r w:rsidRPr="00187AA4" w:rsidR="007922B3">
        <w:t>. Turklāt</w:t>
      </w:r>
      <w:r w:rsidRPr="00187AA4" w:rsidR="00AC1DFD">
        <w:t>,</w:t>
      </w:r>
      <w:r w:rsidRPr="00187AA4" w:rsidR="007922B3">
        <w:t xml:space="preserve"> reformu uzsākšanas procesā apzinātais nepieciešamais ļaundabīgo audzēju lokalizāciju tvēruma paplašinājums atbilstoši faktiskajām onkoloģiskajām saslimšanām vērtējams kā pozitīvs aspekts attiecībā uz savlaicīgu onkoloģisko slimību ārstē</w:t>
      </w:r>
      <w:r w:rsidRPr="00187AA4" w:rsidR="00AC1DFD">
        <w:t xml:space="preserve">šanu, </w:t>
      </w:r>
      <w:r>
        <w:t>jo</w:t>
      </w:r>
      <w:r w:rsidR="00882241">
        <w:t xml:space="preserve"> ir</w:t>
      </w:r>
      <w:r w:rsidRPr="00187AA4" w:rsidR="00AC1DFD">
        <w:t xml:space="preserve"> pilnveido</w:t>
      </w:r>
      <w:r w:rsidR="00882241">
        <w:t>tas</w:t>
      </w:r>
      <w:r w:rsidRPr="00187AA4" w:rsidR="00AC1DFD">
        <w:t xml:space="preserve"> izstrādātās shēmas un mehānism</w:t>
      </w:r>
      <w:r w:rsidR="00C45282">
        <w:t>i</w:t>
      </w:r>
      <w:r w:rsidRPr="00187AA4" w:rsidR="00AC1DFD">
        <w:t xml:space="preserve"> efektīvai onkoloģisko pacientu ārstēšanai. </w:t>
      </w:r>
    </w:p>
    <w:p w:rsidR="004D6937" w:rsidP="00FD04DD" w14:paraId="4ADC69E3" w14:textId="7EAAD930">
      <w:pPr>
        <w:ind w:firstLine="709"/>
        <w:jc w:val="both"/>
      </w:pPr>
      <w:r>
        <w:t>Būtisku lomu speciālistu konsultāciju sniegšanā ietekm</w:t>
      </w:r>
      <w:r w:rsidR="00D152B8">
        <w:t xml:space="preserve">ēja 2017.gada 3.jūlijā uzsāktā </w:t>
      </w:r>
      <w:r>
        <w:t xml:space="preserve">ģimenes ārstu </w:t>
      </w:r>
      <w:r w:rsidR="00EC65E1">
        <w:t>protestu akcija</w:t>
      </w:r>
      <w:r w:rsidR="002D64A9">
        <w:t xml:space="preserve"> (</w:t>
      </w:r>
      <w:r w:rsidR="00EC65E1">
        <w:t>tā</w:t>
      </w:r>
      <w:r w:rsidR="002D64A9">
        <w:t xml:space="preserve"> tika pārtraukt</w:t>
      </w:r>
      <w:r w:rsidR="00EC65E1">
        <w:t>a</w:t>
      </w:r>
      <w:r w:rsidR="002D64A9">
        <w:t xml:space="preserve"> </w:t>
      </w:r>
      <w:r w:rsidR="00EC65E1">
        <w:t xml:space="preserve">tikai </w:t>
      </w:r>
      <w:r w:rsidR="002D64A9">
        <w:t>2017.gada 1.decembrī)</w:t>
      </w:r>
      <w:r>
        <w:t>, kas samazināja iespēju pacientiem tikt pie speciālista</w:t>
      </w:r>
      <w:r w:rsidR="00AD57AB">
        <w:t xml:space="preserve">, tādejādi samazinot faktisko speciālistu konsultāciju sniegšanu un ietekmējot </w:t>
      </w:r>
      <w:r w:rsidR="00D97A2E">
        <w:t xml:space="preserve">potenciālo </w:t>
      </w:r>
      <w:r w:rsidR="00AD57AB">
        <w:t>rindu garumu</w:t>
      </w:r>
      <w:r w:rsidR="00D97A2E">
        <w:t xml:space="preserve"> samazinājumu</w:t>
      </w:r>
      <w:r w:rsidR="00AD57AB">
        <w:t>.</w:t>
      </w:r>
    </w:p>
    <w:p w:rsidR="00F41917" w:rsidP="00F41917" w14:paraId="2AA1D0D1" w14:textId="47D5142C">
      <w:pPr>
        <w:ind w:firstLine="709"/>
        <w:jc w:val="both"/>
      </w:pPr>
      <w:r>
        <w:t>Atbilstoši 2017.gada izpildes datiem var secināt, ka onkoloģijas rezu</w:t>
      </w:r>
      <w:r w:rsidR="00621E15">
        <w:t>ltatīvie rādītāji ir sasniegti</w:t>
      </w:r>
      <w:r w:rsidR="00EF5844">
        <w:t xml:space="preserve"> un atsevišķos gadījumos arī pārsniegti</w:t>
      </w:r>
      <w:r w:rsidR="00621E15">
        <w:t>.</w:t>
      </w:r>
      <w:r w:rsidR="00DC2A38">
        <w:t xml:space="preserve"> </w:t>
      </w:r>
      <w:r>
        <w:t xml:space="preserve">Veicot reformu izpildes finansējuma izlietojuma apkopojumu ir izveidojusies neliela finansējuma neizpilde </w:t>
      </w:r>
      <w:r w:rsidR="003334EE">
        <w:t>0,86%</w:t>
      </w:r>
      <w:r>
        <w:t xml:space="preserve">  apmērā</w:t>
      </w:r>
      <w:r w:rsidR="003334EE">
        <w:t xml:space="preserve"> no 34 324 450 </w:t>
      </w:r>
      <w:r w:rsidR="003334EE">
        <w:t>euro</w:t>
      </w:r>
      <w:r w:rsidR="003334EE">
        <w:t>.</w:t>
      </w:r>
      <w:r w:rsidR="00274028">
        <w:t xml:space="preserve"> Lai nodrošinātu savlaicīgu no</w:t>
      </w:r>
      <w:r w:rsidR="00CC055E">
        <w:t>k</w:t>
      </w:r>
      <w:r w:rsidR="00274028">
        <w:t>ļū</w:t>
      </w:r>
      <w:r w:rsidR="00CC055E">
        <w:t xml:space="preserve">šanu </w:t>
      </w:r>
      <w:r w:rsidR="00274028">
        <w:t>uz diagnostisko un izmeklējumu veikšanu (sekundārās diagnostikas un izmeklēšanas algoritmu ieviešanas ietvaros 2017.gadā)</w:t>
      </w:r>
      <w:r w:rsidR="00CC055E">
        <w:t xml:space="preserve">, </w:t>
      </w:r>
      <w:r w:rsidR="00274028">
        <w:t>sekundārā diagnostika un izmeklējumi tika veikti</w:t>
      </w:r>
      <w:r w:rsidR="00CC055E">
        <w:t xml:space="preserve"> arī no esošā</w:t>
      </w:r>
      <w:r w:rsidR="00274028">
        <w:t xml:space="preserve"> finansējumu, kopumā pa 494</w:t>
      </w:r>
      <w:r w:rsidR="00DF3325">
        <w:t> </w:t>
      </w:r>
      <w:r w:rsidR="00274028">
        <w:t>731</w:t>
      </w:r>
      <w:r w:rsidR="00DF3325">
        <w:t> </w:t>
      </w:r>
      <w:r w:rsidR="00274028">
        <w:t>euro</w:t>
      </w:r>
      <w:r w:rsidR="00CC055E">
        <w:t>,</w:t>
      </w:r>
      <w:r w:rsidR="00274028">
        <w:t xml:space="preserve"> tādējādi</w:t>
      </w:r>
      <w:r w:rsidR="00CC055E">
        <w:t xml:space="preserve"> var uzskatīt, ka onkoloģisko </w:t>
      </w:r>
      <w:r w:rsidR="00274028">
        <w:t>saslimšanu diagnostikas un ārstēšanas pieejamības uzlabošanas</w:t>
      </w:r>
      <w:r w:rsidR="00CC055E">
        <w:t xml:space="preserve"> plāns </w:t>
      </w:r>
      <w:r w:rsidR="00274028">
        <w:t xml:space="preserve">ir </w:t>
      </w:r>
      <w:r w:rsidR="00CC055E">
        <w:t>izpildīts pilnībā.</w:t>
      </w:r>
      <w:r>
        <w:t xml:space="preserve"> </w:t>
      </w:r>
    </w:p>
    <w:p w:rsidR="00F41917" w:rsidP="00F41917" w14:paraId="683FAA0D" w14:textId="3F900EE4">
      <w:pPr>
        <w:ind w:firstLine="709"/>
        <w:jc w:val="both"/>
      </w:pPr>
      <w:r w:rsidRPr="00847710">
        <w:t>Kopumā veiktās reformas onkoloģijas “zaļā koridora” izveidei, ir nodrošinājušas, ka pacienta ceļš līdz diagnozes saņemšanai un ārstēšanas uzsākšanai ir ievērojami samazinājies, lielākajā daļā gadījumu nodrošinot, ka pēc reformu veikšanas 30 dienu laikā tiek nodrošinātas sākotnējās konsultācijas, izmeklējumi un uzsākta ārstēšana, savukārt pirms “zaļā koridora” ieviešanas pacients tikai uz konsultāciju pie speciālista gaidīja vidēji 30 dienas.</w:t>
      </w:r>
      <w:r w:rsidR="008434E8">
        <w:t xml:space="preserve"> Atzīmējams, ka jaunu kārtību sekmīgai ieviešanai nepieciešams pietiekams laika posms, lai pakalpojumu sniedzēji var veikt izmaiņas pakalpojumu sniegšanas organizācijā, savukārt nosūtītāji izprastu </w:t>
      </w:r>
      <w:r w:rsidR="00D152B8">
        <w:t>ie</w:t>
      </w:r>
      <w:r w:rsidR="008434E8">
        <w:t>guvumus no jaunās kārtības un aktīvi iesaistītos tās izmantošanā un izstrādāt</w:t>
      </w:r>
      <w:r w:rsidR="00D152B8">
        <w:t>ajā</w:t>
      </w:r>
      <w:r w:rsidR="008434E8">
        <w:t xml:space="preserve"> kārtībā var veikt korekcijas, kas uzlabo pacientu plūsmu organizāciju atbilstoši reālai situācijai</w:t>
      </w:r>
      <w:r w:rsidR="00AA49EF">
        <w:t>.</w:t>
      </w:r>
    </w:p>
    <w:p w:rsidR="004C62DC" w:rsidP="00FD04DD" w14:paraId="02185262" w14:textId="0A45839C">
      <w:pPr>
        <w:ind w:firstLine="709"/>
        <w:jc w:val="both"/>
      </w:pPr>
      <w:r>
        <w:t>T</w:t>
      </w:r>
      <w:r>
        <w:t>urpinot VCH intervence</w:t>
      </w:r>
      <w:r>
        <w:t>s dinamiskās novērošanas procesu, 2017.gada VCH pacientu progresa dati</w:t>
      </w:r>
      <w:r>
        <w:t xml:space="preserve"> tiks iekļaut</w:t>
      </w:r>
      <w:r>
        <w:t>i</w:t>
      </w:r>
      <w:r>
        <w:t xml:space="preserve"> 2018.gada reformu izpildes ziņojumā.</w:t>
      </w:r>
    </w:p>
    <w:p w:rsidR="009F0158" w:rsidRPr="00187AA4" w:rsidP="00FD04DD" w14:paraId="0844D114" w14:textId="71EB8665">
      <w:pPr>
        <w:ind w:firstLine="709"/>
        <w:jc w:val="both"/>
      </w:pPr>
      <w:r w:rsidRPr="00187AA4">
        <w:t>Līdz ar minēto secināms, ka reformu īstenošana tik</w:t>
      </w:r>
      <w:r w:rsidR="00CF2B4D">
        <w:t>a</w:t>
      </w:r>
      <w:r w:rsidRPr="00187AA4">
        <w:t xml:space="preserve"> </w:t>
      </w:r>
      <w:r w:rsidR="00D152B8">
        <w:t xml:space="preserve">realizēta </w:t>
      </w:r>
      <w:bookmarkStart w:id="1" w:name="_GoBack"/>
      <w:bookmarkEnd w:id="1"/>
      <w:r w:rsidRPr="00187AA4">
        <w:t>plānotajā apmērā un</w:t>
      </w:r>
      <w:r w:rsidR="00CA316B">
        <w:t xml:space="preserve"> </w:t>
      </w:r>
      <w:r w:rsidRPr="00E6280A" w:rsidR="00CA316B">
        <w:t>atbilstoši Informat</w:t>
      </w:r>
      <w:r w:rsidRPr="00E6280A" w:rsidR="00C26C50">
        <w:t xml:space="preserve">īvajam ziņojumam “Par veselības reformas pasākumu īstenošanu </w:t>
      </w:r>
      <w:r w:rsidRPr="00E6280A" w:rsidR="00CA316B">
        <w:t xml:space="preserve"> 2018.gadā”</w:t>
      </w:r>
      <w:r w:rsidRPr="00187AA4">
        <w:t xml:space="preserve"> </w:t>
      </w:r>
      <w:r w:rsidR="00426B53">
        <w:t xml:space="preserve">tiks turpinātas </w:t>
      </w:r>
      <w:r w:rsidRPr="00187AA4">
        <w:t xml:space="preserve"> intervences arī nākamajā gadā, lai </w:t>
      </w:r>
      <w:r w:rsidR="003C436E">
        <w:t xml:space="preserve">turpinātu </w:t>
      </w:r>
      <w:r w:rsidRPr="00187AA4">
        <w:t>nodrošināt sekmīgu pacientu ārstēšanu</w:t>
      </w:r>
      <w:r w:rsidR="00570FF2">
        <w:t xml:space="preserve"> un kā šo reformu rezultātu arī nozīmīgu potenciāli zaudēto mūža gadu samazinājumu ilgākā</w:t>
      </w:r>
      <w:r w:rsidR="00CF2B4D">
        <w:t xml:space="preserve"> laika</w:t>
      </w:r>
      <w:r w:rsidR="00570FF2">
        <w:t xml:space="preserve"> periodā</w:t>
      </w:r>
      <w:r w:rsidRPr="00187AA4">
        <w:t xml:space="preserve">. </w:t>
      </w:r>
    </w:p>
    <w:p w:rsidR="009F0158" w:rsidP="00751686" w14:paraId="7C0AAF0B" w14:textId="77777777">
      <w:pPr>
        <w:ind w:left="357" w:firstLine="363"/>
        <w:jc w:val="both"/>
      </w:pPr>
    </w:p>
    <w:p w:rsidR="00464BD8" w:rsidP="00AD3930" w14:paraId="4EDB6539" w14:textId="77777777">
      <w:pPr>
        <w:shd w:val="clear" w:color="auto" w:fill="FFFFFF"/>
        <w:ind w:firstLine="720"/>
        <w:jc w:val="both"/>
        <w:rPr>
          <w:color w:val="000000" w:themeColor="text1"/>
        </w:rPr>
      </w:pPr>
    </w:p>
    <w:p w:rsidR="00343E8A" w:rsidRPr="00CD0464" w:rsidP="00343E8A" w14:paraId="228B0C3D" w14:textId="77777777">
      <w:pPr>
        <w:tabs>
          <w:tab w:val="left" w:pos="7088"/>
          <w:tab w:val="right" w:pos="9072"/>
        </w:tabs>
        <w:ind w:right="-766"/>
        <w:rPr>
          <w:sz w:val="28"/>
          <w:szCs w:val="28"/>
        </w:rPr>
      </w:pPr>
    </w:p>
    <w:p w:rsidR="00343E8A" w:rsidRPr="00CD0464" w:rsidP="00343E8A" w14:paraId="4B615727" w14:textId="39013BF3">
      <w:pPr>
        <w:ind w:right="-1"/>
        <w:rPr>
          <w:sz w:val="28"/>
          <w:szCs w:val="28"/>
        </w:rPr>
      </w:pPr>
      <w:r>
        <w:rPr>
          <w:sz w:val="28"/>
          <w:szCs w:val="28"/>
        </w:rPr>
        <w:t>Valsts sekretārs</w:t>
      </w:r>
      <w:r>
        <w:rPr>
          <w:sz w:val="28"/>
          <w:szCs w:val="28"/>
        </w:rPr>
        <w:tab/>
      </w:r>
      <w:r>
        <w:rPr>
          <w:sz w:val="28"/>
          <w:szCs w:val="28"/>
        </w:rPr>
        <w:tab/>
      </w:r>
      <w:r>
        <w:rPr>
          <w:sz w:val="28"/>
          <w:szCs w:val="28"/>
        </w:rPr>
        <w:tab/>
      </w:r>
      <w:r w:rsidR="00F2631A">
        <w:rPr>
          <w:sz w:val="28"/>
          <w:szCs w:val="28"/>
        </w:rPr>
        <w:t xml:space="preserve">          </w:t>
      </w:r>
      <w:r w:rsidR="00D7513D">
        <w:rPr>
          <w:sz w:val="28"/>
          <w:szCs w:val="28"/>
        </w:rPr>
        <w:t xml:space="preserve">                                  </w:t>
      </w:r>
      <w:r w:rsidR="00596FDF">
        <w:rPr>
          <w:sz w:val="28"/>
          <w:szCs w:val="28"/>
        </w:rPr>
        <w:t xml:space="preserve">          </w:t>
      </w:r>
      <w:r w:rsidR="00D7513D">
        <w:rPr>
          <w:sz w:val="28"/>
          <w:szCs w:val="28"/>
        </w:rPr>
        <w:t xml:space="preserve"> </w:t>
      </w:r>
      <w:r>
        <w:rPr>
          <w:sz w:val="28"/>
          <w:szCs w:val="28"/>
        </w:rPr>
        <w:t xml:space="preserve">Aivars Lapiņš </w:t>
      </w:r>
    </w:p>
    <w:sectPr w:rsidSect="00F11DB7">
      <w:headerReference w:type="default" r:id="rId6"/>
      <w:footerReference w:type="default" r:id="rId7"/>
      <w:footerReference w:type="first" r:id="rId8"/>
      <w:pgSz w:w="11906" w:h="16838" w:code="9"/>
      <w:pgMar w:top="1418"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667" w:rsidRPr="00ED2403" w:rsidP="002D2334" w14:paraId="03C41D7A" w14:textId="5473AA49">
    <w:pPr>
      <w:pStyle w:val="Footer"/>
      <w:rPr>
        <w:rFonts w:ascii="Times New Roman" w:hAnsi="Times New Roman" w:cs="Times New Roman"/>
        <w:sz w:val="20"/>
        <w:szCs w:val="20"/>
      </w:rPr>
    </w:pPr>
    <w:r w:rsidRPr="00FB42B8">
      <w:rPr>
        <w:rFonts w:ascii="Times New Roman" w:hAnsi="Times New Roman" w:cs="Times New Roman"/>
        <w:sz w:val="20"/>
        <w:szCs w:val="20"/>
      </w:rPr>
      <w:t>VMzino_</w:t>
    </w:r>
    <w:r>
      <w:rPr>
        <w:rFonts w:ascii="Times New Roman" w:hAnsi="Times New Roman" w:cs="Times New Roman"/>
        <w:sz w:val="20"/>
        <w:szCs w:val="20"/>
      </w:rPr>
      <w:t>190318</w:t>
    </w:r>
    <w:r w:rsidRPr="00FB42B8">
      <w:rPr>
        <w:rFonts w:ascii="Times New Roman" w:hAnsi="Times New Roman" w:cs="Times New Roman"/>
        <w:sz w:val="20"/>
        <w:szCs w:val="20"/>
      </w:rPr>
      <w:t>_</w:t>
    </w:r>
    <w:r>
      <w:rPr>
        <w:rFonts w:ascii="Times New Roman" w:hAnsi="Times New Roman" w:cs="Times New Roman"/>
        <w:sz w:val="20"/>
        <w:szCs w:val="20"/>
      </w:rPr>
      <w:t>reformu_izpilde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667" w:rsidRPr="00ED2403" w:rsidP="00A45DB7" w14:paraId="129C4A01" w14:textId="7458853D">
    <w:pPr>
      <w:pStyle w:val="Footer"/>
      <w:rPr>
        <w:rFonts w:ascii="Times New Roman" w:hAnsi="Times New Roman" w:cs="Times New Roman"/>
        <w:sz w:val="20"/>
        <w:szCs w:val="20"/>
      </w:rPr>
    </w:pPr>
    <w:r w:rsidRPr="00FB42B8">
      <w:rPr>
        <w:rFonts w:ascii="Times New Roman" w:hAnsi="Times New Roman" w:cs="Times New Roman"/>
        <w:sz w:val="20"/>
        <w:szCs w:val="20"/>
      </w:rPr>
      <w:t>VMzino_</w:t>
    </w:r>
    <w:r>
      <w:rPr>
        <w:rFonts w:ascii="Times New Roman" w:hAnsi="Times New Roman" w:cs="Times New Roman"/>
        <w:sz w:val="20"/>
        <w:szCs w:val="20"/>
      </w:rPr>
      <w:t>190318</w:t>
    </w:r>
    <w:r w:rsidRPr="00FB42B8">
      <w:rPr>
        <w:rFonts w:ascii="Times New Roman" w:hAnsi="Times New Roman" w:cs="Times New Roman"/>
        <w:sz w:val="20"/>
        <w:szCs w:val="20"/>
      </w:rPr>
      <w:t>_</w:t>
    </w:r>
    <w:r>
      <w:rPr>
        <w:rFonts w:ascii="Times New Roman" w:hAnsi="Times New Roman" w:cs="Times New Roman"/>
        <w:sz w:val="20"/>
        <w:szCs w:val="20"/>
      </w:rPr>
      <w:t>reformu_izpilde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F6667" w:rsidP="00742970" w14:paraId="0BCA945B" w14:textId="77777777">
      <w:r>
        <w:separator/>
      </w:r>
    </w:p>
  </w:footnote>
  <w:footnote w:type="continuationSeparator" w:id="1">
    <w:p w:rsidR="00EF6667" w:rsidP="00742970" w14:paraId="19FC891E" w14:textId="77777777">
      <w:r>
        <w:continuationSeparator/>
      </w:r>
    </w:p>
  </w:footnote>
  <w:footnote w:type="continuationNotice" w:id="2">
    <w:p w:rsidR="00EF6667" w14:paraId="0D836BEE" w14:textId="77777777"/>
  </w:footnote>
  <w:footnote w:id="3">
    <w:p w:rsidR="00EF6667" w:rsidRPr="00617636" w:rsidP="000E09B4" w14:paraId="202F2AFB" w14:textId="77777777">
      <w:pPr>
        <w:shd w:val="clear" w:color="auto" w:fill="FFFFFF"/>
        <w:spacing w:line="103" w:lineRule="atLeast"/>
        <w:jc w:val="both"/>
        <w:rPr>
          <w:color w:val="414142"/>
          <w:sz w:val="18"/>
          <w:szCs w:val="18"/>
        </w:rPr>
      </w:pPr>
      <w:r w:rsidRPr="00617636">
        <w:rPr>
          <w:rStyle w:val="FootnoteReference"/>
          <w:sz w:val="18"/>
          <w:szCs w:val="18"/>
        </w:rPr>
        <w:footnoteRef/>
      </w:r>
      <w:r w:rsidRPr="00617636">
        <w:rPr>
          <w:sz w:val="18"/>
          <w:szCs w:val="18"/>
        </w:rPr>
        <w:t xml:space="preserve"> </w:t>
      </w:r>
      <w:r w:rsidRPr="00617636">
        <w:rPr>
          <w:color w:val="414142"/>
          <w:sz w:val="18"/>
          <w:szCs w:val="18"/>
        </w:rPr>
        <w:t xml:space="preserve">Sabiedrības veselības pamatnostādnes 2014.-2020.gadam (MK rīkojums Nr. 589 14.10.2014) ir vidēja termiņa </w:t>
      </w:r>
      <w:r>
        <w:rPr>
          <w:color w:val="414142"/>
          <w:sz w:val="18"/>
          <w:szCs w:val="18"/>
        </w:rPr>
        <w:t>attīstīb</w:t>
      </w:r>
      <w:r w:rsidRPr="00617636">
        <w:rPr>
          <w:color w:val="414142"/>
          <w:sz w:val="18"/>
          <w:szCs w:val="18"/>
        </w:rPr>
        <w:t>as plānošanas dokuments, kas balstās uz Pasaules Veselības organizācijas Eiropas reģiona stratēģiju "Veselība 2020" un ir izstrādātas, lai aktualizētu Sabiedrības veselības pamatnostādnēs 2011.-2017. gadam iekļauto situācijas raksturojumu, problēmu formulējumu, mērķus, politikas rezultātus, rīcības virzienos ietvertos uzdevumus un saskaņotu tos ar Latvijas Nacionālo attīstības plānu 2014.-2020. gadam un jauno finanšu plānošanas periodu.</w:t>
      </w:r>
    </w:p>
  </w:footnote>
  <w:footnote w:id="4">
    <w:p w:rsidR="00EF6667" w:rsidRPr="0039218A" w:rsidP="00746DD6" w14:paraId="4761C8FB" w14:textId="77777777">
      <w:pPr>
        <w:pStyle w:val="FootnoteText"/>
        <w:rPr>
          <w:rFonts w:ascii="Times New Roman" w:hAnsi="Times New Roman" w:cs="Times New Roman"/>
          <w:sz w:val="18"/>
          <w:szCs w:val="18"/>
        </w:rPr>
      </w:pPr>
      <w:r w:rsidRPr="0039218A">
        <w:rPr>
          <w:rStyle w:val="FootnoteReference"/>
          <w:rFonts w:ascii="Times New Roman" w:hAnsi="Times New Roman" w:cs="Times New Roman"/>
          <w:sz w:val="18"/>
          <w:szCs w:val="18"/>
        </w:rPr>
        <w:footnoteRef/>
      </w:r>
      <w:r w:rsidRPr="0039218A">
        <w:rPr>
          <w:rFonts w:ascii="Times New Roman" w:hAnsi="Times New Roman" w:cs="Times New Roman"/>
          <w:sz w:val="18"/>
          <w:szCs w:val="18"/>
        </w:rPr>
        <w:t xml:space="preserve">http://cid.oxfordjournals.org/content/62/9/1072.full </w:t>
      </w:r>
    </w:p>
    <w:p w:rsidR="00EF6667" w:rsidRPr="00382DB1" w:rsidP="00746DD6" w14:paraId="0D680F5E" w14:textId="77777777">
      <w:pPr>
        <w:pStyle w:val="FootnoteText"/>
        <w:rPr>
          <w:rFonts w:ascii="Times New Roman" w:hAnsi="Times New Roman" w:cs="Times New Roman"/>
          <w:sz w:val="18"/>
          <w:szCs w:val="18"/>
        </w:rPr>
      </w:pPr>
      <w:r w:rsidRPr="0039218A">
        <w:rPr>
          <w:rFonts w:ascii="Times New Roman" w:hAnsi="Times New Roman" w:cs="Times New Roman"/>
          <w:sz w:val="18"/>
          <w:szCs w:val="18"/>
        </w:rPr>
        <w:t xml:space="preserve"> </w:t>
      </w:r>
      <w:r w:rsidRPr="00382DB1">
        <w:rPr>
          <w:rFonts w:ascii="Times New Roman" w:hAnsi="Times New Roman" w:cs="Times New Roman"/>
          <w:sz w:val="18"/>
          <w:szCs w:val="18"/>
        </w:rPr>
        <w:t xml:space="preserve">http://betablog.org/can-treatment-prevention-work-hepatitis-c/, https://www.ncbi.nlm.nih.gov/pubmed/26524330 , </w:t>
      </w:r>
    </w:p>
  </w:footnote>
  <w:footnote w:id="5">
    <w:p w:rsidR="00EF6667" w:rsidRPr="00B72A14" w14:paraId="258CDEDC" w14:textId="0A931891">
      <w:pPr>
        <w:pStyle w:val="FootnoteText"/>
        <w:rPr>
          <w:rFonts w:ascii="Times New Roman" w:hAnsi="Times New Roman" w:cs="Times New Roman"/>
        </w:rPr>
      </w:pPr>
      <w:r w:rsidRPr="00B72A14">
        <w:rPr>
          <w:rStyle w:val="FootnoteReference"/>
          <w:rFonts w:ascii="Times New Roman" w:hAnsi="Times New Roman" w:cs="Times New Roman"/>
        </w:rPr>
        <w:footnoteRef/>
      </w:r>
      <w:r w:rsidRPr="00B72A14">
        <w:rPr>
          <w:rFonts w:ascii="Times New Roman" w:hAnsi="Times New Roman" w:cs="Times New Roman"/>
        </w:rPr>
        <w:t xml:space="preserve"> http://apps.who.int/iris/bitstream/10665/260445/1/WHO-CDS-HIV-18.4-eng.pdf?ua=1</w:t>
      </w:r>
    </w:p>
  </w:footnote>
  <w:footnote w:id="6">
    <w:p w:rsidR="00EF6667" w:rsidP="00344A4C" w14:paraId="6A5E38B1" w14:textId="77777777">
      <w:pPr>
        <w:pStyle w:val="FootnoteText"/>
        <w:jc w:val="both"/>
        <w:rPr>
          <w:rFonts w:ascii="Times New Roman" w:hAnsi="Times New Roman" w:cs="Times New Roman"/>
        </w:rPr>
      </w:pPr>
      <w:r>
        <w:rPr>
          <w:rStyle w:val="FootnoteReference"/>
        </w:rPr>
        <w:footnoteRef/>
      </w:r>
      <w:r>
        <w:t xml:space="preserve"> </w:t>
      </w:r>
      <w:r w:rsidRPr="0062375F">
        <w:rPr>
          <w:rFonts w:ascii="Times New Roman" w:hAnsi="Times New Roman" w:cs="Times New Roman"/>
        </w:rPr>
        <w:t xml:space="preserve">EASL </w:t>
      </w:r>
      <w:r w:rsidRPr="0062375F">
        <w:rPr>
          <w:rFonts w:ascii="Times New Roman" w:hAnsi="Times New Roman" w:cs="Times New Roman"/>
        </w:rPr>
        <w:t>Recommendations</w:t>
      </w:r>
      <w:r w:rsidRPr="0062375F">
        <w:rPr>
          <w:rFonts w:ascii="Times New Roman" w:hAnsi="Times New Roman" w:cs="Times New Roman"/>
        </w:rPr>
        <w:t xml:space="preserve"> </w:t>
      </w:r>
      <w:r w:rsidRPr="0062375F">
        <w:rPr>
          <w:rFonts w:ascii="Times New Roman" w:hAnsi="Times New Roman" w:cs="Times New Roman"/>
        </w:rPr>
        <w:t>on</w:t>
      </w:r>
      <w:r>
        <w:rPr>
          <w:rFonts w:ascii="Times New Roman" w:hAnsi="Times New Roman" w:cs="Times New Roman"/>
        </w:rPr>
        <w:t xml:space="preserve"> </w:t>
      </w:r>
      <w:r>
        <w:rPr>
          <w:rFonts w:ascii="Times New Roman" w:hAnsi="Times New Roman" w:cs="Times New Roman"/>
        </w:rPr>
        <w:t>Treatment</w:t>
      </w:r>
      <w:r>
        <w:rPr>
          <w:rFonts w:ascii="Times New Roman" w:hAnsi="Times New Roman" w:cs="Times New Roman"/>
        </w:rPr>
        <w:t xml:space="preserve"> </w:t>
      </w:r>
      <w:r>
        <w:rPr>
          <w:rFonts w:ascii="Times New Roman" w:hAnsi="Times New Roman" w:cs="Times New Roman"/>
        </w:rPr>
        <w:t>of</w:t>
      </w:r>
      <w:r>
        <w:rPr>
          <w:rFonts w:ascii="Times New Roman" w:hAnsi="Times New Roman" w:cs="Times New Roman"/>
        </w:rPr>
        <w:t xml:space="preserve"> </w:t>
      </w:r>
      <w:r>
        <w:rPr>
          <w:rFonts w:ascii="Times New Roman" w:hAnsi="Times New Roman" w:cs="Times New Roman"/>
        </w:rPr>
        <w:t>Hepatitis</w:t>
      </w:r>
      <w:r>
        <w:rPr>
          <w:rFonts w:ascii="Times New Roman" w:hAnsi="Times New Roman" w:cs="Times New Roman"/>
        </w:rPr>
        <w:t xml:space="preserve"> C 2016q </w:t>
      </w:r>
    </w:p>
    <w:p w:rsidR="00EF6667" w:rsidRPr="0062375F" w:rsidP="00344A4C" w14:paraId="266F63F1" w14:textId="62A18AFF">
      <w:pPr>
        <w:pStyle w:val="FootnoteText"/>
        <w:jc w:val="both"/>
        <w:rPr>
          <w:rFonts w:ascii="Times New Roman" w:hAnsi="Times New Roman" w:cs="Times New Roman"/>
        </w:rPr>
      </w:pPr>
      <w:r w:rsidRPr="0062375F">
        <w:rPr>
          <w:rFonts w:ascii="Times New Roman" w:hAnsi="Times New Roman" w:cs="Times New Roman"/>
        </w:rPr>
        <w:t>http://www.easl.eu/medias/cpg/HCV2016/English-report.pdf</w:t>
      </w:r>
    </w:p>
  </w:footnote>
  <w:footnote w:id="7">
    <w:p w:rsidR="00EF6667" w:rsidRPr="00382DB1" w:rsidP="00751686" w14:paraId="1023B61E" w14:textId="77777777">
      <w:pPr>
        <w:pStyle w:val="FootnoteText"/>
        <w:rPr>
          <w:rFonts w:ascii="Times New Roman" w:hAnsi="Times New Roman" w:cs="Times New Roman"/>
          <w:sz w:val="18"/>
          <w:szCs w:val="18"/>
        </w:rPr>
      </w:pPr>
      <w:r w:rsidRPr="00382DB1">
        <w:rPr>
          <w:rStyle w:val="FootnoteReference"/>
          <w:rFonts w:ascii="Times New Roman" w:hAnsi="Times New Roman" w:cs="Times New Roman"/>
          <w:sz w:val="18"/>
          <w:szCs w:val="18"/>
        </w:rPr>
        <w:footnoteRef/>
      </w:r>
      <w:r w:rsidRPr="00382DB1">
        <w:rPr>
          <w:rFonts w:ascii="Times New Roman" w:hAnsi="Times New Roman" w:cs="Times New Roman"/>
          <w:sz w:val="18"/>
          <w:szCs w:val="18"/>
        </w:rPr>
        <w:t xml:space="preserve"> </w:t>
      </w:r>
      <w:r w:rsidRPr="00382DB1">
        <w:rPr>
          <w:rFonts w:ascii="Times New Roman" w:hAnsi="Times New Roman" w:cs="Times New Roman"/>
          <w:sz w:val="18"/>
          <w:szCs w:val="18"/>
        </w:rPr>
        <w:t>Tolmane</w:t>
      </w:r>
      <w:r w:rsidRPr="00382DB1">
        <w:rPr>
          <w:rFonts w:ascii="Times New Roman" w:hAnsi="Times New Roman" w:cs="Times New Roman"/>
          <w:sz w:val="18"/>
          <w:szCs w:val="18"/>
        </w:rPr>
        <w:t xml:space="preserve"> I, </w:t>
      </w:r>
      <w:r w:rsidRPr="00382DB1">
        <w:rPr>
          <w:rFonts w:ascii="Times New Roman" w:hAnsi="Times New Roman" w:cs="Times New Roman"/>
          <w:sz w:val="18"/>
          <w:szCs w:val="18"/>
        </w:rPr>
        <w:t>Rozentale</w:t>
      </w:r>
      <w:r w:rsidRPr="00382DB1">
        <w:rPr>
          <w:rFonts w:ascii="Times New Roman" w:hAnsi="Times New Roman" w:cs="Times New Roman"/>
          <w:sz w:val="18"/>
          <w:szCs w:val="18"/>
        </w:rPr>
        <w:t xml:space="preserve"> B, </w:t>
      </w:r>
      <w:r w:rsidRPr="00382DB1">
        <w:rPr>
          <w:rFonts w:ascii="Times New Roman" w:hAnsi="Times New Roman" w:cs="Times New Roman"/>
          <w:sz w:val="18"/>
          <w:szCs w:val="18"/>
        </w:rPr>
        <w:t>Keiss</w:t>
      </w:r>
      <w:r w:rsidRPr="00382DB1">
        <w:rPr>
          <w:rFonts w:ascii="Times New Roman" w:hAnsi="Times New Roman" w:cs="Times New Roman"/>
          <w:sz w:val="18"/>
          <w:szCs w:val="18"/>
        </w:rPr>
        <w:t xml:space="preserve"> J, </w:t>
      </w:r>
      <w:r w:rsidRPr="00382DB1">
        <w:rPr>
          <w:rFonts w:ascii="Times New Roman" w:hAnsi="Times New Roman" w:cs="Times New Roman"/>
          <w:sz w:val="18"/>
          <w:szCs w:val="18"/>
        </w:rPr>
        <w:t>Arsa</w:t>
      </w:r>
      <w:r w:rsidRPr="00382DB1">
        <w:rPr>
          <w:rFonts w:ascii="Times New Roman" w:hAnsi="Times New Roman" w:cs="Times New Roman"/>
          <w:sz w:val="18"/>
          <w:szCs w:val="18"/>
        </w:rPr>
        <w:t xml:space="preserve"> F, </w:t>
      </w:r>
      <w:r w:rsidRPr="00382DB1">
        <w:rPr>
          <w:rFonts w:ascii="Times New Roman" w:hAnsi="Times New Roman" w:cs="Times New Roman"/>
          <w:sz w:val="18"/>
          <w:szCs w:val="18"/>
        </w:rPr>
        <w:t>Brigis</w:t>
      </w:r>
      <w:r w:rsidRPr="00382DB1">
        <w:rPr>
          <w:rFonts w:ascii="Times New Roman" w:hAnsi="Times New Roman" w:cs="Times New Roman"/>
          <w:sz w:val="18"/>
          <w:szCs w:val="18"/>
        </w:rPr>
        <w:t xml:space="preserve"> G, Zvaigzne A. </w:t>
      </w:r>
      <w:r w:rsidRPr="00382DB1">
        <w:rPr>
          <w:rFonts w:ascii="Times New Roman" w:hAnsi="Times New Roman" w:cs="Times New Roman"/>
          <w:sz w:val="18"/>
          <w:szCs w:val="18"/>
        </w:rPr>
        <w:t>The</w:t>
      </w:r>
      <w:r w:rsidRPr="00382DB1">
        <w:rPr>
          <w:rFonts w:ascii="Times New Roman" w:hAnsi="Times New Roman" w:cs="Times New Roman"/>
          <w:sz w:val="18"/>
          <w:szCs w:val="18"/>
        </w:rPr>
        <w:t xml:space="preserve"> </w:t>
      </w:r>
      <w:r w:rsidRPr="00382DB1">
        <w:rPr>
          <w:rFonts w:ascii="Times New Roman" w:hAnsi="Times New Roman" w:cs="Times New Roman"/>
          <w:sz w:val="18"/>
          <w:szCs w:val="18"/>
        </w:rPr>
        <w:t>prevalence</w:t>
      </w:r>
      <w:r w:rsidRPr="00382DB1">
        <w:rPr>
          <w:rFonts w:ascii="Times New Roman" w:hAnsi="Times New Roman" w:cs="Times New Roman"/>
          <w:sz w:val="18"/>
          <w:szCs w:val="18"/>
        </w:rPr>
        <w:t xml:space="preserve"> </w:t>
      </w:r>
      <w:r w:rsidRPr="00382DB1">
        <w:rPr>
          <w:rFonts w:ascii="Times New Roman" w:hAnsi="Times New Roman" w:cs="Times New Roman"/>
          <w:sz w:val="18"/>
          <w:szCs w:val="18"/>
        </w:rPr>
        <w:t>of</w:t>
      </w:r>
      <w:r w:rsidRPr="00382DB1">
        <w:rPr>
          <w:rFonts w:ascii="Times New Roman" w:hAnsi="Times New Roman" w:cs="Times New Roman"/>
          <w:sz w:val="18"/>
          <w:szCs w:val="18"/>
        </w:rPr>
        <w:t xml:space="preserve"> </w:t>
      </w:r>
      <w:r w:rsidRPr="00382DB1">
        <w:rPr>
          <w:rFonts w:ascii="Times New Roman" w:hAnsi="Times New Roman" w:cs="Times New Roman"/>
          <w:sz w:val="18"/>
          <w:szCs w:val="18"/>
        </w:rPr>
        <w:t>viral</w:t>
      </w:r>
      <w:r w:rsidRPr="00382DB1">
        <w:rPr>
          <w:rFonts w:ascii="Times New Roman" w:hAnsi="Times New Roman" w:cs="Times New Roman"/>
          <w:sz w:val="18"/>
          <w:szCs w:val="18"/>
        </w:rPr>
        <w:t xml:space="preserve"> </w:t>
      </w:r>
      <w:r w:rsidRPr="00382DB1">
        <w:rPr>
          <w:rFonts w:ascii="Times New Roman" w:hAnsi="Times New Roman" w:cs="Times New Roman"/>
          <w:sz w:val="18"/>
          <w:szCs w:val="18"/>
        </w:rPr>
        <w:t>hepatitis</w:t>
      </w:r>
      <w:r w:rsidRPr="00382DB1">
        <w:rPr>
          <w:rFonts w:ascii="Times New Roman" w:hAnsi="Times New Roman" w:cs="Times New Roman"/>
          <w:sz w:val="18"/>
          <w:szCs w:val="18"/>
        </w:rPr>
        <w:t xml:space="preserve"> C </w:t>
      </w:r>
      <w:r w:rsidRPr="00382DB1">
        <w:rPr>
          <w:rFonts w:ascii="Times New Roman" w:hAnsi="Times New Roman" w:cs="Times New Roman"/>
          <w:sz w:val="18"/>
          <w:szCs w:val="18"/>
        </w:rPr>
        <w:t>in</w:t>
      </w:r>
      <w:r w:rsidRPr="00382DB1">
        <w:rPr>
          <w:rFonts w:ascii="Times New Roman" w:hAnsi="Times New Roman" w:cs="Times New Roman"/>
          <w:sz w:val="18"/>
          <w:szCs w:val="18"/>
        </w:rPr>
        <w:t xml:space="preserve"> Latvia: a </w:t>
      </w:r>
      <w:r w:rsidRPr="00382DB1">
        <w:rPr>
          <w:rFonts w:ascii="Times New Roman" w:hAnsi="Times New Roman" w:cs="Times New Roman"/>
          <w:sz w:val="18"/>
          <w:szCs w:val="18"/>
        </w:rPr>
        <w:t>population-based</w:t>
      </w:r>
      <w:r w:rsidRPr="00382DB1">
        <w:rPr>
          <w:rFonts w:ascii="Times New Roman" w:hAnsi="Times New Roman" w:cs="Times New Roman"/>
          <w:sz w:val="18"/>
          <w:szCs w:val="18"/>
        </w:rPr>
        <w:t xml:space="preserve"> </w:t>
      </w:r>
      <w:r w:rsidRPr="00382DB1">
        <w:rPr>
          <w:rFonts w:ascii="Times New Roman" w:hAnsi="Times New Roman" w:cs="Times New Roman"/>
          <w:sz w:val="18"/>
          <w:szCs w:val="18"/>
        </w:rPr>
        <w:t>study</w:t>
      </w:r>
      <w:r w:rsidRPr="00382DB1">
        <w:rPr>
          <w:rFonts w:ascii="Times New Roman" w:hAnsi="Times New Roman" w:cs="Times New Roman"/>
          <w:sz w:val="18"/>
          <w:szCs w:val="18"/>
        </w:rPr>
        <w:t xml:space="preserve">. </w:t>
      </w:r>
      <w:r w:rsidRPr="00382DB1">
        <w:rPr>
          <w:rFonts w:ascii="Times New Roman" w:hAnsi="Times New Roman" w:cs="Times New Roman"/>
          <w:sz w:val="18"/>
          <w:szCs w:val="18"/>
        </w:rPr>
        <w:t>Medicina</w:t>
      </w:r>
      <w:r w:rsidRPr="00382DB1">
        <w:rPr>
          <w:rFonts w:ascii="Times New Roman" w:hAnsi="Times New Roman" w:cs="Times New Roman"/>
          <w:sz w:val="18"/>
          <w:szCs w:val="18"/>
        </w:rPr>
        <w:t xml:space="preserve"> (Kaunas). 2011;47(10):532-5.</w:t>
      </w:r>
    </w:p>
  </w:footnote>
  <w:footnote w:id="8">
    <w:p w:rsidR="00EF6667" w:rsidRPr="00177DE1" w14:paraId="79C70AA0" w14:textId="0318E9DA">
      <w:pPr>
        <w:pStyle w:val="FootnoteText"/>
        <w:rPr>
          <w:rFonts w:ascii="Times New Roman" w:hAnsi="Times New Roman" w:cs="Times New Roman"/>
        </w:rPr>
      </w:pPr>
      <w:r w:rsidRPr="00177DE1">
        <w:rPr>
          <w:rStyle w:val="FootnoteReference"/>
          <w:rFonts w:ascii="Times New Roman" w:hAnsi="Times New Roman" w:cs="Times New Roman"/>
        </w:rPr>
        <w:footnoteRef/>
      </w:r>
      <w:r w:rsidRPr="00177DE1">
        <w:rPr>
          <w:rFonts w:ascii="Times New Roman" w:hAnsi="Times New Roman" w:cs="Times New Roman"/>
        </w:rPr>
        <w:t xml:space="preserve"> http://apps.who.int/iris/bitstream/10665/206453/1/WHO_HIV_2016.04_eng.pdf?ua=1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092825187"/>
      <w:docPartObj>
        <w:docPartGallery w:val="Page Numbers (Top of Page)"/>
        <w:docPartUnique/>
      </w:docPartObj>
    </w:sdtPr>
    <w:sdtContent>
      <w:p w:rsidR="00EF6667" w:rsidRPr="005423DB" w14:paraId="6E5CA1D3" w14:textId="1894070C">
        <w:pPr>
          <w:pStyle w:val="Header"/>
          <w:jc w:val="center"/>
          <w:rPr>
            <w:rFonts w:ascii="Times New Roman" w:hAnsi="Times New Roman" w:cs="Times New Roman"/>
          </w:rPr>
        </w:pPr>
        <w:r w:rsidRPr="005423DB">
          <w:rPr>
            <w:rFonts w:ascii="Times New Roman" w:hAnsi="Times New Roman" w:cs="Times New Roman"/>
          </w:rPr>
          <w:fldChar w:fldCharType="begin"/>
        </w:r>
        <w:r w:rsidRPr="005423DB">
          <w:rPr>
            <w:rFonts w:ascii="Times New Roman" w:hAnsi="Times New Roman" w:cs="Times New Roman"/>
          </w:rPr>
          <w:instrText xml:space="preserve"> PAGE   \* MERGEFORMAT </w:instrText>
        </w:r>
        <w:r w:rsidRPr="005423DB">
          <w:rPr>
            <w:rFonts w:ascii="Times New Roman" w:hAnsi="Times New Roman" w:cs="Times New Roman"/>
          </w:rPr>
          <w:fldChar w:fldCharType="separate"/>
        </w:r>
        <w:r w:rsidR="00D152B8">
          <w:rPr>
            <w:rFonts w:ascii="Times New Roman" w:hAnsi="Times New Roman" w:cs="Times New Roman"/>
            <w:noProof/>
          </w:rPr>
          <w:t>18</w:t>
        </w:r>
        <w:r w:rsidRPr="005423DB">
          <w:rPr>
            <w:rFonts w:ascii="Times New Roman" w:hAnsi="Times New Roman" w:cs="Times New Roman"/>
          </w:rPr>
          <w:fldChar w:fldCharType="end"/>
        </w:r>
      </w:p>
    </w:sdtContent>
  </w:sdt>
  <w:p w:rsidR="00EF6667" w14:paraId="72B914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077B2A5E"/>
    <w:multiLevelType w:val="hybridMultilevel"/>
    <w:tmpl w:val="2BC4440A"/>
    <w:lvl w:ilvl="0">
      <w:start w:val="1"/>
      <w:numFmt w:val="bullet"/>
      <w:lvlText w:val=""/>
      <w:lvlJc w:val="left"/>
      <w:pPr>
        <w:ind w:left="1429" w:hanging="360"/>
      </w:pPr>
      <w:rPr>
        <w:rFonts w:ascii="Wingdings" w:hAnsi="Wingdings"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 w15:restartNumberingAfterBreak="1">
    <w:nsid w:val="1CFB0999"/>
    <w:multiLevelType w:val="hybridMultilevel"/>
    <w:tmpl w:val="E2BE3B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1">
    <w:nsid w:val="221D6FBC"/>
    <w:multiLevelType w:val="multilevel"/>
    <w:tmpl w:val="75E8CA6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2A50077A"/>
    <w:multiLevelType w:val="hybridMultilevel"/>
    <w:tmpl w:val="1EC25FB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1">
    <w:nsid w:val="3D1E6049"/>
    <w:multiLevelType w:val="hybridMultilevel"/>
    <w:tmpl w:val="3E26BD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15:restartNumberingAfterBreak="1">
    <w:nsid w:val="4A7C43A4"/>
    <w:multiLevelType w:val="hybridMultilevel"/>
    <w:tmpl w:val="B83C6F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1">
    <w:nsid w:val="619726B5"/>
    <w:multiLevelType w:val="hybridMultilevel"/>
    <w:tmpl w:val="680E4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65DB4A7A"/>
    <w:multiLevelType w:val="hybridMultilevel"/>
    <w:tmpl w:val="03C28676"/>
    <w:lvl w:ilvl="0">
      <w:start w:val="1"/>
      <w:numFmt w:val="bullet"/>
      <w:lvlText w:val=""/>
      <w:lvlJc w:val="left"/>
      <w:pPr>
        <w:ind w:left="1500" w:hanging="360"/>
      </w:pPr>
      <w:rPr>
        <w:rFonts w:ascii="Wingdings" w:hAnsi="Wingdings"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8" w15:restartNumberingAfterBreak="1">
    <w:nsid w:val="6ECD00AB"/>
    <w:multiLevelType w:val="hybridMultilevel"/>
    <w:tmpl w:val="EEB05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1">
    <w:nsid w:val="70C92804"/>
    <w:multiLevelType w:val="multilevel"/>
    <w:tmpl w:val="27426B8A"/>
    <w:lvl w:ilvl="0">
      <w:start w:val="1"/>
      <w:numFmt w:val="decimal"/>
      <w:pStyle w:val="1pakapesvirsraksts"/>
      <w:lvlText w:val="%1."/>
      <w:lvlJc w:val="left"/>
      <w:pPr>
        <w:ind w:left="720" w:hanging="360"/>
      </w:pPr>
      <w:rPr>
        <w:rFonts w:cs="Times New Roman" w:hint="default"/>
      </w:rPr>
    </w:lvl>
    <w:lvl w:ilvl="1">
      <w:start w:val="1"/>
      <w:numFmt w:val="decimal"/>
      <w:pStyle w:val="2pakapesvirsraksts"/>
      <w:isLgl/>
      <w:lvlText w:val="%1.%2."/>
      <w:lvlJc w:val="left"/>
      <w:pPr>
        <w:ind w:left="405" w:hanging="405"/>
      </w:pPr>
      <w:rPr>
        <w:rFonts w:cs="Times New Roman" w:hint="default"/>
      </w:rPr>
    </w:lvl>
    <w:lvl w:ilvl="2">
      <w:start w:val="1"/>
      <w:numFmt w:val="decimal"/>
      <w:pStyle w:val="3pakapesvirsraksts"/>
      <w:isLgl/>
      <w:lvlText w:val="%1.%2.%3."/>
      <w:lvlJc w:val="left"/>
      <w:pPr>
        <w:ind w:left="1004" w:hanging="720"/>
      </w:pPr>
      <w:rPr>
        <w:rFonts w:cs="Times New Roman" w:hint="default"/>
      </w:rPr>
    </w:lvl>
    <w:lvl w:ilvl="3">
      <w:start w:val="1"/>
      <w:numFmt w:val="decimal"/>
      <w:pStyle w:val="4pakapesvirsraksts"/>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1">
    <w:nsid w:val="75022399"/>
    <w:multiLevelType w:val="hybridMultilevel"/>
    <w:tmpl w:val="BC44F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3"/>
  </w:num>
  <w:num w:numId="5">
    <w:abstractNumId w:val="5"/>
  </w:num>
  <w:num w:numId="6">
    <w:abstractNumId w:val="8"/>
  </w:num>
  <w:num w:numId="7">
    <w:abstractNumId w:val="0"/>
  </w:num>
  <w:num w:numId="8">
    <w:abstractNumId w:val="4"/>
  </w:num>
  <w:num w:numId="9">
    <w:abstractNumId w:val="7"/>
  </w:num>
  <w:num w:numId="10">
    <w:abstractNumId w:val="6"/>
  </w:num>
  <w:num w:numId="1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970"/>
    <w:rsid w:val="000017A3"/>
    <w:rsid w:val="00004B91"/>
    <w:rsid w:val="00005792"/>
    <w:rsid w:val="000062C2"/>
    <w:rsid w:val="00007886"/>
    <w:rsid w:val="00010A18"/>
    <w:rsid w:val="00010B16"/>
    <w:rsid w:val="00011826"/>
    <w:rsid w:val="0001297D"/>
    <w:rsid w:val="00013560"/>
    <w:rsid w:val="00014B3F"/>
    <w:rsid w:val="00015FDB"/>
    <w:rsid w:val="00017F6C"/>
    <w:rsid w:val="00022346"/>
    <w:rsid w:val="000224B6"/>
    <w:rsid w:val="00023B2A"/>
    <w:rsid w:val="0002467D"/>
    <w:rsid w:val="00024A4B"/>
    <w:rsid w:val="00025E7E"/>
    <w:rsid w:val="00026B33"/>
    <w:rsid w:val="00026C21"/>
    <w:rsid w:val="0002794C"/>
    <w:rsid w:val="00027CE7"/>
    <w:rsid w:val="00031C57"/>
    <w:rsid w:val="00032B87"/>
    <w:rsid w:val="00032EE2"/>
    <w:rsid w:val="00033628"/>
    <w:rsid w:val="00035846"/>
    <w:rsid w:val="0004027D"/>
    <w:rsid w:val="00040C38"/>
    <w:rsid w:val="00041AF9"/>
    <w:rsid w:val="00042ACB"/>
    <w:rsid w:val="000444B0"/>
    <w:rsid w:val="00045FB3"/>
    <w:rsid w:val="0004688A"/>
    <w:rsid w:val="00046AAF"/>
    <w:rsid w:val="0004769C"/>
    <w:rsid w:val="00047C94"/>
    <w:rsid w:val="0005043F"/>
    <w:rsid w:val="00050ED4"/>
    <w:rsid w:val="0005280E"/>
    <w:rsid w:val="00052B54"/>
    <w:rsid w:val="00052B6D"/>
    <w:rsid w:val="00052D53"/>
    <w:rsid w:val="0005594E"/>
    <w:rsid w:val="00056617"/>
    <w:rsid w:val="00056AB6"/>
    <w:rsid w:val="00060175"/>
    <w:rsid w:val="0006051B"/>
    <w:rsid w:val="0006091E"/>
    <w:rsid w:val="00060FB6"/>
    <w:rsid w:val="000636B9"/>
    <w:rsid w:val="00067527"/>
    <w:rsid w:val="000676E3"/>
    <w:rsid w:val="00067FF0"/>
    <w:rsid w:val="000707FF"/>
    <w:rsid w:val="00071AF3"/>
    <w:rsid w:val="0007279D"/>
    <w:rsid w:val="00072B12"/>
    <w:rsid w:val="0007302B"/>
    <w:rsid w:val="00073902"/>
    <w:rsid w:val="00073A85"/>
    <w:rsid w:val="00076300"/>
    <w:rsid w:val="00076D03"/>
    <w:rsid w:val="00077E98"/>
    <w:rsid w:val="00077F89"/>
    <w:rsid w:val="0008420B"/>
    <w:rsid w:val="00084223"/>
    <w:rsid w:val="00090820"/>
    <w:rsid w:val="0009144E"/>
    <w:rsid w:val="000924CD"/>
    <w:rsid w:val="00093DD6"/>
    <w:rsid w:val="00096930"/>
    <w:rsid w:val="000A0426"/>
    <w:rsid w:val="000A0E74"/>
    <w:rsid w:val="000A0EEB"/>
    <w:rsid w:val="000A3D98"/>
    <w:rsid w:val="000A4EFD"/>
    <w:rsid w:val="000B2CA3"/>
    <w:rsid w:val="000B2EAB"/>
    <w:rsid w:val="000B5110"/>
    <w:rsid w:val="000B7D18"/>
    <w:rsid w:val="000C23EA"/>
    <w:rsid w:val="000C7A42"/>
    <w:rsid w:val="000D12D8"/>
    <w:rsid w:val="000D3974"/>
    <w:rsid w:val="000D53EA"/>
    <w:rsid w:val="000E0605"/>
    <w:rsid w:val="000E09B4"/>
    <w:rsid w:val="000E289A"/>
    <w:rsid w:val="000E38A3"/>
    <w:rsid w:val="000E3909"/>
    <w:rsid w:val="000E3DDC"/>
    <w:rsid w:val="000E3FC0"/>
    <w:rsid w:val="000E5CC0"/>
    <w:rsid w:val="000E643F"/>
    <w:rsid w:val="000E6CE9"/>
    <w:rsid w:val="000F1FE7"/>
    <w:rsid w:val="000F22AC"/>
    <w:rsid w:val="000F3CEF"/>
    <w:rsid w:val="000F4B32"/>
    <w:rsid w:val="000F73B2"/>
    <w:rsid w:val="00102276"/>
    <w:rsid w:val="0010247D"/>
    <w:rsid w:val="001051B9"/>
    <w:rsid w:val="0010546C"/>
    <w:rsid w:val="00107173"/>
    <w:rsid w:val="00107905"/>
    <w:rsid w:val="001113E5"/>
    <w:rsid w:val="00113AEA"/>
    <w:rsid w:val="001146CB"/>
    <w:rsid w:val="00114788"/>
    <w:rsid w:val="00114CF3"/>
    <w:rsid w:val="00115899"/>
    <w:rsid w:val="00115990"/>
    <w:rsid w:val="001168E6"/>
    <w:rsid w:val="00117CC6"/>
    <w:rsid w:val="00117E61"/>
    <w:rsid w:val="00121331"/>
    <w:rsid w:val="00121874"/>
    <w:rsid w:val="00121AC9"/>
    <w:rsid w:val="001269F2"/>
    <w:rsid w:val="0012718E"/>
    <w:rsid w:val="00135227"/>
    <w:rsid w:val="00140338"/>
    <w:rsid w:val="00140933"/>
    <w:rsid w:val="00142742"/>
    <w:rsid w:val="00144087"/>
    <w:rsid w:val="00145E38"/>
    <w:rsid w:val="001460CD"/>
    <w:rsid w:val="001506A7"/>
    <w:rsid w:val="0015087C"/>
    <w:rsid w:val="0015101B"/>
    <w:rsid w:val="001518F7"/>
    <w:rsid w:val="001542DA"/>
    <w:rsid w:val="001554DF"/>
    <w:rsid w:val="00155FF4"/>
    <w:rsid w:val="00156A31"/>
    <w:rsid w:val="0015787B"/>
    <w:rsid w:val="00157915"/>
    <w:rsid w:val="00160316"/>
    <w:rsid w:val="001605B4"/>
    <w:rsid w:val="00161184"/>
    <w:rsid w:val="00162B6E"/>
    <w:rsid w:val="00163075"/>
    <w:rsid w:val="001630C6"/>
    <w:rsid w:val="00164A4C"/>
    <w:rsid w:val="00166140"/>
    <w:rsid w:val="001678C9"/>
    <w:rsid w:val="001715C8"/>
    <w:rsid w:val="00174607"/>
    <w:rsid w:val="0017650D"/>
    <w:rsid w:val="00176637"/>
    <w:rsid w:val="00177B31"/>
    <w:rsid w:val="00177C7E"/>
    <w:rsid w:val="00177DE1"/>
    <w:rsid w:val="00177F3B"/>
    <w:rsid w:val="001805A5"/>
    <w:rsid w:val="001807C9"/>
    <w:rsid w:val="00180838"/>
    <w:rsid w:val="001812DD"/>
    <w:rsid w:val="00181979"/>
    <w:rsid w:val="00181EB1"/>
    <w:rsid w:val="001825E4"/>
    <w:rsid w:val="00182F34"/>
    <w:rsid w:val="00183547"/>
    <w:rsid w:val="00183E50"/>
    <w:rsid w:val="001842E5"/>
    <w:rsid w:val="00184AD4"/>
    <w:rsid w:val="00187AA4"/>
    <w:rsid w:val="00187F39"/>
    <w:rsid w:val="00190B3E"/>
    <w:rsid w:val="00191301"/>
    <w:rsid w:val="0019180B"/>
    <w:rsid w:val="00191AD4"/>
    <w:rsid w:val="00194926"/>
    <w:rsid w:val="00194FBC"/>
    <w:rsid w:val="001954FD"/>
    <w:rsid w:val="00195916"/>
    <w:rsid w:val="00196761"/>
    <w:rsid w:val="001A19E3"/>
    <w:rsid w:val="001A6661"/>
    <w:rsid w:val="001A684F"/>
    <w:rsid w:val="001A7B79"/>
    <w:rsid w:val="001B246E"/>
    <w:rsid w:val="001B3D8E"/>
    <w:rsid w:val="001B5B49"/>
    <w:rsid w:val="001B6699"/>
    <w:rsid w:val="001C0CE1"/>
    <w:rsid w:val="001C38A7"/>
    <w:rsid w:val="001C42B6"/>
    <w:rsid w:val="001C5B74"/>
    <w:rsid w:val="001C6722"/>
    <w:rsid w:val="001C680F"/>
    <w:rsid w:val="001C6A8C"/>
    <w:rsid w:val="001D0E46"/>
    <w:rsid w:val="001D1986"/>
    <w:rsid w:val="001D3685"/>
    <w:rsid w:val="001D52F1"/>
    <w:rsid w:val="001D7EC2"/>
    <w:rsid w:val="001E043E"/>
    <w:rsid w:val="001E0694"/>
    <w:rsid w:val="001E1664"/>
    <w:rsid w:val="001E4D0A"/>
    <w:rsid w:val="001E6002"/>
    <w:rsid w:val="001F0D44"/>
    <w:rsid w:val="001F289F"/>
    <w:rsid w:val="001F331F"/>
    <w:rsid w:val="001F528A"/>
    <w:rsid w:val="001F67EA"/>
    <w:rsid w:val="001F6C62"/>
    <w:rsid w:val="001F77C9"/>
    <w:rsid w:val="001F7828"/>
    <w:rsid w:val="001F7EC0"/>
    <w:rsid w:val="002025E5"/>
    <w:rsid w:val="00202824"/>
    <w:rsid w:val="00204612"/>
    <w:rsid w:val="0020470C"/>
    <w:rsid w:val="00205373"/>
    <w:rsid w:val="002077AA"/>
    <w:rsid w:val="00207D51"/>
    <w:rsid w:val="00210B75"/>
    <w:rsid w:val="00211CAD"/>
    <w:rsid w:val="002124BE"/>
    <w:rsid w:val="00212EB5"/>
    <w:rsid w:val="00212ECB"/>
    <w:rsid w:val="002134DA"/>
    <w:rsid w:val="00217405"/>
    <w:rsid w:val="00217843"/>
    <w:rsid w:val="00217A33"/>
    <w:rsid w:val="00220A1B"/>
    <w:rsid w:val="00220B82"/>
    <w:rsid w:val="00220FB0"/>
    <w:rsid w:val="00221DA8"/>
    <w:rsid w:val="00221FEA"/>
    <w:rsid w:val="002226D9"/>
    <w:rsid w:val="00223616"/>
    <w:rsid w:val="00230E6B"/>
    <w:rsid w:val="002343E6"/>
    <w:rsid w:val="00234B48"/>
    <w:rsid w:val="0023555C"/>
    <w:rsid w:val="0023660B"/>
    <w:rsid w:val="002370DE"/>
    <w:rsid w:val="00240E30"/>
    <w:rsid w:val="002415BF"/>
    <w:rsid w:val="00243B92"/>
    <w:rsid w:val="00245344"/>
    <w:rsid w:val="002461FF"/>
    <w:rsid w:val="0024691E"/>
    <w:rsid w:val="00246D9F"/>
    <w:rsid w:val="002500D3"/>
    <w:rsid w:val="002518FC"/>
    <w:rsid w:val="00251B35"/>
    <w:rsid w:val="00252681"/>
    <w:rsid w:val="00252D7E"/>
    <w:rsid w:val="0025333C"/>
    <w:rsid w:val="00253AAC"/>
    <w:rsid w:val="0025727F"/>
    <w:rsid w:val="0025778E"/>
    <w:rsid w:val="002615BC"/>
    <w:rsid w:val="0026171C"/>
    <w:rsid w:val="00261765"/>
    <w:rsid w:val="00263AFA"/>
    <w:rsid w:val="00263CF1"/>
    <w:rsid w:val="002663FD"/>
    <w:rsid w:val="00266D1C"/>
    <w:rsid w:val="00267D0F"/>
    <w:rsid w:val="00271B3A"/>
    <w:rsid w:val="0027251E"/>
    <w:rsid w:val="00274028"/>
    <w:rsid w:val="00274CA2"/>
    <w:rsid w:val="0028112E"/>
    <w:rsid w:val="002826C6"/>
    <w:rsid w:val="00284C70"/>
    <w:rsid w:val="0028586A"/>
    <w:rsid w:val="002918FA"/>
    <w:rsid w:val="00291D09"/>
    <w:rsid w:val="00291F04"/>
    <w:rsid w:val="00293367"/>
    <w:rsid w:val="002954E0"/>
    <w:rsid w:val="002A185C"/>
    <w:rsid w:val="002A22B6"/>
    <w:rsid w:val="002A3E00"/>
    <w:rsid w:val="002A4355"/>
    <w:rsid w:val="002A442F"/>
    <w:rsid w:val="002A6111"/>
    <w:rsid w:val="002A7813"/>
    <w:rsid w:val="002B089F"/>
    <w:rsid w:val="002B0D40"/>
    <w:rsid w:val="002B2539"/>
    <w:rsid w:val="002B342D"/>
    <w:rsid w:val="002B3745"/>
    <w:rsid w:val="002B41D8"/>
    <w:rsid w:val="002B501C"/>
    <w:rsid w:val="002B5085"/>
    <w:rsid w:val="002B55E6"/>
    <w:rsid w:val="002B58AD"/>
    <w:rsid w:val="002B5B37"/>
    <w:rsid w:val="002B64E7"/>
    <w:rsid w:val="002B76B0"/>
    <w:rsid w:val="002B7FC5"/>
    <w:rsid w:val="002C1F96"/>
    <w:rsid w:val="002C3057"/>
    <w:rsid w:val="002C37BB"/>
    <w:rsid w:val="002C3A56"/>
    <w:rsid w:val="002C3AFB"/>
    <w:rsid w:val="002C5096"/>
    <w:rsid w:val="002C756C"/>
    <w:rsid w:val="002D1C9F"/>
    <w:rsid w:val="002D2332"/>
    <w:rsid w:val="002D2334"/>
    <w:rsid w:val="002D2420"/>
    <w:rsid w:val="002D2D71"/>
    <w:rsid w:val="002D3001"/>
    <w:rsid w:val="002D64A9"/>
    <w:rsid w:val="002D6520"/>
    <w:rsid w:val="002D6C55"/>
    <w:rsid w:val="002D703E"/>
    <w:rsid w:val="002E35C4"/>
    <w:rsid w:val="002E4148"/>
    <w:rsid w:val="002E7475"/>
    <w:rsid w:val="002F15D4"/>
    <w:rsid w:val="002F1700"/>
    <w:rsid w:val="002F36D2"/>
    <w:rsid w:val="002F3C81"/>
    <w:rsid w:val="002F447A"/>
    <w:rsid w:val="002F56D9"/>
    <w:rsid w:val="002F704B"/>
    <w:rsid w:val="002F7E15"/>
    <w:rsid w:val="00303706"/>
    <w:rsid w:val="0030431C"/>
    <w:rsid w:val="00305C5A"/>
    <w:rsid w:val="003067FC"/>
    <w:rsid w:val="003071C3"/>
    <w:rsid w:val="00307206"/>
    <w:rsid w:val="00310016"/>
    <w:rsid w:val="00312DA7"/>
    <w:rsid w:val="003136B2"/>
    <w:rsid w:val="003140AA"/>
    <w:rsid w:val="0031772A"/>
    <w:rsid w:val="00317EE1"/>
    <w:rsid w:val="00320295"/>
    <w:rsid w:val="003206E7"/>
    <w:rsid w:val="003226DC"/>
    <w:rsid w:val="003314E3"/>
    <w:rsid w:val="003334EE"/>
    <w:rsid w:val="00334308"/>
    <w:rsid w:val="0033486B"/>
    <w:rsid w:val="0033571A"/>
    <w:rsid w:val="0033574C"/>
    <w:rsid w:val="003357CF"/>
    <w:rsid w:val="0033675C"/>
    <w:rsid w:val="00337B24"/>
    <w:rsid w:val="00341AF7"/>
    <w:rsid w:val="00343E8A"/>
    <w:rsid w:val="003441A8"/>
    <w:rsid w:val="00344A4C"/>
    <w:rsid w:val="00350DED"/>
    <w:rsid w:val="00352524"/>
    <w:rsid w:val="0035264B"/>
    <w:rsid w:val="003532E4"/>
    <w:rsid w:val="0035409C"/>
    <w:rsid w:val="0035679C"/>
    <w:rsid w:val="003571EA"/>
    <w:rsid w:val="00362F14"/>
    <w:rsid w:val="00364C21"/>
    <w:rsid w:val="00364FF4"/>
    <w:rsid w:val="00367A10"/>
    <w:rsid w:val="003730EA"/>
    <w:rsid w:val="003739A2"/>
    <w:rsid w:val="003742DC"/>
    <w:rsid w:val="0037609C"/>
    <w:rsid w:val="00377170"/>
    <w:rsid w:val="0037755C"/>
    <w:rsid w:val="003775CE"/>
    <w:rsid w:val="003804E4"/>
    <w:rsid w:val="00380602"/>
    <w:rsid w:val="003825C6"/>
    <w:rsid w:val="00382DB1"/>
    <w:rsid w:val="00383190"/>
    <w:rsid w:val="003831E1"/>
    <w:rsid w:val="003855C9"/>
    <w:rsid w:val="00390F83"/>
    <w:rsid w:val="00391D0D"/>
    <w:rsid w:val="00391FE2"/>
    <w:rsid w:val="0039218A"/>
    <w:rsid w:val="00392495"/>
    <w:rsid w:val="0039396A"/>
    <w:rsid w:val="003956BE"/>
    <w:rsid w:val="003966D1"/>
    <w:rsid w:val="00396B77"/>
    <w:rsid w:val="00396F05"/>
    <w:rsid w:val="003970C9"/>
    <w:rsid w:val="00397905"/>
    <w:rsid w:val="003A0088"/>
    <w:rsid w:val="003A12F4"/>
    <w:rsid w:val="003A1660"/>
    <w:rsid w:val="003A2CC3"/>
    <w:rsid w:val="003A5035"/>
    <w:rsid w:val="003B1B5C"/>
    <w:rsid w:val="003B21C2"/>
    <w:rsid w:val="003B2B44"/>
    <w:rsid w:val="003B3629"/>
    <w:rsid w:val="003B46CA"/>
    <w:rsid w:val="003B6D2C"/>
    <w:rsid w:val="003B6DC4"/>
    <w:rsid w:val="003C186C"/>
    <w:rsid w:val="003C2151"/>
    <w:rsid w:val="003C3B03"/>
    <w:rsid w:val="003C436E"/>
    <w:rsid w:val="003C56D8"/>
    <w:rsid w:val="003C72B6"/>
    <w:rsid w:val="003C7616"/>
    <w:rsid w:val="003D2069"/>
    <w:rsid w:val="003D25FD"/>
    <w:rsid w:val="003D2C70"/>
    <w:rsid w:val="003D3DCD"/>
    <w:rsid w:val="003D6DE9"/>
    <w:rsid w:val="003D7D19"/>
    <w:rsid w:val="003E0833"/>
    <w:rsid w:val="003E0C7B"/>
    <w:rsid w:val="003E0CAE"/>
    <w:rsid w:val="003E1BFF"/>
    <w:rsid w:val="003E1FF2"/>
    <w:rsid w:val="003E2C8D"/>
    <w:rsid w:val="003E403A"/>
    <w:rsid w:val="003E6124"/>
    <w:rsid w:val="003E7588"/>
    <w:rsid w:val="003E76CB"/>
    <w:rsid w:val="003F1488"/>
    <w:rsid w:val="003F1724"/>
    <w:rsid w:val="003F1C46"/>
    <w:rsid w:val="003F33C9"/>
    <w:rsid w:val="003F357D"/>
    <w:rsid w:val="003F43B0"/>
    <w:rsid w:val="003F5A11"/>
    <w:rsid w:val="003F6184"/>
    <w:rsid w:val="003F791A"/>
    <w:rsid w:val="0040024B"/>
    <w:rsid w:val="004004F6"/>
    <w:rsid w:val="0040099D"/>
    <w:rsid w:val="004018CD"/>
    <w:rsid w:val="004023DC"/>
    <w:rsid w:val="0040419E"/>
    <w:rsid w:val="00404214"/>
    <w:rsid w:val="004046B9"/>
    <w:rsid w:val="00404A4D"/>
    <w:rsid w:val="0040640F"/>
    <w:rsid w:val="00406CF9"/>
    <w:rsid w:val="004109FB"/>
    <w:rsid w:val="00411CC2"/>
    <w:rsid w:val="004125F3"/>
    <w:rsid w:val="00412BEF"/>
    <w:rsid w:val="0041332F"/>
    <w:rsid w:val="00413F59"/>
    <w:rsid w:val="00420474"/>
    <w:rsid w:val="00420971"/>
    <w:rsid w:val="00421E82"/>
    <w:rsid w:val="00423B5A"/>
    <w:rsid w:val="0042410D"/>
    <w:rsid w:val="004251B3"/>
    <w:rsid w:val="00425F77"/>
    <w:rsid w:val="0042696A"/>
    <w:rsid w:val="00426B53"/>
    <w:rsid w:val="00426BC0"/>
    <w:rsid w:val="00426C19"/>
    <w:rsid w:val="00427602"/>
    <w:rsid w:val="00427EC0"/>
    <w:rsid w:val="00430247"/>
    <w:rsid w:val="00430CDC"/>
    <w:rsid w:val="0043129A"/>
    <w:rsid w:val="0043494B"/>
    <w:rsid w:val="00434E72"/>
    <w:rsid w:val="004352E6"/>
    <w:rsid w:val="00441933"/>
    <w:rsid w:val="00441C92"/>
    <w:rsid w:val="0044502F"/>
    <w:rsid w:val="004460D0"/>
    <w:rsid w:val="00446288"/>
    <w:rsid w:val="004462A9"/>
    <w:rsid w:val="00446E82"/>
    <w:rsid w:val="00447BC4"/>
    <w:rsid w:val="00451BCA"/>
    <w:rsid w:val="00453519"/>
    <w:rsid w:val="00455CB3"/>
    <w:rsid w:val="00457481"/>
    <w:rsid w:val="00457AC2"/>
    <w:rsid w:val="00460358"/>
    <w:rsid w:val="004622DA"/>
    <w:rsid w:val="00463077"/>
    <w:rsid w:val="004633CF"/>
    <w:rsid w:val="00464353"/>
    <w:rsid w:val="004644AC"/>
    <w:rsid w:val="00464BD8"/>
    <w:rsid w:val="00467BEC"/>
    <w:rsid w:val="0047044D"/>
    <w:rsid w:val="00470DA6"/>
    <w:rsid w:val="00472FE4"/>
    <w:rsid w:val="00473D36"/>
    <w:rsid w:val="00474B99"/>
    <w:rsid w:val="00474DA8"/>
    <w:rsid w:val="00476B15"/>
    <w:rsid w:val="00476BE2"/>
    <w:rsid w:val="00477BAB"/>
    <w:rsid w:val="00477F74"/>
    <w:rsid w:val="00482199"/>
    <w:rsid w:val="00483621"/>
    <w:rsid w:val="00484131"/>
    <w:rsid w:val="00484E58"/>
    <w:rsid w:val="00485A95"/>
    <w:rsid w:val="004924C5"/>
    <w:rsid w:val="0049316C"/>
    <w:rsid w:val="00494136"/>
    <w:rsid w:val="00494BC5"/>
    <w:rsid w:val="004956A8"/>
    <w:rsid w:val="00495C91"/>
    <w:rsid w:val="004A0888"/>
    <w:rsid w:val="004A1E4E"/>
    <w:rsid w:val="004A20C3"/>
    <w:rsid w:val="004A2619"/>
    <w:rsid w:val="004A3CE4"/>
    <w:rsid w:val="004A415A"/>
    <w:rsid w:val="004A5103"/>
    <w:rsid w:val="004A5DEF"/>
    <w:rsid w:val="004A68D5"/>
    <w:rsid w:val="004B07F5"/>
    <w:rsid w:val="004B0AD6"/>
    <w:rsid w:val="004B140B"/>
    <w:rsid w:val="004B3E85"/>
    <w:rsid w:val="004B4729"/>
    <w:rsid w:val="004B51FA"/>
    <w:rsid w:val="004B5790"/>
    <w:rsid w:val="004B78C5"/>
    <w:rsid w:val="004B7A09"/>
    <w:rsid w:val="004B7FB0"/>
    <w:rsid w:val="004C09BE"/>
    <w:rsid w:val="004C0A1E"/>
    <w:rsid w:val="004C1238"/>
    <w:rsid w:val="004C1555"/>
    <w:rsid w:val="004C1683"/>
    <w:rsid w:val="004C3680"/>
    <w:rsid w:val="004C3A75"/>
    <w:rsid w:val="004C4287"/>
    <w:rsid w:val="004C4A3A"/>
    <w:rsid w:val="004C4F7F"/>
    <w:rsid w:val="004C582C"/>
    <w:rsid w:val="004C62DC"/>
    <w:rsid w:val="004C7343"/>
    <w:rsid w:val="004C7422"/>
    <w:rsid w:val="004D045B"/>
    <w:rsid w:val="004D142A"/>
    <w:rsid w:val="004D20B8"/>
    <w:rsid w:val="004D344B"/>
    <w:rsid w:val="004D3F84"/>
    <w:rsid w:val="004D41AF"/>
    <w:rsid w:val="004D490F"/>
    <w:rsid w:val="004D4D36"/>
    <w:rsid w:val="004D510C"/>
    <w:rsid w:val="004D5A60"/>
    <w:rsid w:val="004D610A"/>
    <w:rsid w:val="004D68BE"/>
    <w:rsid w:val="004D6937"/>
    <w:rsid w:val="004E056A"/>
    <w:rsid w:val="004E133B"/>
    <w:rsid w:val="004E1623"/>
    <w:rsid w:val="004E2CCA"/>
    <w:rsid w:val="004E470B"/>
    <w:rsid w:val="004E5D17"/>
    <w:rsid w:val="004E6271"/>
    <w:rsid w:val="004E74EB"/>
    <w:rsid w:val="004E76F4"/>
    <w:rsid w:val="004F1302"/>
    <w:rsid w:val="004F29CE"/>
    <w:rsid w:val="004F32D2"/>
    <w:rsid w:val="004F413C"/>
    <w:rsid w:val="004F44A7"/>
    <w:rsid w:val="004F48F4"/>
    <w:rsid w:val="004F67E6"/>
    <w:rsid w:val="005002BF"/>
    <w:rsid w:val="005020DE"/>
    <w:rsid w:val="00502CE5"/>
    <w:rsid w:val="00502D01"/>
    <w:rsid w:val="00502FB4"/>
    <w:rsid w:val="00503B59"/>
    <w:rsid w:val="00504EF9"/>
    <w:rsid w:val="005057AE"/>
    <w:rsid w:val="00507FCD"/>
    <w:rsid w:val="005128DA"/>
    <w:rsid w:val="00512FC3"/>
    <w:rsid w:val="00513084"/>
    <w:rsid w:val="00513D42"/>
    <w:rsid w:val="0051411A"/>
    <w:rsid w:val="00514827"/>
    <w:rsid w:val="00515040"/>
    <w:rsid w:val="00516DF4"/>
    <w:rsid w:val="00516FA8"/>
    <w:rsid w:val="005216CA"/>
    <w:rsid w:val="0052426D"/>
    <w:rsid w:val="005259BC"/>
    <w:rsid w:val="005301FC"/>
    <w:rsid w:val="005321E1"/>
    <w:rsid w:val="00532393"/>
    <w:rsid w:val="005339EE"/>
    <w:rsid w:val="005347A1"/>
    <w:rsid w:val="005347BD"/>
    <w:rsid w:val="00535B4B"/>
    <w:rsid w:val="005368AD"/>
    <w:rsid w:val="005372FE"/>
    <w:rsid w:val="00540B01"/>
    <w:rsid w:val="005423DB"/>
    <w:rsid w:val="005429E2"/>
    <w:rsid w:val="00544228"/>
    <w:rsid w:val="00544472"/>
    <w:rsid w:val="00545AA6"/>
    <w:rsid w:val="005477AF"/>
    <w:rsid w:val="00547802"/>
    <w:rsid w:val="0055192A"/>
    <w:rsid w:val="00552AA2"/>
    <w:rsid w:val="00552ABF"/>
    <w:rsid w:val="00552B74"/>
    <w:rsid w:val="00552DD4"/>
    <w:rsid w:val="0055508C"/>
    <w:rsid w:val="00555B66"/>
    <w:rsid w:val="00557384"/>
    <w:rsid w:val="00563332"/>
    <w:rsid w:val="00564826"/>
    <w:rsid w:val="00565BE7"/>
    <w:rsid w:val="00570AFD"/>
    <w:rsid w:val="00570E37"/>
    <w:rsid w:val="00570FF2"/>
    <w:rsid w:val="00571884"/>
    <w:rsid w:val="005723C3"/>
    <w:rsid w:val="00572EC7"/>
    <w:rsid w:val="00573493"/>
    <w:rsid w:val="00574860"/>
    <w:rsid w:val="00574D96"/>
    <w:rsid w:val="00577BE2"/>
    <w:rsid w:val="00581461"/>
    <w:rsid w:val="0058284D"/>
    <w:rsid w:val="00584553"/>
    <w:rsid w:val="00590242"/>
    <w:rsid w:val="005908CC"/>
    <w:rsid w:val="00592212"/>
    <w:rsid w:val="00592833"/>
    <w:rsid w:val="00592BEC"/>
    <w:rsid w:val="005931C1"/>
    <w:rsid w:val="00593A31"/>
    <w:rsid w:val="0059581C"/>
    <w:rsid w:val="00596684"/>
    <w:rsid w:val="00596FDF"/>
    <w:rsid w:val="005A1E8B"/>
    <w:rsid w:val="005A2BDC"/>
    <w:rsid w:val="005A329D"/>
    <w:rsid w:val="005A4215"/>
    <w:rsid w:val="005A5B75"/>
    <w:rsid w:val="005A714C"/>
    <w:rsid w:val="005A7B7D"/>
    <w:rsid w:val="005B039A"/>
    <w:rsid w:val="005B1094"/>
    <w:rsid w:val="005B1BC6"/>
    <w:rsid w:val="005B4179"/>
    <w:rsid w:val="005B5190"/>
    <w:rsid w:val="005B605F"/>
    <w:rsid w:val="005C0E93"/>
    <w:rsid w:val="005C3470"/>
    <w:rsid w:val="005C359C"/>
    <w:rsid w:val="005C391F"/>
    <w:rsid w:val="005C3B86"/>
    <w:rsid w:val="005C5679"/>
    <w:rsid w:val="005C6317"/>
    <w:rsid w:val="005C63F8"/>
    <w:rsid w:val="005C64D2"/>
    <w:rsid w:val="005C6DEC"/>
    <w:rsid w:val="005C6EB9"/>
    <w:rsid w:val="005D255B"/>
    <w:rsid w:val="005D2D9A"/>
    <w:rsid w:val="005D2FE6"/>
    <w:rsid w:val="005D33E0"/>
    <w:rsid w:val="005D5E8E"/>
    <w:rsid w:val="005D6C3B"/>
    <w:rsid w:val="005E1261"/>
    <w:rsid w:val="005E1632"/>
    <w:rsid w:val="005E1867"/>
    <w:rsid w:val="005E1B42"/>
    <w:rsid w:val="005E28A3"/>
    <w:rsid w:val="005E30C5"/>
    <w:rsid w:val="005E4EF7"/>
    <w:rsid w:val="005E680B"/>
    <w:rsid w:val="005F2991"/>
    <w:rsid w:val="005F2DEA"/>
    <w:rsid w:val="005F3677"/>
    <w:rsid w:val="005F56AE"/>
    <w:rsid w:val="005F58F7"/>
    <w:rsid w:val="005F6C0F"/>
    <w:rsid w:val="00601746"/>
    <w:rsid w:val="00601E1A"/>
    <w:rsid w:val="00602561"/>
    <w:rsid w:val="00603529"/>
    <w:rsid w:val="00605AA6"/>
    <w:rsid w:val="0060611D"/>
    <w:rsid w:val="006069A1"/>
    <w:rsid w:val="00607F0A"/>
    <w:rsid w:val="006103C1"/>
    <w:rsid w:val="00610B6E"/>
    <w:rsid w:val="00610EA2"/>
    <w:rsid w:val="00612493"/>
    <w:rsid w:val="00612C04"/>
    <w:rsid w:val="006134C6"/>
    <w:rsid w:val="00613835"/>
    <w:rsid w:val="006140E2"/>
    <w:rsid w:val="00615095"/>
    <w:rsid w:val="00615E99"/>
    <w:rsid w:val="00617636"/>
    <w:rsid w:val="00617D72"/>
    <w:rsid w:val="006213DE"/>
    <w:rsid w:val="00621E15"/>
    <w:rsid w:val="00622D1E"/>
    <w:rsid w:val="00622DF5"/>
    <w:rsid w:val="0062375F"/>
    <w:rsid w:val="006240D2"/>
    <w:rsid w:val="006254DF"/>
    <w:rsid w:val="0062591B"/>
    <w:rsid w:val="00630AB7"/>
    <w:rsid w:val="006316D4"/>
    <w:rsid w:val="006317B5"/>
    <w:rsid w:val="00631FCF"/>
    <w:rsid w:val="00632759"/>
    <w:rsid w:val="006328F9"/>
    <w:rsid w:val="00632B23"/>
    <w:rsid w:val="00633A54"/>
    <w:rsid w:val="00633EA3"/>
    <w:rsid w:val="00635FD9"/>
    <w:rsid w:val="00636EF0"/>
    <w:rsid w:val="006370C8"/>
    <w:rsid w:val="00640E68"/>
    <w:rsid w:val="006410E2"/>
    <w:rsid w:val="00644AC6"/>
    <w:rsid w:val="00647770"/>
    <w:rsid w:val="00647EBC"/>
    <w:rsid w:val="00651B85"/>
    <w:rsid w:val="0065366C"/>
    <w:rsid w:val="00653D1C"/>
    <w:rsid w:val="0065597C"/>
    <w:rsid w:val="00656208"/>
    <w:rsid w:val="0065623E"/>
    <w:rsid w:val="006565E4"/>
    <w:rsid w:val="006576D1"/>
    <w:rsid w:val="0066058E"/>
    <w:rsid w:val="00660A3D"/>
    <w:rsid w:val="00661297"/>
    <w:rsid w:val="00662658"/>
    <w:rsid w:val="00662B24"/>
    <w:rsid w:val="006654CF"/>
    <w:rsid w:val="006670B4"/>
    <w:rsid w:val="00667376"/>
    <w:rsid w:val="00672728"/>
    <w:rsid w:val="006757B3"/>
    <w:rsid w:val="006779AC"/>
    <w:rsid w:val="006804F3"/>
    <w:rsid w:val="00680EA8"/>
    <w:rsid w:val="00681B7B"/>
    <w:rsid w:val="00681DBC"/>
    <w:rsid w:val="006822C7"/>
    <w:rsid w:val="0068241D"/>
    <w:rsid w:val="00682A71"/>
    <w:rsid w:val="00684B02"/>
    <w:rsid w:val="00684C71"/>
    <w:rsid w:val="00685334"/>
    <w:rsid w:val="00685D7A"/>
    <w:rsid w:val="0068674A"/>
    <w:rsid w:val="00690D5E"/>
    <w:rsid w:val="006956E4"/>
    <w:rsid w:val="006A07A3"/>
    <w:rsid w:val="006A0F64"/>
    <w:rsid w:val="006A1047"/>
    <w:rsid w:val="006A1185"/>
    <w:rsid w:val="006A17B5"/>
    <w:rsid w:val="006A20AC"/>
    <w:rsid w:val="006A251C"/>
    <w:rsid w:val="006A25A4"/>
    <w:rsid w:val="006A3A29"/>
    <w:rsid w:val="006A4046"/>
    <w:rsid w:val="006A5379"/>
    <w:rsid w:val="006A5996"/>
    <w:rsid w:val="006A5BD4"/>
    <w:rsid w:val="006A5E19"/>
    <w:rsid w:val="006B097E"/>
    <w:rsid w:val="006B20AF"/>
    <w:rsid w:val="006B2D4E"/>
    <w:rsid w:val="006B453F"/>
    <w:rsid w:val="006B4AE2"/>
    <w:rsid w:val="006B592C"/>
    <w:rsid w:val="006B5B61"/>
    <w:rsid w:val="006B6C0D"/>
    <w:rsid w:val="006C073F"/>
    <w:rsid w:val="006C1A18"/>
    <w:rsid w:val="006C2BDD"/>
    <w:rsid w:val="006C309F"/>
    <w:rsid w:val="006C327E"/>
    <w:rsid w:val="006C3AD0"/>
    <w:rsid w:val="006C3C5F"/>
    <w:rsid w:val="006C67FF"/>
    <w:rsid w:val="006C68C7"/>
    <w:rsid w:val="006D076E"/>
    <w:rsid w:val="006D20B6"/>
    <w:rsid w:val="006D262F"/>
    <w:rsid w:val="006D5454"/>
    <w:rsid w:val="006D7E41"/>
    <w:rsid w:val="006E0B19"/>
    <w:rsid w:val="006E1FFA"/>
    <w:rsid w:val="006E24D5"/>
    <w:rsid w:val="006E4B90"/>
    <w:rsid w:val="006E5357"/>
    <w:rsid w:val="006E5564"/>
    <w:rsid w:val="006E62E7"/>
    <w:rsid w:val="006E795F"/>
    <w:rsid w:val="006F1A16"/>
    <w:rsid w:val="006F213A"/>
    <w:rsid w:val="006F2E02"/>
    <w:rsid w:val="006F3F45"/>
    <w:rsid w:val="006F60D7"/>
    <w:rsid w:val="006F684D"/>
    <w:rsid w:val="006F6D0C"/>
    <w:rsid w:val="0070064F"/>
    <w:rsid w:val="0070093D"/>
    <w:rsid w:val="00703CB6"/>
    <w:rsid w:val="0070423D"/>
    <w:rsid w:val="00713C58"/>
    <w:rsid w:val="00713D1C"/>
    <w:rsid w:val="0071703E"/>
    <w:rsid w:val="00717A49"/>
    <w:rsid w:val="00721B4B"/>
    <w:rsid w:val="007233E7"/>
    <w:rsid w:val="007242E8"/>
    <w:rsid w:val="00724895"/>
    <w:rsid w:val="00726DAA"/>
    <w:rsid w:val="00731EC6"/>
    <w:rsid w:val="007321E1"/>
    <w:rsid w:val="007325B7"/>
    <w:rsid w:val="0073300C"/>
    <w:rsid w:val="0073385E"/>
    <w:rsid w:val="00733E86"/>
    <w:rsid w:val="00734597"/>
    <w:rsid w:val="007351C6"/>
    <w:rsid w:val="0073659A"/>
    <w:rsid w:val="0073684D"/>
    <w:rsid w:val="00742970"/>
    <w:rsid w:val="00745491"/>
    <w:rsid w:val="007457E8"/>
    <w:rsid w:val="007458D0"/>
    <w:rsid w:val="00745B7D"/>
    <w:rsid w:val="00746B9A"/>
    <w:rsid w:val="00746DD6"/>
    <w:rsid w:val="00751686"/>
    <w:rsid w:val="00752027"/>
    <w:rsid w:val="007530BC"/>
    <w:rsid w:val="00753B9F"/>
    <w:rsid w:val="00755627"/>
    <w:rsid w:val="00757325"/>
    <w:rsid w:val="00757AA0"/>
    <w:rsid w:val="007600FA"/>
    <w:rsid w:val="007608DE"/>
    <w:rsid w:val="0076109C"/>
    <w:rsid w:val="00761DAE"/>
    <w:rsid w:val="0076265A"/>
    <w:rsid w:val="00762749"/>
    <w:rsid w:val="00763A6C"/>
    <w:rsid w:val="00763B98"/>
    <w:rsid w:val="007649C4"/>
    <w:rsid w:val="00765E41"/>
    <w:rsid w:val="00767347"/>
    <w:rsid w:val="00767A7E"/>
    <w:rsid w:val="00767D76"/>
    <w:rsid w:val="0077034C"/>
    <w:rsid w:val="0077263F"/>
    <w:rsid w:val="0077371D"/>
    <w:rsid w:val="00775546"/>
    <w:rsid w:val="00775879"/>
    <w:rsid w:val="00776E10"/>
    <w:rsid w:val="00781E13"/>
    <w:rsid w:val="00783A5F"/>
    <w:rsid w:val="00785B1C"/>
    <w:rsid w:val="007864F1"/>
    <w:rsid w:val="00786972"/>
    <w:rsid w:val="00787F5A"/>
    <w:rsid w:val="007922B3"/>
    <w:rsid w:val="00793C28"/>
    <w:rsid w:val="007944FC"/>
    <w:rsid w:val="007957A8"/>
    <w:rsid w:val="00795F40"/>
    <w:rsid w:val="007962B4"/>
    <w:rsid w:val="007973E6"/>
    <w:rsid w:val="007A233D"/>
    <w:rsid w:val="007A2375"/>
    <w:rsid w:val="007A3563"/>
    <w:rsid w:val="007A3FA0"/>
    <w:rsid w:val="007A5394"/>
    <w:rsid w:val="007A54FF"/>
    <w:rsid w:val="007A623D"/>
    <w:rsid w:val="007A7BC7"/>
    <w:rsid w:val="007B00F9"/>
    <w:rsid w:val="007B2DAA"/>
    <w:rsid w:val="007B3A84"/>
    <w:rsid w:val="007B414F"/>
    <w:rsid w:val="007B64FF"/>
    <w:rsid w:val="007C0EFC"/>
    <w:rsid w:val="007C1A3E"/>
    <w:rsid w:val="007C2B0B"/>
    <w:rsid w:val="007C5326"/>
    <w:rsid w:val="007C5DDC"/>
    <w:rsid w:val="007C5E34"/>
    <w:rsid w:val="007D2B33"/>
    <w:rsid w:val="007D42B6"/>
    <w:rsid w:val="007D4E33"/>
    <w:rsid w:val="007D593F"/>
    <w:rsid w:val="007D6645"/>
    <w:rsid w:val="007D6AB3"/>
    <w:rsid w:val="007D78AA"/>
    <w:rsid w:val="007E01D5"/>
    <w:rsid w:val="007E1F77"/>
    <w:rsid w:val="007E24E3"/>
    <w:rsid w:val="007E2B05"/>
    <w:rsid w:val="007E39DA"/>
    <w:rsid w:val="007E4EA9"/>
    <w:rsid w:val="007E5DF1"/>
    <w:rsid w:val="007E65EF"/>
    <w:rsid w:val="007E773B"/>
    <w:rsid w:val="007F19AE"/>
    <w:rsid w:val="007F392F"/>
    <w:rsid w:val="007F3A08"/>
    <w:rsid w:val="007F3CF7"/>
    <w:rsid w:val="007F6308"/>
    <w:rsid w:val="00800136"/>
    <w:rsid w:val="00800FC2"/>
    <w:rsid w:val="008039A0"/>
    <w:rsid w:val="00803E8E"/>
    <w:rsid w:val="008044AF"/>
    <w:rsid w:val="0080487E"/>
    <w:rsid w:val="008049DF"/>
    <w:rsid w:val="00807345"/>
    <w:rsid w:val="008108BD"/>
    <w:rsid w:val="00810D4A"/>
    <w:rsid w:val="00812F77"/>
    <w:rsid w:val="00813E96"/>
    <w:rsid w:val="008146D4"/>
    <w:rsid w:val="0081532B"/>
    <w:rsid w:val="0081676B"/>
    <w:rsid w:val="00816C22"/>
    <w:rsid w:val="00816EDB"/>
    <w:rsid w:val="0082034C"/>
    <w:rsid w:val="00820AB0"/>
    <w:rsid w:val="0082148A"/>
    <w:rsid w:val="00823491"/>
    <w:rsid w:val="00827001"/>
    <w:rsid w:val="00831F5C"/>
    <w:rsid w:val="00832E36"/>
    <w:rsid w:val="00832F01"/>
    <w:rsid w:val="00833D61"/>
    <w:rsid w:val="008349CC"/>
    <w:rsid w:val="00834BB5"/>
    <w:rsid w:val="008355F7"/>
    <w:rsid w:val="008363CE"/>
    <w:rsid w:val="00842135"/>
    <w:rsid w:val="008434E8"/>
    <w:rsid w:val="008465A1"/>
    <w:rsid w:val="00846670"/>
    <w:rsid w:val="00846CC9"/>
    <w:rsid w:val="00847710"/>
    <w:rsid w:val="00853DA3"/>
    <w:rsid w:val="008549EA"/>
    <w:rsid w:val="00854C6D"/>
    <w:rsid w:val="00856BA7"/>
    <w:rsid w:val="00856C8A"/>
    <w:rsid w:val="00860361"/>
    <w:rsid w:val="008603A3"/>
    <w:rsid w:val="00860E0E"/>
    <w:rsid w:val="008638F7"/>
    <w:rsid w:val="0086718D"/>
    <w:rsid w:val="008724B8"/>
    <w:rsid w:val="008727E2"/>
    <w:rsid w:val="0087312D"/>
    <w:rsid w:val="00875AE7"/>
    <w:rsid w:val="00880545"/>
    <w:rsid w:val="00882241"/>
    <w:rsid w:val="00884FBC"/>
    <w:rsid w:val="0088591A"/>
    <w:rsid w:val="00886420"/>
    <w:rsid w:val="00886879"/>
    <w:rsid w:val="00886A9A"/>
    <w:rsid w:val="00886FB7"/>
    <w:rsid w:val="00887313"/>
    <w:rsid w:val="008916ED"/>
    <w:rsid w:val="0089189F"/>
    <w:rsid w:val="008931D7"/>
    <w:rsid w:val="008933C7"/>
    <w:rsid w:val="008A00DF"/>
    <w:rsid w:val="008A01A0"/>
    <w:rsid w:val="008A0E37"/>
    <w:rsid w:val="008A28F6"/>
    <w:rsid w:val="008A2E12"/>
    <w:rsid w:val="008A2E40"/>
    <w:rsid w:val="008A3C65"/>
    <w:rsid w:val="008A7127"/>
    <w:rsid w:val="008B00E9"/>
    <w:rsid w:val="008B2424"/>
    <w:rsid w:val="008B2EC1"/>
    <w:rsid w:val="008B2F87"/>
    <w:rsid w:val="008B592D"/>
    <w:rsid w:val="008B6079"/>
    <w:rsid w:val="008B66C4"/>
    <w:rsid w:val="008B79D7"/>
    <w:rsid w:val="008C0858"/>
    <w:rsid w:val="008C259C"/>
    <w:rsid w:val="008C2A48"/>
    <w:rsid w:val="008C2D06"/>
    <w:rsid w:val="008C369D"/>
    <w:rsid w:val="008C3873"/>
    <w:rsid w:val="008C3D4F"/>
    <w:rsid w:val="008C4E0C"/>
    <w:rsid w:val="008C5997"/>
    <w:rsid w:val="008C6BCD"/>
    <w:rsid w:val="008C7026"/>
    <w:rsid w:val="008C7E7A"/>
    <w:rsid w:val="008D3F6D"/>
    <w:rsid w:val="008D4C07"/>
    <w:rsid w:val="008D6006"/>
    <w:rsid w:val="008D63C9"/>
    <w:rsid w:val="008D68F5"/>
    <w:rsid w:val="008E224C"/>
    <w:rsid w:val="008E37F1"/>
    <w:rsid w:val="008E4FAC"/>
    <w:rsid w:val="008E5730"/>
    <w:rsid w:val="008E62D4"/>
    <w:rsid w:val="008E64F7"/>
    <w:rsid w:val="008E7421"/>
    <w:rsid w:val="008E7E1A"/>
    <w:rsid w:val="008F03A4"/>
    <w:rsid w:val="008F5B22"/>
    <w:rsid w:val="008F6433"/>
    <w:rsid w:val="008F66FF"/>
    <w:rsid w:val="008F6821"/>
    <w:rsid w:val="008F6972"/>
    <w:rsid w:val="008F6DE4"/>
    <w:rsid w:val="008F7052"/>
    <w:rsid w:val="008F79F7"/>
    <w:rsid w:val="00900613"/>
    <w:rsid w:val="00902013"/>
    <w:rsid w:val="00902333"/>
    <w:rsid w:val="00903853"/>
    <w:rsid w:val="00904D11"/>
    <w:rsid w:val="00906F5B"/>
    <w:rsid w:val="00907B5F"/>
    <w:rsid w:val="0091204F"/>
    <w:rsid w:val="00912C0D"/>
    <w:rsid w:val="00914B6C"/>
    <w:rsid w:val="009160CC"/>
    <w:rsid w:val="009216A0"/>
    <w:rsid w:val="00921B16"/>
    <w:rsid w:val="00921C55"/>
    <w:rsid w:val="009223BE"/>
    <w:rsid w:val="00923892"/>
    <w:rsid w:val="00924005"/>
    <w:rsid w:val="00924AEC"/>
    <w:rsid w:val="0092509A"/>
    <w:rsid w:val="009267AC"/>
    <w:rsid w:val="009268C2"/>
    <w:rsid w:val="00926A2D"/>
    <w:rsid w:val="00926F6D"/>
    <w:rsid w:val="00927C62"/>
    <w:rsid w:val="009328FC"/>
    <w:rsid w:val="00932FC7"/>
    <w:rsid w:val="009370FF"/>
    <w:rsid w:val="00937641"/>
    <w:rsid w:val="00940D29"/>
    <w:rsid w:val="009424F3"/>
    <w:rsid w:val="00942754"/>
    <w:rsid w:val="00943EDB"/>
    <w:rsid w:val="0094461C"/>
    <w:rsid w:val="0094495E"/>
    <w:rsid w:val="00945071"/>
    <w:rsid w:val="00945CBD"/>
    <w:rsid w:val="009460BE"/>
    <w:rsid w:val="00950A63"/>
    <w:rsid w:val="00950A85"/>
    <w:rsid w:val="00950CD9"/>
    <w:rsid w:val="00951846"/>
    <w:rsid w:val="00951ADD"/>
    <w:rsid w:val="009531C7"/>
    <w:rsid w:val="00953395"/>
    <w:rsid w:val="0095350A"/>
    <w:rsid w:val="00953C95"/>
    <w:rsid w:val="0095430E"/>
    <w:rsid w:val="00955BDE"/>
    <w:rsid w:val="00955DCC"/>
    <w:rsid w:val="00955E64"/>
    <w:rsid w:val="00956059"/>
    <w:rsid w:val="0095650E"/>
    <w:rsid w:val="00956798"/>
    <w:rsid w:val="00956C9D"/>
    <w:rsid w:val="009570AE"/>
    <w:rsid w:val="00957715"/>
    <w:rsid w:val="00960B8C"/>
    <w:rsid w:val="00960DF3"/>
    <w:rsid w:val="00964BD6"/>
    <w:rsid w:val="00964E40"/>
    <w:rsid w:val="00967C8A"/>
    <w:rsid w:val="00970158"/>
    <w:rsid w:val="009704EF"/>
    <w:rsid w:val="009728FC"/>
    <w:rsid w:val="00973ABD"/>
    <w:rsid w:val="00974358"/>
    <w:rsid w:val="00974374"/>
    <w:rsid w:val="00974994"/>
    <w:rsid w:val="009749EF"/>
    <w:rsid w:val="00976C4B"/>
    <w:rsid w:val="00980A6D"/>
    <w:rsid w:val="00980C47"/>
    <w:rsid w:val="009815C5"/>
    <w:rsid w:val="00981AC7"/>
    <w:rsid w:val="00981DA1"/>
    <w:rsid w:val="00982525"/>
    <w:rsid w:val="00983A53"/>
    <w:rsid w:val="00984FF6"/>
    <w:rsid w:val="00986CBA"/>
    <w:rsid w:val="00990068"/>
    <w:rsid w:val="00990362"/>
    <w:rsid w:val="00990524"/>
    <w:rsid w:val="00990C49"/>
    <w:rsid w:val="00992BAE"/>
    <w:rsid w:val="00992C9F"/>
    <w:rsid w:val="0099353C"/>
    <w:rsid w:val="00993659"/>
    <w:rsid w:val="0099383F"/>
    <w:rsid w:val="00995DDA"/>
    <w:rsid w:val="009A04B2"/>
    <w:rsid w:val="009A0C5E"/>
    <w:rsid w:val="009A2716"/>
    <w:rsid w:val="009A4C2D"/>
    <w:rsid w:val="009A51B0"/>
    <w:rsid w:val="009A54DF"/>
    <w:rsid w:val="009A62D2"/>
    <w:rsid w:val="009A662B"/>
    <w:rsid w:val="009A6998"/>
    <w:rsid w:val="009B193F"/>
    <w:rsid w:val="009B201B"/>
    <w:rsid w:val="009B4044"/>
    <w:rsid w:val="009B4BBD"/>
    <w:rsid w:val="009B5CDC"/>
    <w:rsid w:val="009B601B"/>
    <w:rsid w:val="009B6C00"/>
    <w:rsid w:val="009C10D1"/>
    <w:rsid w:val="009C3A3A"/>
    <w:rsid w:val="009C3A8F"/>
    <w:rsid w:val="009C3EB7"/>
    <w:rsid w:val="009C3EF4"/>
    <w:rsid w:val="009C4BBD"/>
    <w:rsid w:val="009C545B"/>
    <w:rsid w:val="009D0754"/>
    <w:rsid w:val="009D32AE"/>
    <w:rsid w:val="009D3E88"/>
    <w:rsid w:val="009D65C4"/>
    <w:rsid w:val="009D750D"/>
    <w:rsid w:val="009E031B"/>
    <w:rsid w:val="009E1154"/>
    <w:rsid w:val="009E3A1D"/>
    <w:rsid w:val="009E5960"/>
    <w:rsid w:val="009F0158"/>
    <w:rsid w:val="009F03E6"/>
    <w:rsid w:val="009F10A4"/>
    <w:rsid w:val="009F120A"/>
    <w:rsid w:val="009F1C10"/>
    <w:rsid w:val="009F350E"/>
    <w:rsid w:val="009F3950"/>
    <w:rsid w:val="009F39E4"/>
    <w:rsid w:val="009F4C8F"/>
    <w:rsid w:val="009F6EA8"/>
    <w:rsid w:val="00A00655"/>
    <w:rsid w:val="00A00970"/>
    <w:rsid w:val="00A00E52"/>
    <w:rsid w:val="00A016E0"/>
    <w:rsid w:val="00A02D3F"/>
    <w:rsid w:val="00A03301"/>
    <w:rsid w:val="00A0553D"/>
    <w:rsid w:val="00A056F9"/>
    <w:rsid w:val="00A05C19"/>
    <w:rsid w:val="00A07829"/>
    <w:rsid w:val="00A07D0F"/>
    <w:rsid w:val="00A11AB0"/>
    <w:rsid w:val="00A12ADA"/>
    <w:rsid w:val="00A13426"/>
    <w:rsid w:val="00A1482C"/>
    <w:rsid w:val="00A154C6"/>
    <w:rsid w:val="00A16C18"/>
    <w:rsid w:val="00A17EEC"/>
    <w:rsid w:val="00A20058"/>
    <w:rsid w:val="00A210D7"/>
    <w:rsid w:val="00A2162A"/>
    <w:rsid w:val="00A21B6E"/>
    <w:rsid w:val="00A222A3"/>
    <w:rsid w:val="00A22B70"/>
    <w:rsid w:val="00A25CC2"/>
    <w:rsid w:val="00A315CA"/>
    <w:rsid w:val="00A320D4"/>
    <w:rsid w:val="00A32F43"/>
    <w:rsid w:val="00A33106"/>
    <w:rsid w:val="00A33AD1"/>
    <w:rsid w:val="00A36349"/>
    <w:rsid w:val="00A45DB7"/>
    <w:rsid w:val="00A46408"/>
    <w:rsid w:val="00A50AD4"/>
    <w:rsid w:val="00A52636"/>
    <w:rsid w:val="00A53FBB"/>
    <w:rsid w:val="00A54174"/>
    <w:rsid w:val="00A5570A"/>
    <w:rsid w:val="00A557BA"/>
    <w:rsid w:val="00A56226"/>
    <w:rsid w:val="00A564CE"/>
    <w:rsid w:val="00A57DD0"/>
    <w:rsid w:val="00A61AA6"/>
    <w:rsid w:val="00A62063"/>
    <w:rsid w:val="00A631F6"/>
    <w:rsid w:val="00A6513E"/>
    <w:rsid w:val="00A65DAF"/>
    <w:rsid w:val="00A70445"/>
    <w:rsid w:val="00A71851"/>
    <w:rsid w:val="00A72717"/>
    <w:rsid w:val="00A7385A"/>
    <w:rsid w:val="00A738EA"/>
    <w:rsid w:val="00A75180"/>
    <w:rsid w:val="00A75410"/>
    <w:rsid w:val="00A766B6"/>
    <w:rsid w:val="00A77DCA"/>
    <w:rsid w:val="00A80C31"/>
    <w:rsid w:val="00A81E84"/>
    <w:rsid w:val="00A83DE4"/>
    <w:rsid w:val="00A84E8A"/>
    <w:rsid w:val="00A853FD"/>
    <w:rsid w:val="00A86179"/>
    <w:rsid w:val="00A9135F"/>
    <w:rsid w:val="00A9287A"/>
    <w:rsid w:val="00A937D8"/>
    <w:rsid w:val="00A94435"/>
    <w:rsid w:val="00A9567E"/>
    <w:rsid w:val="00A966D7"/>
    <w:rsid w:val="00A97499"/>
    <w:rsid w:val="00AA0F08"/>
    <w:rsid w:val="00AA0F3F"/>
    <w:rsid w:val="00AA157F"/>
    <w:rsid w:val="00AA224C"/>
    <w:rsid w:val="00AA2C47"/>
    <w:rsid w:val="00AA377A"/>
    <w:rsid w:val="00AA489D"/>
    <w:rsid w:val="00AA49EF"/>
    <w:rsid w:val="00AA620F"/>
    <w:rsid w:val="00AA6BDD"/>
    <w:rsid w:val="00AA7E40"/>
    <w:rsid w:val="00AB0223"/>
    <w:rsid w:val="00AB1CF9"/>
    <w:rsid w:val="00AB2395"/>
    <w:rsid w:val="00AB23C6"/>
    <w:rsid w:val="00AB4A24"/>
    <w:rsid w:val="00AB5A6B"/>
    <w:rsid w:val="00AB68E7"/>
    <w:rsid w:val="00AB740E"/>
    <w:rsid w:val="00AB761B"/>
    <w:rsid w:val="00AC1616"/>
    <w:rsid w:val="00AC1B42"/>
    <w:rsid w:val="00AC1DFD"/>
    <w:rsid w:val="00AC30DC"/>
    <w:rsid w:val="00AC4BD8"/>
    <w:rsid w:val="00AC4D0C"/>
    <w:rsid w:val="00AC4E15"/>
    <w:rsid w:val="00AC620C"/>
    <w:rsid w:val="00AC6E61"/>
    <w:rsid w:val="00AD00AE"/>
    <w:rsid w:val="00AD1077"/>
    <w:rsid w:val="00AD2E4B"/>
    <w:rsid w:val="00AD32B2"/>
    <w:rsid w:val="00AD348B"/>
    <w:rsid w:val="00AD3930"/>
    <w:rsid w:val="00AD3966"/>
    <w:rsid w:val="00AD3DF1"/>
    <w:rsid w:val="00AD40F5"/>
    <w:rsid w:val="00AD42DE"/>
    <w:rsid w:val="00AD473A"/>
    <w:rsid w:val="00AD5028"/>
    <w:rsid w:val="00AD57AB"/>
    <w:rsid w:val="00AD5E58"/>
    <w:rsid w:val="00AD69DC"/>
    <w:rsid w:val="00AD7519"/>
    <w:rsid w:val="00AE0BE9"/>
    <w:rsid w:val="00AE1CD1"/>
    <w:rsid w:val="00AE4086"/>
    <w:rsid w:val="00AE60CF"/>
    <w:rsid w:val="00AE762E"/>
    <w:rsid w:val="00AE7744"/>
    <w:rsid w:val="00AF00F4"/>
    <w:rsid w:val="00AF020A"/>
    <w:rsid w:val="00AF121B"/>
    <w:rsid w:val="00AF1353"/>
    <w:rsid w:val="00AF17A9"/>
    <w:rsid w:val="00AF2486"/>
    <w:rsid w:val="00AF41EC"/>
    <w:rsid w:val="00AF48F3"/>
    <w:rsid w:val="00AF6CBC"/>
    <w:rsid w:val="00AF6DC4"/>
    <w:rsid w:val="00AF6EF1"/>
    <w:rsid w:val="00AF7BC0"/>
    <w:rsid w:val="00B00DD9"/>
    <w:rsid w:val="00B016E0"/>
    <w:rsid w:val="00B020C4"/>
    <w:rsid w:val="00B03485"/>
    <w:rsid w:val="00B051FF"/>
    <w:rsid w:val="00B05336"/>
    <w:rsid w:val="00B06B43"/>
    <w:rsid w:val="00B06BD7"/>
    <w:rsid w:val="00B07B2E"/>
    <w:rsid w:val="00B10150"/>
    <w:rsid w:val="00B1185E"/>
    <w:rsid w:val="00B13B14"/>
    <w:rsid w:val="00B14D0D"/>
    <w:rsid w:val="00B15286"/>
    <w:rsid w:val="00B15546"/>
    <w:rsid w:val="00B1560F"/>
    <w:rsid w:val="00B156EB"/>
    <w:rsid w:val="00B15C03"/>
    <w:rsid w:val="00B1685C"/>
    <w:rsid w:val="00B17610"/>
    <w:rsid w:val="00B17626"/>
    <w:rsid w:val="00B22835"/>
    <w:rsid w:val="00B22E35"/>
    <w:rsid w:val="00B23EEF"/>
    <w:rsid w:val="00B24449"/>
    <w:rsid w:val="00B262D2"/>
    <w:rsid w:val="00B309D2"/>
    <w:rsid w:val="00B34F72"/>
    <w:rsid w:val="00B3708B"/>
    <w:rsid w:val="00B40BB9"/>
    <w:rsid w:val="00B40CF1"/>
    <w:rsid w:val="00B4153D"/>
    <w:rsid w:val="00B433A7"/>
    <w:rsid w:val="00B45666"/>
    <w:rsid w:val="00B46473"/>
    <w:rsid w:val="00B5164A"/>
    <w:rsid w:val="00B527F8"/>
    <w:rsid w:val="00B5319D"/>
    <w:rsid w:val="00B55B34"/>
    <w:rsid w:val="00B55C3E"/>
    <w:rsid w:val="00B615BE"/>
    <w:rsid w:val="00B61C0C"/>
    <w:rsid w:val="00B623DB"/>
    <w:rsid w:val="00B6457F"/>
    <w:rsid w:val="00B6475E"/>
    <w:rsid w:val="00B67D30"/>
    <w:rsid w:val="00B67FB6"/>
    <w:rsid w:val="00B70269"/>
    <w:rsid w:val="00B708FA"/>
    <w:rsid w:val="00B70DBC"/>
    <w:rsid w:val="00B710F0"/>
    <w:rsid w:val="00B727A7"/>
    <w:rsid w:val="00B72A14"/>
    <w:rsid w:val="00B73965"/>
    <w:rsid w:val="00B7398B"/>
    <w:rsid w:val="00B73D53"/>
    <w:rsid w:val="00B75E51"/>
    <w:rsid w:val="00B77C38"/>
    <w:rsid w:val="00B80E5A"/>
    <w:rsid w:val="00B811EB"/>
    <w:rsid w:val="00B818E4"/>
    <w:rsid w:val="00B83946"/>
    <w:rsid w:val="00B83DF4"/>
    <w:rsid w:val="00B84CFC"/>
    <w:rsid w:val="00B86033"/>
    <w:rsid w:val="00B86C8F"/>
    <w:rsid w:val="00B90904"/>
    <w:rsid w:val="00B927F3"/>
    <w:rsid w:val="00B93FA7"/>
    <w:rsid w:val="00B952E2"/>
    <w:rsid w:val="00B95678"/>
    <w:rsid w:val="00B95DF0"/>
    <w:rsid w:val="00BA0264"/>
    <w:rsid w:val="00BA04CB"/>
    <w:rsid w:val="00BA347D"/>
    <w:rsid w:val="00BA6772"/>
    <w:rsid w:val="00BA6F98"/>
    <w:rsid w:val="00BA749E"/>
    <w:rsid w:val="00BB2762"/>
    <w:rsid w:val="00BB3BBA"/>
    <w:rsid w:val="00BB434B"/>
    <w:rsid w:val="00BB460E"/>
    <w:rsid w:val="00BB5207"/>
    <w:rsid w:val="00BB6C77"/>
    <w:rsid w:val="00BB77E5"/>
    <w:rsid w:val="00BB796A"/>
    <w:rsid w:val="00BB7B14"/>
    <w:rsid w:val="00BC2CBB"/>
    <w:rsid w:val="00BC76BD"/>
    <w:rsid w:val="00BD3B78"/>
    <w:rsid w:val="00BD4296"/>
    <w:rsid w:val="00BD42E3"/>
    <w:rsid w:val="00BD510D"/>
    <w:rsid w:val="00BD53DE"/>
    <w:rsid w:val="00BD5FE2"/>
    <w:rsid w:val="00BD6472"/>
    <w:rsid w:val="00BD69AC"/>
    <w:rsid w:val="00BD7021"/>
    <w:rsid w:val="00BD73D7"/>
    <w:rsid w:val="00BE06E6"/>
    <w:rsid w:val="00BE1F7C"/>
    <w:rsid w:val="00BE28E0"/>
    <w:rsid w:val="00BE413A"/>
    <w:rsid w:val="00BE4DFD"/>
    <w:rsid w:val="00BE6DA8"/>
    <w:rsid w:val="00BE7619"/>
    <w:rsid w:val="00BF15F3"/>
    <w:rsid w:val="00BF465B"/>
    <w:rsid w:val="00BF5649"/>
    <w:rsid w:val="00BF5BB2"/>
    <w:rsid w:val="00BF5F24"/>
    <w:rsid w:val="00C00CDA"/>
    <w:rsid w:val="00C01384"/>
    <w:rsid w:val="00C03CF5"/>
    <w:rsid w:val="00C03F9F"/>
    <w:rsid w:val="00C047AB"/>
    <w:rsid w:val="00C06A0E"/>
    <w:rsid w:val="00C06B42"/>
    <w:rsid w:val="00C10E3F"/>
    <w:rsid w:val="00C111BF"/>
    <w:rsid w:val="00C12656"/>
    <w:rsid w:val="00C14920"/>
    <w:rsid w:val="00C169EE"/>
    <w:rsid w:val="00C17A96"/>
    <w:rsid w:val="00C203BA"/>
    <w:rsid w:val="00C25B97"/>
    <w:rsid w:val="00C26C50"/>
    <w:rsid w:val="00C26F51"/>
    <w:rsid w:val="00C27E21"/>
    <w:rsid w:val="00C27FD7"/>
    <w:rsid w:val="00C32A54"/>
    <w:rsid w:val="00C33888"/>
    <w:rsid w:val="00C33F8B"/>
    <w:rsid w:val="00C34C7A"/>
    <w:rsid w:val="00C36842"/>
    <w:rsid w:val="00C37968"/>
    <w:rsid w:val="00C41337"/>
    <w:rsid w:val="00C4154B"/>
    <w:rsid w:val="00C41B58"/>
    <w:rsid w:val="00C432E5"/>
    <w:rsid w:val="00C44A12"/>
    <w:rsid w:val="00C45282"/>
    <w:rsid w:val="00C455C2"/>
    <w:rsid w:val="00C46E10"/>
    <w:rsid w:val="00C477FB"/>
    <w:rsid w:val="00C503EC"/>
    <w:rsid w:val="00C55AE1"/>
    <w:rsid w:val="00C55BC3"/>
    <w:rsid w:val="00C56384"/>
    <w:rsid w:val="00C56FE3"/>
    <w:rsid w:val="00C5763A"/>
    <w:rsid w:val="00C606E8"/>
    <w:rsid w:val="00C60E89"/>
    <w:rsid w:val="00C65EE5"/>
    <w:rsid w:val="00C667AC"/>
    <w:rsid w:val="00C7165D"/>
    <w:rsid w:val="00C71BC0"/>
    <w:rsid w:val="00C722FF"/>
    <w:rsid w:val="00C7231F"/>
    <w:rsid w:val="00C72C7A"/>
    <w:rsid w:val="00C75E36"/>
    <w:rsid w:val="00C76818"/>
    <w:rsid w:val="00C76F67"/>
    <w:rsid w:val="00C77521"/>
    <w:rsid w:val="00C77E43"/>
    <w:rsid w:val="00C80F13"/>
    <w:rsid w:val="00C82456"/>
    <w:rsid w:val="00C82DE3"/>
    <w:rsid w:val="00C85BE3"/>
    <w:rsid w:val="00C86EE3"/>
    <w:rsid w:val="00C87ACD"/>
    <w:rsid w:val="00C87AEE"/>
    <w:rsid w:val="00C910D0"/>
    <w:rsid w:val="00C91645"/>
    <w:rsid w:val="00C91EB9"/>
    <w:rsid w:val="00C95176"/>
    <w:rsid w:val="00CA1B5E"/>
    <w:rsid w:val="00CA2DC8"/>
    <w:rsid w:val="00CA316B"/>
    <w:rsid w:val="00CA32FD"/>
    <w:rsid w:val="00CA3647"/>
    <w:rsid w:val="00CA3DDA"/>
    <w:rsid w:val="00CA6088"/>
    <w:rsid w:val="00CA7CD4"/>
    <w:rsid w:val="00CB04A7"/>
    <w:rsid w:val="00CB074D"/>
    <w:rsid w:val="00CB24E5"/>
    <w:rsid w:val="00CB36E9"/>
    <w:rsid w:val="00CB5749"/>
    <w:rsid w:val="00CB6A8E"/>
    <w:rsid w:val="00CC055E"/>
    <w:rsid w:val="00CC11D4"/>
    <w:rsid w:val="00CC2942"/>
    <w:rsid w:val="00CC63A7"/>
    <w:rsid w:val="00CD0464"/>
    <w:rsid w:val="00CD0DF0"/>
    <w:rsid w:val="00CD0FD4"/>
    <w:rsid w:val="00CD135E"/>
    <w:rsid w:val="00CD1D69"/>
    <w:rsid w:val="00CD5E7B"/>
    <w:rsid w:val="00CD71A2"/>
    <w:rsid w:val="00CE0D8F"/>
    <w:rsid w:val="00CE0D91"/>
    <w:rsid w:val="00CE20C9"/>
    <w:rsid w:val="00CE5702"/>
    <w:rsid w:val="00CE635D"/>
    <w:rsid w:val="00CE729E"/>
    <w:rsid w:val="00CE7E19"/>
    <w:rsid w:val="00CF02A5"/>
    <w:rsid w:val="00CF0744"/>
    <w:rsid w:val="00CF19D9"/>
    <w:rsid w:val="00CF1B26"/>
    <w:rsid w:val="00CF2B4D"/>
    <w:rsid w:val="00CF2D2F"/>
    <w:rsid w:val="00CF5363"/>
    <w:rsid w:val="00CF6041"/>
    <w:rsid w:val="00D00C17"/>
    <w:rsid w:val="00D0100E"/>
    <w:rsid w:val="00D040EB"/>
    <w:rsid w:val="00D04C43"/>
    <w:rsid w:val="00D07324"/>
    <w:rsid w:val="00D07FF2"/>
    <w:rsid w:val="00D10269"/>
    <w:rsid w:val="00D10E5B"/>
    <w:rsid w:val="00D1191F"/>
    <w:rsid w:val="00D122B7"/>
    <w:rsid w:val="00D1445F"/>
    <w:rsid w:val="00D14D82"/>
    <w:rsid w:val="00D152B8"/>
    <w:rsid w:val="00D17A02"/>
    <w:rsid w:val="00D20EEF"/>
    <w:rsid w:val="00D236D9"/>
    <w:rsid w:val="00D24624"/>
    <w:rsid w:val="00D271CF"/>
    <w:rsid w:val="00D32D01"/>
    <w:rsid w:val="00D330D7"/>
    <w:rsid w:val="00D33450"/>
    <w:rsid w:val="00D3489E"/>
    <w:rsid w:val="00D367E4"/>
    <w:rsid w:val="00D37078"/>
    <w:rsid w:val="00D371E0"/>
    <w:rsid w:val="00D376F8"/>
    <w:rsid w:val="00D4097D"/>
    <w:rsid w:val="00D43BCD"/>
    <w:rsid w:val="00D46321"/>
    <w:rsid w:val="00D47C2D"/>
    <w:rsid w:val="00D47FAC"/>
    <w:rsid w:val="00D507C0"/>
    <w:rsid w:val="00D509A4"/>
    <w:rsid w:val="00D50D24"/>
    <w:rsid w:val="00D512C9"/>
    <w:rsid w:val="00D51DD4"/>
    <w:rsid w:val="00D51FE5"/>
    <w:rsid w:val="00D52232"/>
    <w:rsid w:val="00D52EF8"/>
    <w:rsid w:val="00D53A76"/>
    <w:rsid w:val="00D5520B"/>
    <w:rsid w:val="00D60D1A"/>
    <w:rsid w:val="00D60D9F"/>
    <w:rsid w:val="00D61869"/>
    <w:rsid w:val="00D6429B"/>
    <w:rsid w:val="00D64D54"/>
    <w:rsid w:val="00D658FB"/>
    <w:rsid w:val="00D6632E"/>
    <w:rsid w:val="00D67696"/>
    <w:rsid w:val="00D67996"/>
    <w:rsid w:val="00D70497"/>
    <w:rsid w:val="00D70788"/>
    <w:rsid w:val="00D722B3"/>
    <w:rsid w:val="00D7513D"/>
    <w:rsid w:val="00D75297"/>
    <w:rsid w:val="00D76538"/>
    <w:rsid w:val="00D76DF3"/>
    <w:rsid w:val="00D77311"/>
    <w:rsid w:val="00D818E3"/>
    <w:rsid w:val="00D82070"/>
    <w:rsid w:val="00D8500F"/>
    <w:rsid w:val="00D869FC"/>
    <w:rsid w:val="00D8716A"/>
    <w:rsid w:val="00D915C9"/>
    <w:rsid w:val="00D91D58"/>
    <w:rsid w:val="00D925B9"/>
    <w:rsid w:val="00D93EBF"/>
    <w:rsid w:val="00D94A9B"/>
    <w:rsid w:val="00D95266"/>
    <w:rsid w:val="00D97722"/>
    <w:rsid w:val="00D97A2E"/>
    <w:rsid w:val="00DA1006"/>
    <w:rsid w:val="00DA1CBD"/>
    <w:rsid w:val="00DA24DD"/>
    <w:rsid w:val="00DA3071"/>
    <w:rsid w:val="00DA4A2F"/>
    <w:rsid w:val="00DA743B"/>
    <w:rsid w:val="00DB01CF"/>
    <w:rsid w:val="00DB06C1"/>
    <w:rsid w:val="00DB3644"/>
    <w:rsid w:val="00DB7296"/>
    <w:rsid w:val="00DB73D6"/>
    <w:rsid w:val="00DC03F2"/>
    <w:rsid w:val="00DC28FF"/>
    <w:rsid w:val="00DC2A38"/>
    <w:rsid w:val="00DC3900"/>
    <w:rsid w:val="00DC4186"/>
    <w:rsid w:val="00DC6D3C"/>
    <w:rsid w:val="00DC7C3F"/>
    <w:rsid w:val="00DD075F"/>
    <w:rsid w:val="00DD0FDB"/>
    <w:rsid w:val="00DD1628"/>
    <w:rsid w:val="00DD198F"/>
    <w:rsid w:val="00DD4CAB"/>
    <w:rsid w:val="00DD53C3"/>
    <w:rsid w:val="00DD61AE"/>
    <w:rsid w:val="00DD7B35"/>
    <w:rsid w:val="00DE07AC"/>
    <w:rsid w:val="00DE08B1"/>
    <w:rsid w:val="00DE1DE7"/>
    <w:rsid w:val="00DE621D"/>
    <w:rsid w:val="00DE7CB4"/>
    <w:rsid w:val="00DF3325"/>
    <w:rsid w:val="00E008CE"/>
    <w:rsid w:val="00E00914"/>
    <w:rsid w:val="00E00AEF"/>
    <w:rsid w:val="00E00DFF"/>
    <w:rsid w:val="00E01854"/>
    <w:rsid w:val="00E01FF9"/>
    <w:rsid w:val="00E0415F"/>
    <w:rsid w:val="00E12183"/>
    <w:rsid w:val="00E130C0"/>
    <w:rsid w:val="00E13DBB"/>
    <w:rsid w:val="00E14251"/>
    <w:rsid w:val="00E14824"/>
    <w:rsid w:val="00E1527C"/>
    <w:rsid w:val="00E1608B"/>
    <w:rsid w:val="00E160C8"/>
    <w:rsid w:val="00E1655F"/>
    <w:rsid w:val="00E17347"/>
    <w:rsid w:val="00E17D1F"/>
    <w:rsid w:val="00E211F4"/>
    <w:rsid w:val="00E21CE4"/>
    <w:rsid w:val="00E21FBB"/>
    <w:rsid w:val="00E21FDE"/>
    <w:rsid w:val="00E22252"/>
    <w:rsid w:val="00E2434A"/>
    <w:rsid w:val="00E24BA5"/>
    <w:rsid w:val="00E26159"/>
    <w:rsid w:val="00E3005A"/>
    <w:rsid w:val="00E31C1D"/>
    <w:rsid w:val="00E3340B"/>
    <w:rsid w:val="00E37D25"/>
    <w:rsid w:val="00E37EA1"/>
    <w:rsid w:val="00E37EEB"/>
    <w:rsid w:val="00E40004"/>
    <w:rsid w:val="00E42ECC"/>
    <w:rsid w:val="00E4472B"/>
    <w:rsid w:val="00E458C2"/>
    <w:rsid w:val="00E469F9"/>
    <w:rsid w:val="00E5022A"/>
    <w:rsid w:val="00E520B7"/>
    <w:rsid w:val="00E52223"/>
    <w:rsid w:val="00E5291E"/>
    <w:rsid w:val="00E5477F"/>
    <w:rsid w:val="00E54D8B"/>
    <w:rsid w:val="00E55E20"/>
    <w:rsid w:val="00E5798F"/>
    <w:rsid w:val="00E6280A"/>
    <w:rsid w:val="00E63EFC"/>
    <w:rsid w:val="00E64403"/>
    <w:rsid w:val="00E64717"/>
    <w:rsid w:val="00E65CCC"/>
    <w:rsid w:val="00E667DC"/>
    <w:rsid w:val="00E66EA4"/>
    <w:rsid w:val="00E709F7"/>
    <w:rsid w:val="00E73234"/>
    <w:rsid w:val="00E7493A"/>
    <w:rsid w:val="00E749FC"/>
    <w:rsid w:val="00E74EC0"/>
    <w:rsid w:val="00E7677A"/>
    <w:rsid w:val="00E77DDE"/>
    <w:rsid w:val="00E81FA7"/>
    <w:rsid w:val="00E837EE"/>
    <w:rsid w:val="00E83C13"/>
    <w:rsid w:val="00E852D5"/>
    <w:rsid w:val="00E859AC"/>
    <w:rsid w:val="00E86842"/>
    <w:rsid w:val="00E86AEE"/>
    <w:rsid w:val="00E8726E"/>
    <w:rsid w:val="00E8769A"/>
    <w:rsid w:val="00E90DCD"/>
    <w:rsid w:val="00E929D3"/>
    <w:rsid w:val="00E93473"/>
    <w:rsid w:val="00E94849"/>
    <w:rsid w:val="00E948DE"/>
    <w:rsid w:val="00E96106"/>
    <w:rsid w:val="00E96DA7"/>
    <w:rsid w:val="00EA0B40"/>
    <w:rsid w:val="00EA1430"/>
    <w:rsid w:val="00EA1900"/>
    <w:rsid w:val="00EA3B7C"/>
    <w:rsid w:val="00EA3F63"/>
    <w:rsid w:val="00EA445A"/>
    <w:rsid w:val="00EA5298"/>
    <w:rsid w:val="00EA62A4"/>
    <w:rsid w:val="00EA7B04"/>
    <w:rsid w:val="00EB32C9"/>
    <w:rsid w:val="00EB68D7"/>
    <w:rsid w:val="00EC04F5"/>
    <w:rsid w:val="00EC0899"/>
    <w:rsid w:val="00EC0AC6"/>
    <w:rsid w:val="00EC1BD2"/>
    <w:rsid w:val="00EC5675"/>
    <w:rsid w:val="00EC58CD"/>
    <w:rsid w:val="00EC5E44"/>
    <w:rsid w:val="00EC6306"/>
    <w:rsid w:val="00EC65E1"/>
    <w:rsid w:val="00EC70F3"/>
    <w:rsid w:val="00EC7889"/>
    <w:rsid w:val="00ED04CC"/>
    <w:rsid w:val="00ED210D"/>
    <w:rsid w:val="00ED2403"/>
    <w:rsid w:val="00ED27FE"/>
    <w:rsid w:val="00ED2B44"/>
    <w:rsid w:val="00ED34F8"/>
    <w:rsid w:val="00ED5E7D"/>
    <w:rsid w:val="00ED6116"/>
    <w:rsid w:val="00EE3313"/>
    <w:rsid w:val="00EE379D"/>
    <w:rsid w:val="00EE3CFF"/>
    <w:rsid w:val="00EE5F59"/>
    <w:rsid w:val="00EE5FEC"/>
    <w:rsid w:val="00EE6583"/>
    <w:rsid w:val="00EE66CC"/>
    <w:rsid w:val="00EE7FF4"/>
    <w:rsid w:val="00EF110C"/>
    <w:rsid w:val="00EF1644"/>
    <w:rsid w:val="00EF1D98"/>
    <w:rsid w:val="00EF2020"/>
    <w:rsid w:val="00EF3495"/>
    <w:rsid w:val="00EF47C0"/>
    <w:rsid w:val="00EF5320"/>
    <w:rsid w:val="00EF57F5"/>
    <w:rsid w:val="00EF5844"/>
    <w:rsid w:val="00EF6667"/>
    <w:rsid w:val="00EF7AE4"/>
    <w:rsid w:val="00F00728"/>
    <w:rsid w:val="00F0099C"/>
    <w:rsid w:val="00F00F30"/>
    <w:rsid w:val="00F0157F"/>
    <w:rsid w:val="00F01784"/>
    <w:rsid w:val="00F0379C"/>
    <w:rsid w:val="00F03958"/>
    <w:rsid w:val="00F039BA"/>
    <w:rsid w:val="00F04E48"/>
    <w:rsid w:val="00F058E8"/>
    <w:rsid w:val="00F05C17"/>
    <w:rsid w:val="00F10418"/>
    <w:rsid w:val="00F11149"/>
    <w:rsid w:val="00F118D8"/>
    <w:rsid w:val="00F11DB7"/>
    <w:rsid w:val="00F12558"/>
    <w:rsid w:val="00F14FA0"/>
    <w:rsid w:val="00F15866"/>
    <w:rsid w:val="00F163A8"/>
    <w:rsid w:val="00F16A9D"/>
    <w:rsid w:val="00F17D6C"/>
    <w:rsid w:val="00F20F78"/>
    <w:rsid w:val="00F21F83"/>
    <w:rsid w:val="00F22611"/>
    <w:rsid w:val="00F2558B"/>
    <w:rsid w:val="00F25C2D"/>
    <w:rsid w:val="00F2631A"/>
    <w:rsid w:val="00F3027B"/>
    <w:rsid w:val="00F30523"/>
    <w:rsid w:val="00F31A99"/>
    <w:rsid w:val="00F31B02"/>
    <w:rsid w:val="00F33A3C"/>
    <w:rsid w:val="00F346FC"/>
    <w:rsid w:val="00F352AF"/>
    <w:rsid w:val="00F35A99"/>
    <w:rsid w:val="00F35E83"/>
    <w:rsid w:val="00F363AE"/>
    <w:rsid w:val="00F37567"/>
    <w:rsid w:val="00F40803"/>
    <w:rsid w:val="00F40B5F"/>
    <w:rsid w:val="00F413C0"/>
    <w:rsid w:val="00F41917"/>
    <w:rsid w:val="00F43229"/>
    <w:rsid w:val="00F46247"/>
    <w:rsid w:val="00F50309"/>
    <w:rsid w:val="00F51E7C"/>
    <w:rsid w:val="00F51EA1"/>
    <w:rsid w:val="00F538E2"/>
    <w:rsid w:val="00F53BBC"/>
    <w:rsid w:val="00F54A48"/>
    <w:rsid w:val="00F5555C"/>
    <w:rsid w:val="00F56918"/>
    <w:rsid w:val="00F57A63"/>
    <w:rsid w:val="00F615C8"/>
    <w:rsid w:val="00F61CBF"/>
    <w:rsid w:val="00F6297A"/>
    <w:rsid w:val="00F634E5"/>
    <w:rsid w:val="00F643DA"/>
    <w:rsid w:val="00F64670"/>
    <w:rsid w:val="00F717FE"/>
    <w:rsid w:val="00F71FB0"/>
    <w:rsid w:val="00F721BF"/>
    <w:rsid w:val="00F73D05"/>
    <w:rsid w:val="00F7422A"/>
    <w:rsid w:val="00F7499B"/>
    <w:rsid w:val="00F750A2"/>
    <w:rsid w:val="00F75425"/>
    <w:rsid w:val="00F754B5"/>
    <w:rsid w:val="00F7570D"/>
    <w:rsid w:val="00F75B30"/>
    <w:rsid w:val="00F77162"/>
    <w:rsid w:val="00F77541"/>
    <w:rsid w:val="00F80484"/>
    <w:rsid w:val="00F825A0"/>
    <w:rsid w:val="00F8279F"/>
    <w:rsid w:val="00F860CC"/>
    <w:rsid w:val="00F861BD"/>
    <w:rsid w:val="00F8744D"/>
    <w:rsid w:val="00F87A35"/>
    <w:rsid w:val="00F87E2E"/>
    <w:rsid w:val="00F90B4D"/>
    <w:rsid w:val="00F90ED9"/>
    <w:rsid w:val="00F91701"/>
    <w:rsid w:val="00F965EA"/>
    <w:rsid w:val="00FA1D26"/>
    <w:rsid w:val="00FA1E06"/>
    <w:rsid w:val="00FA247B"/>
    <w:rsid w:val="00FA302E"/>
    <w:rsid w:val="00FA34B0"/>
    <w:rsid w:val="00FA3D33"/>
    <w:rsid w:val="00FA4A73"/>
    <w:rsid w:val="00FA50F1"/>
    <w:rsid w:val="00FA5885"/>
    <w:rsid w:val="00FA6571"/>
    <w:rsid w:val="00FA7950"/>
    <w:rsid w:val="00FA7A0E"/>
    <w:rsid w:val="00FA7D70"/>
    <w:rsid w:val="00FB0627"/>
    <w:rsid w:val="00FB1202"/>
    <w:rsid w:val="00FB1992"/>
    <w:rsid w:val="00FB42B8"/>
    <w:rsid w:val="00FB460C"/>
    <w:rsid w:val="00FB466F"/>
    <w:rsid w:val="00FB6020"/>
    <w:rsid w:val="00FC0A75"/>
    <w:rsid w:val="00FC0D1F"/>
    <w:rsid w:val="00FC1059"/>
    <w:rsid w:val="00FC15F4"/>
    <w:rsid w:val="00FC1FBE"/>
    <w:rsid w:val="00FC235A"/>
    <w:rsid w:val="00FC5431"/>
    <w:rsid w:val="00FD04DD"/>
    <w:rsid w:val="00FD136B"/>
    <w:rsid w:val="00FD180B"/>
    <w:rsid w:val="00FD1D7B"/>
    <w:rsid w:val="00FD3627"/>
    <w:rsid w:val="00FD7A96"/>
    <w:rsid w:val="00FE3068"/>
    <w:rsid w:val="00FE3DA0"/>
    <w:rsid w:val="00FE400C"/>
    <w:rsid w:val="00FE4CE5"/>
    <w:rsid w:val="00FE4E77"/>
    <w:rsid w:val="00FE5F7F"/>
    <w:rsid w:val="00FE7002"/>
    <w:rsid w:val="00FE7DAA"/>
    <w:rsid w:val="00FF2D0B"/>
    <w:rsid w:val="00FF3078"/>
    <w:rsid w:val="00FF42C2"/>
    <w:rsid w:val="00FF530B"/>
    <w:rsid w:val="00FF74C2"/>
  </w:rsids>
  <m:mathPr>
    <m:mathFont m:val="Cambria Math"/>
    <m:smallFrac/>
  </m:mathPr>
  <w:themeFontLang w:val="lv-LV"/>
  <w:clrSchemeMapping w:bg1="light1" w:t1="dark1" w:bg2="light2" w:t2="dark2" w:accent1="accent1" w:accent2="accent2" w:accent3="accent3" w:accent4="accent4" w:accent5="accent5" w:accent6="accent6" w:hyperlink="hyperlink" w:followedHyperlink="followedHyperlink"/>
  <w15:docId w15:val="{26149DD9-DCA3-448D-BABC-53334408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DD6"/>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uiPriority w:val="9"/>
    <w:qFormat/>
    <w:rsid w:val="00FA302E"/>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FA302E"/>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B13B14"/>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742970"/>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742970"/>
    <w:rPr>
      <w:rFonts w:ascii="Calibri" w:eastAsia="Calibri" w:hAnsi="Calibri" w:cs="Times New Roman"/>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742970"/>
    <w:rPr>
      <w:rFonts w:asciiTheme="minorHAnsi" w:eastAsiaTheme="minorHAnsi" w:hAnsiTheme="minorHAnsi" w:cstheme="minorBidi"/>
      <w:sz w:val="20"/>
      <w:szCs w:val="20"/>
      <w:lang w:eastAsia="en-US"/>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rsid w:val="00742970"/>
    <w:rPr>
      <w:sz w:val="20"/>
      <w:szCs w:val="20"/>
      <w:lang w:val="lv-LV"/>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Ref,Times 10 Point,fr,ftref,note TESI"/>
    <w:basedOn w:val="DefaultParagraphFont"/>
    <w:link w:val="Char2"/>
    <w:uiPriority w:val="99"/>
    <w:unhideWhenUsed/>
    <w:qFormat/>
    <w:rsid w:val="00742970"/>
    <w:rPr>
      <w:vertAlign w:val="superscript"/>
    </w:rPr>
  </w:style>
  <w:style w:type="paragraph" w:customStyle="1" w:styleId="Char2">
    <w:name w:val="Char2"/>
    <w:aliases w:val="Char Char Char Char"/>
    <w:basedOn w:val="Normal"/>
    <w:next w:val="Normal"/>
    <w:link w:val="FootnoteReference"/>
    <w:uiPriority w:val="99"/>
    <w:rsid w:val="00742970"/>
    <w:pPr>
      <w:spacing w:after="160" w:line="240" w:lineRule="exact"/>
      <w:jc w:val="both"/>
      <w:textAlignment w:val="baseline"/>
    </w:pPr>
    <w:rPr>
      <w:rFonts w:asciiTheme="minorHAnsi" w:eastAsiaTheme="minorHAnsi" w:hAnsiTheme="minorHAnsi" w:cstheme="minorBidi"/>
      <w:sz w:val="22"/>
      <w:szCs w:val="22"/>
      <w:vertAlign w:val="superscript"/>
      <w:lang w:val="en-US" w:eastAsia="en-US"/>
    </w:rPr>
  </w:style>
  <w:style w:type="paragraph" w:styleId="BalloonText">
    <w:name w:val="Balloon Text"/>
    <w:basedOn w:val="Normal"/>
    <w:link w:val="BalloonTextChar"/>
    <w:uiPriority w:val="99"/>
    <w:semiHidden/>
    <w:unhideWhenUsed/>
    <w:rsid w:val="00742970"/>
    <w:rPr>
      <w:rFonts w:ascii="Tahoma" w:hAnsi="Tahoma" w:eastAsiaTheme="minorHAnsi" w:cs="Tahoma"/>
      <w:sz w:val="16"/>
      <w:szCs w:val="16"/>
      <w:lang w:eastAsia="en-US"/>
    </w:rPr>
  </w:style>
  <w:style w:type="character" w:customStyle="1" w:styleId="BalloonTextChar">
    <w:name w:val="Balloon Text Char"/>
    <w:basedOn w:val="DefaultParagraphFont"/>
    <w:link w:val="BalloonText"/>
    <w:uiPriority w:val="99"/>
    <w:semiHidden/>
    <w:rsid w:val="00742970"/>
    <w:rPr>
      <w:rFonts w:ascii="Tahoma" w:hAnsi="Tahoma" w:cs="Tahoma"/>
      <w:sz w:val="16"/>
      <w:szCs w:val="16"/>
      <w:lang w:val="lv-LV"/>
    </w:rPr>
  </w:style>
  <w:style w:type="paragraph" w:customStyle="1" w:styleId="tv2132">
    <w:name w:val="tv2132"/>
    <w:basedOn w:val="Normal"/>
    <w:rsid w:val="00245344"/>
    <w:pPr>
      <w:spacing w:line="360" w:lineRule="auto"/>
      <w:ind w:firstLine="300"/>
    </w:pPr>
    <w:rPr>
      <w:color w:val="414142"/>
      <w:sz w:val="20"/>
      <w:szCs w:val="20"/>
    </w:rPr>
  </w:style>
  <w:style w:type="table" w:styleId="TableGrid">
    <w:name w:val="Table Grid"/>
    <w:basedOn w:val="TableNormal"/>
    <w:uiPriority w:val="59"/>
    <w:rsid w:val="0024534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45344"/>
    <w:pPr>
      <w:spacing w:before="100" w:beforeAutospacing="1" w:after="100" w:afterAutospacing="1"/>
    </w:pPr>
    <w:rPr>
      <w:lang w:bidi="lo-LA"/>
    </w:rPr>
  </w:style>
  <w:style w:type="paragraph" w:styleId="Header">
    <w:name w:val="header"/>
    <w:basedOn w:val="Normal"/>
    <w:link w:val="HeaderChar"/>
    <w:uiPriority w:val="99"/>
    <w:unhideWhenUsed/>
    <w:rsid w:val="00ED240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D2403"/>
    <w:rPr>
      <w:lang w:val="lv-LV"/>
    </w:rPr>
  </w:style>
  <w:style w:type="paragraph" w:styleId="Footer">
    <w:name w:val="footer"/>
    <w:basedOn w:val="Normal"/>
    <w:link w:val="FooterChar"/>
    <w:uiPriority w:val="99"/>
    <w:unhideWhenUsed/>
    <w:rsid w:val="00ED240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D2403"/>
    <w:rPr>
      <w:lang w:val="lv-LV"/>
    </w:rPr>
  </w:style>
  <w:style w:type="character" w:styleId="CommentReference">
    <w:name w:val="annotation reference"/>
    <w:basedOn w:val="DefaultParagraphFont"/>
    <w:uiPriority w:val="99"/>
    <w:semiHidden/>
    <w:unhideWhenUsed/>
    <w:rsid w:val="00291D09"/>
    <w:rPr>
      <w:sz w:val="16"/>
      <w:szCs w:val="16"/>
    </w:rPr>
  </w:style>
  <w:style w:type="paragraph" w:styleId="CommentText">
    <w:name w:val="annotation text"/>
    <w:basedOn w:val="Normal"/>
    <w:link w:val="CommentTextChar"/>
    <w:uiPriority w:val="99"/>
    <w:semiHidden/>
    <w:unhideWhenUsed/>
    <w:rsid w:val="00291D09"/>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291D09"/>
    <w:rPr>
      <w:sz w:val="20"/>
      <w:szCs w:val="20"/>
      <w:lang w:val="lv-LV"/>
    </w:rPr>
  </w:style>
  <w:style w:type="paragraph" w:styleId="CommentSubject">
    <w:name w:val="annotation subject"/>
    <w:basedOn w:val="CommentText"/>
    <w:next w:val="CommentText"/>
    <w:link w:val="CommentSubjectChar"/>
    <w:uiPriority w:val="99"/>
    <w:semiHidden/>
    <w:unhideWhenUsed/>
    <w:rsid w:val="00291D09"/>
    <w:rPr>
      <w:b/>
      <w:bCs/>
    </w:rPr>
  </w:style>
  <w:style w:type="character" w:customStyle="1" w:styleId="CommentSubjectChar">
    <w:name w:val="Comment Subject Char"/>
    <w:basedOn w:val="CommentTextChar"/>
    <w:link w:val="CommentSubject"/>
    <w:uiPriority w:val="99"/>
    <w:semiHidden/>
    <w:rsid w:val="00291D09"/>
    <w:rPr>
      <w:b/>
      <w:bCs/>
      <w:sz w:val="20"/>
      <w:szCs w:val="20"/>
      <w:lang w:val="lv-LV"/>
    </w:rPr>
  </w:style>
  <w:style w:type="character" w:customStyle="1" w:styleId="Heading1Char">
    <w:name w:val="Heading 1 Char"/>
    <w:basedOn w:val="DefaultParagraphFont"/>
    <w:link w:val="Heading1"/>
    <w:uiPriority w:val="9"/>
    <w:rsid w:val="00FA302E"/>
    <w:rPr>
      <w:rFonts w:asciiTheme="majorHAnsi" w:eastAsiaTheme="majorEastAsia" w:hAnsiTheme="majorHAnsi" w:cstheme="majorBidi"/>
      <w:color w:val="365F91" w:themeColor="accent1" w:themeShade="BF"/>
      <w:sz w:val="32"/>
      <w:szCs w:val="32"/>
      <w:lang w:val="lv-LV"/>
    </w:rPr>
  </w:style>
  <w:style w:type="character" w:customStyle="1" w:styleId="Heading2Char">
    <w:name w:val="Heading 2 Char"/>
    <w:basedOn w:val="DefaultParagraphFont"/>
    <w:link w:val="Heading2"/>
    <w:uiPriority w:val="9"/>
    <w:rsid w:val="00FA302E"/>
    <w:rPr>
      <w:rFonts w:asciiTheme="majorHAnsi" w:eastAsiaTheme="majorEastAsia" w:hAnsiTheme="majorHAnsi" w:cstheme="majorBidi"/>
      <w:color w:val="365F91" w:themeColor="accent1" w:themeShade="BF"/>
      <w:sz w:val="26"/>
      <w:szCs w:val="26"/>
      <w:lang w:val="lv-LV"/>
    </w:rPr>
  </w:style>
  <w:style w:type="paragraph" w:styleId="NormalWeb">
    <w:name w:val="Normal (Web)"/>
    <w:basedOn w:val="Normal"/>
    <w:uiPriority w:val="99"/>
    <w:unhideWhenUsed/>
    <w:rsid w:val="007F392F"/>
    <w:pPr>
      <w:spacing w:before="100" w:beforeAutospacing="1" w:after="100" w:afterAutospacing="1"/>
    </w:pPr>
  </w:style>
  <w:style w:type="paragraph" w:customStyle="1" w:styleId="1pakapesvirsraksts">
    <w:name w:val="1. pakapes virsraksts"/>
    <w:basedOn w:val="Normal"/>
    <w:rsid w:val="00BD53DE"/>
    <w:pPr>
      <w:numPr>
        <w:numId w:val="3"/>
      </w:numPr>
      <w:spacing w:after="200" w:line="276" w:lineRule="auto"/>
    </w:pPr>
    <w:rPr>
      <w:rFonts w:asciiTheme="minorHAnsi" w:eastAsiaTheme="minorHAnsi" w:hAnsiTheme="minorHAnsi" w:cstheme="minorBidi"/>
      <w:sz w:val="22"/>
      <w:szCs w:val="22"/>
      <w:lang w:eastAsia="en-US"/>
    </w:rPr>
  </w:style>
  <w:style w:type="paragraph" w:customStyle="1" w:styleId="2pakapesvirsraksts">
    <w:name w:val="2. pakapes virsraksts"/>
    <w:basedOn w:val="Normal"/>
    <w:rsid w:val="00BD53DE"/>
    <w:pPr>
      <w:numPr>
        <w:ilvl w:val="1"/>
        <w:numId w:val="3"/>
      </w:numPr>
      <w:spacing w:after="200" w:line="276" w:lineRule="auto"/>
      <w:ind w:left="547"/>
    </w:pPr>
    <w:rPr>
      <w:rFonts w:asciiTheme="minorHAnsi" w:eastAsiaTheme="minorHAnsi" w:hAnsiTheme="minorHAnsi" w:cstheme="minorBidi"/>
      <w:sz w:val="22"/>
      <w:szCs w:val="22"/>
      <w:lang w:eastAsia="en-US"/>
    </w:rPr>
  </w:style>
  <w:style w:type="paragraph" w:customStyle="1" w:styleId="3pakapesvirsraksts">
    <w:name w:val="3. pakapes virsraksts"/>
    <w:basedOn w:val="Normal"/>
    <w:rsid w:val="00BD53DE"/>
    <w:pPr>
      <w:numPr>
        <w:ilvl w:val="2"/>
        <w:numId w:val="3"/>
      </w:numPr>
      <w:spacing w:after="200" w:line="276" w:lineRule="auto"/>
    </w:pPr>
    <w:rPr>
      <w:rFonts w:asciiTheme="minorHAnsi" w:eastAsiaTheme="minorHAnsi" w:hAnsiTheme="minorHAnsi" w:cstheme="minorBidi"/>
      <w:sz w:val="22"/>
      <w:szCs w:val="22"/>
      <w:lang w:eastAsia="en-US"/>
    </w:rPr>
  </w:style>
  <w:style w:type="paragraph" w:customStyle="1" w:styleId="4pakapesvirsraksts">
    <w:name w:val="4. pakapes virsraksts"/>
    <w:basedOn w:val="Normal"/>
    <w:rsid w:val="00BD53DE"/>
    <w:pPr>
      <w:numPr>
        <w:ilvl w:val="3"/>
        <w:numId w:val="3"/>
      </w:numPr>
      <w:spacing w:after="200" w:line="276" w:lineRule="auto"/>
    </w:pPr>
    <w:rPr>
      <w:rFonts w:asciiTheme="minorHAnsi" w:eastAsiaTheme="minorHAnsi" w:hAnsiTheme="minorHAnsi" w:cstheme="minorBidi"/>
      <w:sz w:val="22"/>
      <w:szCs w:val="22"/>
      <w:lang w:eastAsia="en-US"/>
    </w:rPr>
  </w:style>
  <w:style w:type="character" w:customStyle="1" w:styleId="apple-converted-space">
    <w:name w:val="apple-converted-space"/>
    <w:basedOn w:val="DefaultParagraphFont"/>
    <w:rsid w:val="00050ED4"/>
  </w:style>
  <w:style w:type="character" w:styleId="Hyperlink">
    <w:name w:val="Hyperlink"/>
    <w:basedOn w:val="DefaultParagraphFont"/>
    <w:uiPriority w:val="99"/>
    <w:unhideWhenUsed/>
    <w:rsid w:val="00050ED4"/>
    <w:rPr>
      <w:color w:val="0000FF"/>
      <w:u w:val="single"/>
    </w:rPr>
  </w:style>
  <w:style w:type="paragraph" w:styleId="NoSpacing">
    <w:name w:val="No Spacing"/>
    <w:aliases w:val="No Spacing1,Normal1,Parastais"/>
    <w:link w:val="NoSpacingChar"/>
    <w:uiPriority w:val="1"/>
    <w:qFormat/>
    <w:rsid w:val="00050ED4"/>
    <w:pPr>
      <w:spacing w:after="0" w:line="240" w:lineRule="auto"/>
    </w:pPr>
    <w:rPr>
      <w:rFonts w:ascii="Calibri" w:eastAsia="Calibri" w:hAnsi="Calibri" w:cs="DokChampa"/>
      <w:lang w:val="lv-LV"/>
    </w:rPr>
  </w:style>
  <w:style w:type="character" w:customStyle="1" w:styleId="NoSpacingChar">
    <w:name w:val="No Spacing Char"/>
    <w:aliases w:val="No Spacing1 Char,Normal1 Char,Parastais Char"/>
    <w:link w:val="NoSpacing"/>
    <w:uiPriority w:val="1"/>
    <w:rsid w:val="00050ED4"/>
    <w:rPr>
      <w:rFonts w:ascii="Calibri" w:eastAsia="Calibri" w:hAnsi="Calibri" w:cs="DokChampa"/>
      <w:lang w:val="lv-LV"/>
    </w:rPr>
  </w:style>
  <w:style w:type="character" w:customStyle="1" w:styleId="Heading3Char">
    <w:name w:val="Heading 3 Char"/>
    <w:basedOn w:val="DefaultParagraphFont"/>
    <w:link w:val="Heading3"/>
    <w:uiPriority w:val="9"/>
    <w:rsid w:val="00B13B14"/>
    <w:rPr>
      <w:rFonts w:asciiTheme="majorHAnsi" w:eastAsiaTheme="majorEastAsia" w:hAnsiTheme="majorHAnsi" w:cstheme="majorBidi"/>
      <w:color w:val="243F60" w:themeColor="accent1" w:themeShade="7F"/>
      <w:sz w:val="24"/>
      <w:szCs w:val="24"/>
      <w:lang w:val="lv-LV"/>
    </w:rPr>
  </w:style>
  <w:style w:type="paragraph" w:customStyle="1" w:styleId="xmsonormal">
    <w:name w:val="x_msonormal"/>
    <w:basedOn w:val="Normal"/>
    <w:rsid w:val="006804F3"/>
    <w:pPr>
      <w:spacing w:before="100" w:beforeAutospacing="1" w:after="100" w:afterAutospacing="1"/>
    </w:pPr>
  </w:style>
  <w:style w:type="paragraph" w:styleId="Revision">
    <w:name w:val="Revision"/>
    <w:hidden/>
    <w:uiPriority w:val="99"/>
    <w:semiHidden/>
    <w:rsid w:val="00010A18"/>
    <w:pPr>
      <w:spacing w:after="0" w:line="240" w:lineRule="auto"/>
    </w:pPr>
    <w:rPr>
      <w:lang w:val="lv-LV"/>
    </w:rPr>
  </w:style>
  <w:style w:type="character" w:styleId="Strong">
    <w:name w:val="Strong"/>
    <w:basedOn w:val="DefaultParagraphFont"/>
    <w:uiPriority w:val="22"/>
    <w:qFormat/>
    <w:rsid w:val="004A2619"/>
    <w:rPr>
      <w:b/>
      <w:bCs/>
    </w:rPr>
  </w:style>
  <w:style w:type="paragraph" w:styleId="BodyText2">
    <w:name w:val="Body Text 2"/>
    <w:basedOn w:val="Normal"/>
    <w:link w:val="BodyText2Char"/>
    <w:uiPriority w:val="99"/>
    <w:unhideWhenUsed/>
    <w:rsid w:val="003F1488"/>
    <w:pPr>
      <w:spacing w:after="120" w:line="480" w:lineRule="auto"/>
    </w:pPr>
  </w:style>
  <w:style w:type="character" w:customStyle="1" w:styleId="BodyText2Char">
    <w:name w:val="Body Text 2 Char"/>
    <w:basedOn w:val="DefaultParagraphFont"/>
    <w:link w:val="BodyText2"/>
    <w:uiPriority w:val="99"/>
    <w:rsid w:val="003F1488"/>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814F6-007D-411F-B1A9-6B7B15D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34197</Words>
  <Characters>19493</Characters>
  <Application>Microsoft Office Word</Application>
  <DocSecurity>0</DocSecurity>
  <Lines>162</Lines>
  <Paragraphs>107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tālāku rindu samazināšanu sekundārā ambulatorā veselības aprūpē”</vt:lpstr>
      <vt:lpstr>Informatīvais ziņojums “Par tālāku rindu samazināšanu sekundārā ambulatorā veselības aprūpē”</vt:lpstr>
    </vt:vector>
  </TitlesOfParts>
  <Company>Veselības ministrija</Company>
  <LinksUpToDate>false</LinksUpToDate>
  <CharactersWithSpaces>53583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tālāku rindu samazināšanu sekundārā ambulatorā veselības aprūpē”</dc:title>
  <dc:subject>Informatīvais ziņojums</dc:subject>
  <dc:creator>Anda Strazdiņa</dc:creator>
  <dc:description>Anda Strazdiņa_x000D_
Veselības ministrijas_x000D_
Nozares budžeta plānošanas departamenta direktora vietniece_x000D_
Tālr. Nr. 67876042_x000D_
Anda.Strazdina@vm.gov.lv</dc:description>
  <cp:lastModifiedBy>Daina Mūrmane-Umbraško</cp:lastModifiedBy>
  <cp:revision>12</cp:revision>
  <cp:lastPrinted>2018-03-02T10:12:00Z</cp:lastPrinted>
  <dcterms:created xsi:type="dcterms:W3CDTF">2018-03-19T09:29:00Z</dcterms:created>
  <dcterms:modified xsi:type="dcterms:W3CDTF">2018-03-21T16:07:00Z</dcterms:modified>
  <cp:category>3143</cp:category>
</cp:coreProperties>
</file>